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057BE" w14:textId="05E382D6" w:rsidR="00850555" w:rsidRPr="009E5B39" w:rsidRDefault="00850555" w:rsidP="00245E5D">
      <w:pPr>
        <w:tabs>
          <w:tab w:val="left" w:pos="720"/>
        </w:tabs>
        <w:spacing w:after="0" w:line="276" w:lineRule="auto"/>
        <w:rPr>
          <w:rFonts w:asciiTheme="majorHAnsi" w:hAnsiTheme="majorHAnsi" w:cstheme="majorHAnsi"/>
          <w:b/>
          <w:bCs/>
          <w:sz w:val="28"/>
          <w:szCs w:val="28"/>
          <w:lang w:val="ro-MD"/>
        </w:rPr>
      </w:pPr>
      <w:bookmarkStart w:id="0" w:name="_GoBack"/>
      <w:bookmarkEnd w:id="0"/>
      <w:r w:rsidRPr="009E5B39">
        <w:rPr>
          <w:rFonts w:asciiTheme="majorHAnsi" w:hAnsiTheme="majorHAnsi" w:cstheme="majorHAnsi"/>
          <w:b/>
          <w:bCs/>
          <w:sz w:val="28"/>
          <w:szCs w:val="28"/>
          <w:lang w:val="ro-MD"/>
        </w:rPr>
        <w:t xml:space="preserve"> </w:t>
      </w:r>
    </w:p>
    <w:p w14:paraId="5302BB83" w14:textId="27D8FAAB" w:rsidR="00850555" w:rsidRPr="009E5B39" w:rsidRDefault="00850555" w:rsidP="00EF4BC3">
      <w:pPr>
        <w:tabs>
          <w:tab w:val="left" w:pos="720"/>
        </w:tabs>
        <w:spacing w:after="0" w:line="276" w:lineRule="auto"/>
        <w:jc w:val="right"/>
        <w:rPr>
          <w:rFonts w:asciiTheme="majorHAnsi" w:hAnsiTheme="majorHAnsi" w:cstheme="majorHAnsi"/>
          <w:bCs/>
          <w:szCs w:val="28"/>
          <w:lang w:val="ro-MD"/>
        </w:rPr>
      </w:pPr>
      <w:r w:rsidRPr="009E5B39">
        <w:rPr>
          <w:rFonts w:asciiTheme="majorHAnsi" w:hAnsiTheme="majorHAnsi" w:cstheme="majorHAnsi"/>
          <w:bCs/>
          <w:szCs w:val="28"/>
          <w:lang w:val="ro-MD"/>
        </w:rPr>
        <w:t>Anexă</w:t>
      </w:r>
    </w:p>
    <w:p w14:paraId="2AE05FDE" w14:textId="4A154A3D" w:rsidR="00850555" w:rsidRPr="009E5B39" w:rsidRDefault="00850555" w:rsidP="00EF4BC3">
      <w:pPr>
        <w:tabs>
          <w:tab w:val="left" w:pos="720"/>
        </w:tabs>
        <w:spacing w:after="0" w:line="276" w:lineRule="auto"/>
        <w:jc w:val="right"/>
        <w:rPr>
          <w:rFonts w:asciiTheme="majorHAnsi" w:hAnsiTheme="majorHAnsi" w:cstheme="majorHAnsi"/>
          <w:bCs/>
          <w:szCs w:val="28"/>
          <w:lang w:val="ro-MD"/>
        </w:rPr>
      </w:pPr>
      <w:r w:rsidRPr="009E5B39">
        <w:rPr>
          <w:rFonts w:asciiTheme="majorHAnsi" w:hAnsiTheme="majorHAnsi" w:cstheme="majorHAnsi"/>
          <w:bCs/>
          <w:szCs w:val="28"/>
          <w:lang w:val="ro-MD"/>
        </w:rPr>
        <w:t xml:space="preserve">la Hotărârea Curții de Conturi </w:t>
      </w:r>
    </w:p>
    <w:p w14:paraId="7CCA81DD" w14:textId="28DDB580" w:rsidR="00850555" w:rsidRPr="009E5B39" w:rsidRDefault="00850555" w:rsidP="00EF4BC3">
      <w:pPr>
        <w:tabs>
          <w:tab w:val="left" w:pos="720"/>
        </w:tabs>
        <w:spacing w:after="0" w:line="276" w:lineRule="auto"/>
        <w:jc w:val="right"/>
        <w:rPr>
          <w:rFonts w:asciiTheme="majorHAnsi" w:hAnsiTheme="majorHAnsi" w:cstheme="majorHAnsi"/>
          <w:bCs/>
          <w:szCs w:val="28"/>
          <w:lang w:val="ro-MD"/>
        </w:rPr>
      </w:pPr>
      <w:r w:rsidRPr="009E5B39">
        <w:rPr>
          <w:rFonts w:asciiTheme="majorHAnsi" w:hAnsiTheme="majorHAnsi" w:cstheme="majorHAnsi"/>
          <w:bCs/>
          <w:szCs w:val="28"/>
          <w:lang w:val="ro-MD"/>
        </w:rPr>
        <w:t xml:space="preserve"> nr.</w:t>
      </w:r>
      <w:r w:rsidR="00245E5D" w:rsidRPr="009E5B39">
        <w:rPr>
          <w:rFonts w:asciiTheme="majorHAnsi" w:hAnsiTheme="majorHAnsi" w:cstheme="majorHAnsi"/>
          <w:bCs/>
          <w:szCs w:val="28"/>
          <w:lang w:val="ro-MD"/>
        </w:rPr>
        <w:t xml:space="preserve"> 53</w:t>
      </w:r>
      <w:r w:rsidRPr="009E5B39">
        <w:rPr>
          <w:rFonts w:asciiTheme="majorHAnsi" w:hAnsiTheme="majorHAnsi" w:cstheme="majorHAnsi"/>
          <w:bCs/>
          <w:szCs w:val="28"/>
          <w:lang w:val="ro-MD"/>
        </w:rPr>
        <w:t xml:space="preserve"> din </w:t>
      </w:r>
      <w:r w:rsidR="00245E5D" w:rsidRPr="009E5B39">
        <w:rPr>
          <w:rFonts w:asciiTheme="majorHAnsi" w:hAnsiTheme="majorHAnsi" w:cstheme="majorHAnsi"/>
          <w:bCs/>
          <w:szCs w:val="28"/>
          <w:lang w:val="ro-MD"/>
        </w:rPr>
        <w:t>19 septembrie</w:t>
      </w:r>
      <w:r w:rsidRPr="009E5B39">
        <w:rPr>
          <w:rFonts w:asciiTheme="majorHAnsi" w:hAnsiTheme="majorHAnsi" w:cstheme="majorHAnsi"/>
          <w:bCs/>
          <w:szCs w:val="28"/>
          <w:lang w:val="ro-MD"/>
        </w:rPr>
        <w:t xml:space="preserve"> 2022</w:t>
      </w:r>
    </w:p>
    <w:p w14:paraId="7FE500A7" w14:textId="1E93F30D" w:rsidR="00850555" w:rsidRPr="009E5B39" w:rsidRDefault="00850555" w:rsidP="00EF4BC3">
      <w:pPr>
        <w:spacing w:after="0" w:line="276" w:lineRule="auto"/>
        <w:rPr>
          <w:rFonts w:asciiTheme="majorHAnsi" w:hAnsiTheme="majorHAnsi" w:cstheme="majorHAnsi"/>
          <w:lang w:val="ro-MD"/>
        </w:rPr>
      </w:pPr>
    </w:p>
    <w:p w14:paraId="0F571329" w14:textId="2CDFECE6" w:rsidR="00850555" w:rsidRPr="009E5B39" w:rsidRDefault="00850555" w:rsidP="00EF4BC3">
      <w:pPr>
        <w:spacing w:after="0" w:line="276" w:lineRule="auto"/>
        <w:rPr>
          <w:rFonts w:asciiTheme="majorHAnsi" w:hAnsiTheme="majorHAnsi" w:cstheme="majorHAnsi"/>
          <w:lang w:val="ro-MD"/>
        </w:rPr>
      </w:pPr>
    </w:p>
    <w:p w14:paraId="1A86D58D" w14:textId="25900FB8" w:rsidR="00850555" w:rsidRPr="009E5B39" w:rsidRDefault="00850555" w:rsidP="00EF4BC3">
      <w:pPr>
        <w:spacing w:after="0" w:line="276" w:lineRule="auto"/>
        <w:jc w:val="center"/>
        <w:rPr>
          <w:rFonts w:asciiTheme="majorHAnsi" w:hAnsiTheme="majorHAnsi" w:cstheme="majorHAnsi"/>
          <w:b/>
          <w:szCs w:val="28"/>
          <w:lang w:val="ro-MD"/>
        </w:rPr>
      </w:pPr>
    </w:p>
    <w:p w14:paraId="41BB4AE7" w14:textId="7FB474C8" w:rsidR="00850555" w:rsidRPr="009E5B39" w:rsidRDefault="00850555" w:rsidP="00EF4BC3">
      <w:pPr>
        <w:spacing w:after="0" w:line="276" w:lineRule="auto"/>
        <w:jc w:val="center"/>
        <w:rPr>
          <w:rFonts w:asciiTheme="majorHAnsi" w:hAnsiTheme="majorHAnsi" w:cstheme="majorHAnsi"/>
          <w:b/>
          <w:szCs w:val="28"/>
          <w:lang w:val="ro-MD"/>
        </w:rPr>
      </w:pPr>
      <w:r w:rsidRPr="009E5B39">
        <w:rPr>
          <w:rFonts w:asciiTheme="majorHAnsi" w:hAnsiTheme="majorHAnsi" w:cstheme="majorHAnsi"/>
          <w:b/>
          <w:noProof/>
          <w:szCs w:val="28"/>
        </w:rPr>
        <w:drawing>
          <wp:inline distT="0" distB="0" distL="0" distR="0" wp14:anchorId="62B3AD90" wp14:editId="22164787">
            <wp:extent cx="1186775" cy="119333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364" cy="1228112"/>
                    </a:xfrm>
                    <a:prstGeom prst="rect">
                      <a:avLst/>
                    </a:prstGeom>
                    <a:noFill/>
                    <a:ln>
                      <a:noFill/>
                    </a:ln>
                  </pic:spPr>
                </pic:pic>
              </a:graphicData>
            </a:graphic>
          </wp:inline>
        </w:drawing>
      </w:r>
    </w:p>
    <w:p w14:paraId="4935611A" w14:textId="5C95B295" w:rsidR="00850555" w:rsidRPr="009E5B39" w:rsidRDefault="00850555" w:rsidP="00EF4BC3">
      <w:pPr>
        <w:spacing w:after="0" w:line="276" w:lineRule="auto"/>
        <w:jc w:val="center"/>
        <w:rPr>
          <w:rFonts w:asciiTheme="majorHAnsi" w:hAnsiTheme="majorHAnsi" w:cstheme="majorHAnsi"/>
          <w:b/>
          <w:szCs w:val="28"/>
          <w:lang w:val="ro-MD"/>
        </w:rPr>
      </w:pPr>
    </w:p>
    <w:p w14:paraId="1FDAEC7A" w14:textId="75F0F3EA" w:rsidR="00850555" w:rsidRPr="009E5B39" w:rsidRDefault="00850555" w:rsidP="00EF4BC3">
      <w:pPr>
        <w:spacing w:after="0" w:line="276" w:lineRule="auto"/>
        <w:jc w:val="center"/>
        <w:rPr>
          <w:rFonts w:asciiTheme="majorHAnsi" w:hAnsiTheme="majorHAnsi" w:cstheme="majorHAnsi"/>
          <w:b/>
          <w:szCs w:val="28"/>
          <w:lang w:val="ro-MD"/>
        </w:rPr>
      </w:pPr>
    </w:p>
    <w:p w14:paraId="2CAEC97B" w14:textId="37CA4687" w:rsidR="00850555" w:rsidRPr="009E5B39" w:rsidRDefault="00850555" w:rsidP="00EF4BC3">
      <w:pPr>
        <w:spacing w:after="0" w:line="276" w:lineRule="auto"/>
        <w:jc w:val="center"/>
        <w:rPr>
          <w:rFonts w:asciiTheme="majorHAnsi" w:hAnsiTheme="majorHAnsi" w:cstheme="majorHAnsi"/>
          <w:b/>
          <w:color w:val="000000" w:themeColor="text1"/>
          <w:sz w:val="32"/>
          <w:szCs w:val="32"/>
          <w:lang w:val="ro-MD"/>
        </w:rPr>
      </w:pPr>
      <w:r w:rsidRPr="009E5B39">
        <w:rPr>
          <w:rFonts w:asciiTheme="majorHAnsi" w:hAnsiTheme="majorHAnsi" w:cstheme="majorHAnsi"/>
          <w:b/>
          <w:color w:val="000000" w:themeColor="text1"/>
          <w:sz w:val="32"/>
          <w:szCs w:val="32"/>
          <w:lang w:val="ro-MD"/>
        </w:rPr>
        <w:t>CURTEA DE CONTURI A REPUBLICII MOLDOVA</w:t>
      </w:r>
    </w:p>
    <w:p w14:paraId="48744043" w14:textId="66007FE2" w:rsidR="00850555" w:rsidRPr="009E5B39" w:rsidRDefault="00850555" w:rsidP="00EF4BC3">
      <w:pPr>
        <w:spacing w:after="0" w:line="276" w:lineRule="auto"/>
        <w:rPr>
          <w:rFonts w:asciiTheme="majorHAnsi" w:hAnsiTheme="majorHAnsi" w:cstheme="majorHAnsi"/>
          <w:lang w:val="ro-MD"/>
        </w:rPr>
      </w:pPr>
    </w:p>
    <w:p w14:paraId="2ED2163E" w14:textId="3C36EEF2" w:rsidR="00850555" w:rsidRPr="009E5B39" w:rsidRDefault="00850555" w:rsidP="00EF4BC3">
      <w:pPr>
        <w:tabs>
          <w:tab w:val="left" w:pos="720"/>
        </w:tabs>
        <w:spacing w:after="0" w:line="276" w:lineRule="auto"/>
        <w:jc w:val="right"/>
        <w:rPr>
          <w:rFonts w:asciiTheme="majorHAnsi" w:hAnsiTheme="majorHAnsi" w:cstheme="majorHAnsi"/>
          <w:b/>
          <w:bCs/>
          <w:lang w:val="ro-MD"/>
        </w:rPr>
      </w:pPr>
    </w:p>
    <w:tbl>
      <w:tblPr>
        <w:tblW w:w="0" w:type="auto"/>
        <w:tblBorders>
          <w:top w:val="thinThickSmallGap" w:sz="12" w:space="0" w:color="auto"/>
          <w:bottom w:val="thickThinSmallGap" w:sz="12" w:space="0" w:color="auto"/>
        </w:tblBorders>
        <w:tblLook w:val="04A0" w:firstRow="1" w:lastRow="0" w:firstColumn="1" w:lastColumn="0" w:noHBand="0" w:noVBand="1"/>
      </w:tblPr>
      <w:tblGrid>
        <w:gridCol w:w="9350"/>
      </w:tblGrid>
      <w:tr w:rsidR="00EF4BC3" w:rsidRPr="009E5B39" w14:paraId="01039ACA" w14:textId="05B54A5A" w:rsidTr="0043115A">
        <w:trPr>
          <w:trHeight w:val="435"/>
        </w:trPr>
        <w:tc>
          <w:tcPr>
            <w:tcW w:w="9350" w:type="dxa"/>
            <w:tcBorders>
              <w:top w:val="thinThickSmallGap" w:sz="12" w:space="0" w:color="auto"/>
              <w:left w:val="nil"/>
              <w:bottom w:val="thickThinSmallGap" w:sz="12" w:space="0" w:color="auto"/>
              <w:right w:val="nil"/>
            </w:tcBorders>
            <w:hideMark/>
          </w:tcPr>
          <w:p w14:paraId="4CAC2270" w14:textId="22799EB2" w:rsidR="00850555" w:rsidRPr="009E5B39" w:rsidRDefault="00850555" w:rsidP="00EF4BC3">
            <w:pPr>
              <w:tabs>
                <w:tab w:val="left" w:pos="720"/>
              </w:tabs>
              <w:spacing w:after="0" w:line="276" w:lineRule="auto"/>
              <w:jc w:val="center"/>
              <w:rPr>
                <w:rFonts w:asciiTheme="majorHAnsi" w:eastAsia="Calibri" w:hAnsiTheme="majorHAnsi" w:cstheme="majorHAnsi"/>
                <w:b/>
                <w:bCs/>
                <w:iCs/>
                <w:sz w:val="20"/>
                <w:szCs w:val="20"/>
                <w:lang w:val="ro-MD"/>
              </w:rPr>
            </w:pPr>
            <w:r w:rsidRPr="009E5B39">
              <w:rPr>
                <w:rFonts w:asciiTheme="majorHAnsi" w:eastAsia="Calibri" w:hAnsiTheme="majorHAnsi" w:cstheme="majorHAnsi"/>
                <w:b/>
                <w:bCs/>
                <w:iCs/>
                <w:sz w:val="20"/>
                <w:szCs w:val="20"/>
                <w:lang w:val="ro-MD"/>
              </w:rPr>
              <w:t xml:space="preserve">MD-2001, mun. Chișinău, bd. Ștefan cel Mare și Sfânt nr.69, tel. (+373 22) 26 60 02, </w:t>
            </w:r>
          </w:p>
          <w:p w14:paraId="02B1FB55" w14:textId="0A193FE8" w:rsidR="00850555" w:rsidRPr="009E5B39" w:rsidRDefault="00850555" w:rsidP="00EF4BC3">
            <w:pPr>
              <w:tabs>
                <w:tab w:val="left" w:pos="720"/>
              </w:tabs>
              <w:spacing w:after="0" w:line="276" w:lineRule="auto"/>
              <w:jc w:val="center"/>
              <w:rPr>
                <w:rFonts w:asciiTheme="majorHAnsi" w:hAnsiTheme="majorHAnsi" w:cstheme="majorHAnsi"/>
                <w:b/>
                <w:bCs/>
                <w:lang w:val="ro-MD"/>
              </w:rPr>
            </w:pPr>
            <w:r w:rsidRPr="009E5B39">
              <w:rPr>
                <w:rFonts w:asciiTheme="majorHAnsi" w:eastAsia="Calibri" w:hAnsiTheme="majorHAnsi" w:cstheme="majorHAnsi"/>
                <w:b/>
                <w:bCs/>
                <w:iCs/>
                <w:sz w:val="20"/>
                <w:szCs w:val="20"/>
                <w:lang w:val="ro-MD"/>
              </w:rPr>
              <w:t xml:space="preserve">fax: (+373 22) 26 61 00, web: </w:t>
            </w:r>
            <w:hyperlink r:id="rId9" w:history="1">
              <w:r w:rsidRPr="009E5B39">
                <w:rPr>
                  <w:rFonts w:asciiTheme="majorHAnsi" w:eastAsia="Calibri" w:hAnsiTheme="majorHAnsi" w:cstheme="majorHAnsi"/>
                  <w:b/>
                  <w:bCs/>
                  <w:sz w:val="20"/>
                  <w:szCs w:val="20"/>
                  <w:u w:val="single"/>
                  <w:lang w:val="ro-MD"/>
                </w:rPr>
                <w:t>www.ccrm.md</w:t>
              </w:r>
            </w:hyperlink>
            <w:r w:rsidRPr="009E5B39">
              <w:rPr>
                <w:rFonts w:asciiTheme="majorHAnsi" w:eastAsia="Calibri" w:hAnsiTheme="majorHAnsi" w:cstheme="majorHAnsi"/>
                <w:b/>
                <w:bCs/>
                <w:iCs/>
                <w:sz w:val="20"/>
                <w:szCs w:val="20"/>
                <w:lang w:val="ro-MD"/>
              </w:rPr>
              <w:t xml:space="preserve">, e-mail: </w:t>
            </w:r>
            <w:hyperlink r:id="rId10" w:history="1">
              <w:r w:rsidRPr="009E5B39">
                <w:rPr>
                  <w:rFonts w:asciiTheme="majorHAnsi" w:eastAsia="Calibri" w:hAnsiTheme="majorHAnsi" w:cstheme="majorHAnsi"/>
                  <w:b/>
                  <w:bCs/>
                  <w:sz w:val="20"/>
                  <w:szCs w:val="20"/>
                  <w:u w:val="single"/>
                  <w:lang w:val="ro-MD"/>
                </w:rPr>
                <w:t>ccrm@ccrm.md</w:t>
              </w:r>
            </w:hyperlink>
          </w:p>
        </w:tc>
      </w:tr>
    </w:tbl>
    <w:p w14:paraId="0255DFA0" w14:textId="16F21279" w:rsidR="00850555" w:rsidRPr="009E5B39" w:rsidRDefault="00850555" w:rsidP="00EF4BC3">
      <w:pPr>
        <w:tabs>
          <w:tab w:val="left" w:pos="720"/>
        </w:tabs>
        <w:spacing w:after="0" w:line="276" w:lineRule="auto"/>
        <w:jc w:val="right"/>
        <w:rPr>
          <w:rFonts w:asciiTheme="majorHAnsi" w:hAnsiTheme="majorHAnsi" w:cstheme="majorHAnsi"/>
          <w:b/>
          <w:bCs/>
          <w:lang w:val="ro-MD"/>
        </w:rPr>
      </w:pPr>
      <w:r w:rsidRPr="009E5B39">
        <w:rPr>
          <w:rFonts w:asciiTheme="majorHAnsi" w:hAnsiTheme="majorHAnsi" w:cstheme="majorHAnsi"/>
          <w:b/>
          <w:bCs/>
          <w:lang w:val="ro-MD"/>
        </w:rPr>
        <w:t xml:space="preserve"> </w:t>
      </w:r>
    </w:p>
    <w:p w14:paraId="3370B5FE" w14:textId="5FBB7323" w:rsidR="00850555" w:rsidRPr="009E5B39" w:rsidRDefault="00850555" w:rsidP="00EF4BC3">
      <w:pPr>
        <w:tabs>
          <w:tab w:val="left" w:pos="720"/>
        </w:tabs>
        <w:spacing w:after="0" w:line="276" w:lineRule="auto"/>
        <w:jc w:val="right"/>
        <w:rPr>
          <w:rFonts w:asciiTheme="majorHAnsi" w:hAnsiTheme="majorHAnsi" w:cstheme="majorHAnsi"/>
          <w:b/>
          <w:bCs/>
          <w:lang w:val="ro-MD"/>
        </w:rPr>
      </w:pPr>
    </w:p>
    <w:p w14:paraId="060292D3" w14:textId="353CF4FC" w:rsidR="00850555" w:rsidRPr="009E5B39" w:rsidRDefault="00850555" w:rsidP="00EF4BC3">
      <w:pPr>
        <w:spacing w:after="0" w:line="276" w:lineRule="auto"/>
        <w:jc w:val="center"/>
        <w:rPr>
          <w:rFonts w:asciiTheme="majorHAnsi" w:hAnsiTheme="majorHAnsi" w:cstheme="majorHAnsi"/>
          <w:lang w:val="ro-MD"/>
        </w:rPr>
      </w:pPr>
    </w:p>
    <w:p w14:paraId="2BC75220" w14:textId="7E8F3744" w:rsidR="00850555" w:rsidRPr="009E5B39" w:rsidRDefault="00850555" w:rsidP="00EF4BC3">
      <w:pPr>
        <w:spacing w:after="0" w:line="276" w:lineRule="auto"/>
        <w:jc w:val="center"/>
        <w:rPr>
          <w:rFonts w:asciiTheme="majorHAnsi" w:hAnsiTheme="majorHAnsi" w:cstheme="majorHAnsi"/>
          <w:b/>
          <w:sz w:val="28"/>
          <w:szCs w:val="28"/>
          <w:lang w:val="ro-MD"/>
        </w:rPr>
      </w:pPr>
    </w:p>
    <w:p w14:paraId="18A670EE" w14:textId="08502372" w:rsidR="00850555" w:rsidRPr="009E5B39" w:rsidRDefault="00850555" w:rsidP="00EF4BC3">
      <w:pPr>
        <w:spacing w:after="0" w:line="276" w:lineRule="auto"/>
        <w:jc w:val="center"/>
        <w:rPr>
          <w:rFonts w:asciiTheme="majorHAnsi" w:hAnsiTheme="majorHAnsi" w:cstheme="majorHAnsi"/>
          <w:sz w:val="32"/>
          <w:szCs w:val="32"/>
          <w:lang w:val="ro-MD"/>
        </w:rPr>
      </w:pPr>
      <w:r w:rsidRPr="009E5B39">
        <w:rPr>
          <w:rFonts w:asciiTheme="majorHAnsi" w:hAnsiTheme="majorHAnsi" w:cstheme="majorHAnsi"/>
          <w:b/>
          <w:sz w:val="32"/>
          <w:szCs w:val="32"/>
          <w:lang w:val="ro-MD"/>
        </w:rPr>
        <w:t>RAPORTUL</w:t>
      </w:r>
    </w:p>
    <w:p w14:paraId="44470761" w14:textId="0262AF72" w:rsidR="00F55B80" w:rsidRPr="009E5B39" w:rsidRDefault="00850555" w:rsidP="00EF4BC3">
      <w:pPr>
        <w:spacing w:after="0" w:line="276" w:lineRule="auto"/>
        <w:jc w:val="center"/>
        <w:rPr>
          <w:rFonts w:asciiTheme="majorHAnsi" w:hAnsiTheme="majorHAnsi" w:cstheme="majorHAnsi"/>
          <w:b/>
          <w:color w:val="000000" w:themeColor="text1"/>
          <w:sz w:val="28"/>
          <w:szCs w:val="28"/>
          <w:lang w:val="ro-MD"/>
        </w:rPr>
      </w:pPr>
      <w:r w:rsidRPr="009E5B39">
        <w:rPr>
          <w:rFonts w:asciiTheme="majorHAnsi" w:hAnsiTheme="majorHAnsi" w:cstheme="majorHAnsi"/>
          <w:b/>
          <w:color w:val="000000" w:themeColor="text1"/>
          <w:sz w:val="28"/>
          <w:szCs w:val="28"/>
          <w:lang w:val="ro-MD"/>
        </w:rPr>
        <w:t xml:space="preserve">auditului conformității </w:t>
      </w:r>
      <w:r w:rsidR="00A03A52" w:rsidRPr="009E5B39">
        <w:rPr>
          <w:rFonts w:asciiTheme="majorHAnsi" w:hAnsiTheme="majorHAnsi" w:cstheme="majorHAnsi"/>
          <w:b/>
          <w:color w:val="000000" w:themeColor="text1"/>
          <w:sz w:val="28"/>
          <w:szCs w:val="28"/>
          <w:lang w:val="ro-MD"/>
        </w:rPr>
        <w:t xml:space="preserve">asupra </w:t>
      </w:r>
      <w:r w:rsidRPr="009E5B39">
        <w:rPr>
          <w:rFonts w:asciiTheme="majorHAnsi" w:hAnsiTheme="majorHAnsi" w:cstheme="majorHAnsi"/>
          <w:b/>
          <w:color w:val="000000" w:themeColor="text1"/>
          <w:sz w:val="28"/>
          <w:szCs w:val="28"/>
          <w:lang w:val="ro-MD"/>
        </w:rPr>
        <w:t xml:space="preserve">procesului bugetar și gestionării patrimoniului public în anii 2018-2020 la </w:t>
      </w:r>
      <w:r w:rsidR="0052780F" w:rsidRPr="009E5B39">
        <w:rPr>
          <w:rFonts w:asciiTheme="majorHAnsi" w:hAnsiTheme="majorHAnsi" w:cstheme="majorHAnsi"/>
          <w:b/>
          <w:color w:val="000000" w:themeColor="text1"/>
          <w:sz w:val="28"/>
          <w:szCs w:val="28"/>
          <w:lang w:val="ro-MD"/>
        </w:rPr>
        <w:t>unitatea administrativ-teritorială</w:t>
      </w:r>
      <w:r w:rsidR="00F55B80" w:rsidRPr="009E5B39">
        <w:rPr>
          <w:rFonts w:asciiTheme="majorHAnsi" w:hAnsiTheme="majorHAnsi" w:cstheme="majorHAnsi"/>
          <w:b/>
          <w:color w:val="000000" w:themeColor="text1"/>
          <w:sz w:val="28"/>
          <w:szCs w:val="28"/>
          <w:lang w:val="ro-MD"/>
        </w:rPr>
        <w:t xml:space="preserve"> mun. Chișinău</w:t>
      </w:r>
    </w:p>
    <w:p w14:paraId="73F2FD2C" w14:textId="680F5D6E" w:rsidR="00850555" w:rsidRPr="009E5B39" w:rsidRDefault="00F55B80" w:rsidP="00EF4BC3">
      <w:pPr>
        <w:spacing w:after="0" w:line="276" w:lineRule="auto"/>
        <w:jc w:val="center"/>
        <w:rPr>
          <w:rFonts w:asciiTheme="majorHAnsi" w:hAnsiTheme="majorHAnsi" w:cstheme="majorHAnsi"/>
          <w:b/>
          <w:color w:val="000000" w:themeColor="text1"/>
          <w:sz w:val="28"/>
          <w:szCs w:val="28"/>
          <w:lang w:val="ro-MD"/>
        </w:rPr>
      </w:pPr>
      <w:r w:rsidRPr="009E5B39">
        <w:rPr>
          <w:rFonts w:asciiTheme="majorHAnsi" w:hAnsiTheme="majorHAnsi" w:cstheme="majorHAnsi"/>
          <w:b/>
          <w:color w:val="000000" w:themeColor="text1"/>
          <w:sz w:val="28"/>
          <w:szCs w:val="28"/>
          <w:lang w:val="ro-MD"/>
        </w:rPr>
        <w:t xml:space="preserve">(UAT/bugetul de nivelul II) </w:t>
      </w:r>
    </w:p>
    <w:p w14:paraId="4BE77CEA" w14:textId="779309D6" w:rsidR="00850555" w:rsidRPr="009E5B39" w:rsidRDefault="00850555" w:rsidP="00EF4BC3">
      <w:pPr>
        <w:spacing w:after="0" w:line="276" w:lineRule="auto"/>
        <w:jc w:val="center"/>
        <w:rPr>
          <w:rFonts w:asciiTheme="majorHAnsi" w:hAnsiTheme="majorHAnsi" w:cstheme="majorHAnsi"/>
          <w:sz w:val="28"/>
          <w:szCs w:val="28"/>
          <w:lang w:val="ro-MD"/>
        </w:rPr>
      </w:pPr>
    </w:p>
    <w:p w14:paraId="5EED4FFA" w14:textId="77777777" w:rsidR="00AD788C" w:rsidRPr="009E5B39" w:rsidRDefault="00AD788C" w:rsidP="00EF4BC3">
      <w:pPr>
        <w:spacing w:after="0" w:line="276" w:lineRule="auto"/>
        <w:jc w:val="center"/>
        <w:rPr>
          <w:rFonts w:asciiTheme="majorHAnsi" w:hAnsiTheme="majorHAnsi" w:cstheme="majorHAnsi"/>
          <w:sz w:val="28"/>
          <w:szCs w:val="28"/>
          <w:lang w:val="ro-MD"/>
        </w:rPr>
      </w:pPr>
    </w:p>
    <w:p w14:paraId="0AB007A2" w14:textId="3FD0FD22" w:rsidR="00850555" w:rsidRPr="009E5B39" w:rsidRDefault="00850555" w:rsidP="00EF4BC3">
      <w:pPr>
        <w:spacing w:after="0" w:line="276" w:lineRule="auto"/>
        <w:jc w:val="center"/>
        <w:rPr>
          <w:rFonts w:asciiTheme="majorHAnsi" w:hAnsiTheme="majorHAnsi" w:cstheme="majorHAnsi"/>
          <w:sz w:val="28"/>
          <w:szCs w:val="28"/>
          <w:lang w:val="ro-MD"/>
        </w:rPr>
      </w:pPr>
    </w:p>
    <w:p w14:paraId="1E21978A" w14:textId="4F8BE2C2" w:rsidR="00850555" w:rsidRPr="009E5B39" w:rsidRDefault="00850555" w:rsidP="00EF4BC3">
      <w:pPr>
        <w:spacing w:after="0" w:line="276" w:lineRule="auto"/>
        <w:jc w:val="center"/>
        <w:rPr>
          <w:rFonts w:asciiTheme="majorHAnsi" w:hAnsiTheme="majorHAnsi" w:cstheme="majorHAnsi"/>
          <w:b/>
          <w:sz w:val="28"/>
          <w:szCs w:val="28"/>
          <w:lang w:val="ro-MD"/>
        </w:rPr>
      </w:pPr>
    </w:p>
    <w:p w14:paraId="09BF39C4" w14:textId="4FC53D6A" w:rsidR="00850555" w:rsidRPr="009E5B39" w:rsidRDefault="00850555" w:rsidP="00EF4BC3">
      <w:pPr>
        <w:spacing w:after="0" w:line="276" w:lineRule="auto"/>
        <w:jc w:val="center"/>
        <w:rPr>
          <w:rFonts w:asciiTheme="majorHAnsi" w:hAnsiTheme="majorHAnsi" w:cstheme="majorHAnsi"/>
          <w:lang w:val="ro-MD"/>
        </w:rPr>
      </w:pPr>
    </w:p>
    <w:p w14:paraId="5CD1E8DE" w14:textId="4FC96898" w:rsidR="00992FEF" w:rsidRPr="009E5B39" w:rsidRDefault="00992FEF" w:rsidP="00EF4BC3">
      <w:pPr>
        <w:spacing w:after="0" w:line="276" w:lineRule="auto"/>
        <w:jc w:val="center"/>
        <w:rPr>
          <w:rFonts w:asciiTheme="majorHAnsi" w:hAnsiTheme="majorHAnsi" w:cstheme="majorHAnsi"/>
          <w:lang w:val="ro-MD"/>
        </w:rPr>
      </w:pPr>
    </w:p>
    <w:p w14:paraId="7CBE7B69" w14:textId="100C11DD" w:rsidR="00992FEF" w:rsidRPr="009E5B39" w:rsidRDefault="00992FEF" w:rsidP="00EF4BC3">
      <w:pPr>
        <w:spacing w:after="0" w:line="276" w:lineRule="auto"/>
        <w:jc w:val="center"/>
        <w:rPr>
          <w:rFonts w:asciiTheme="majorHAnsi" w:hAnsiTheme="majorHAnsi" w:cstheme="majorHAnsi"/>
          <w:lang w:val="ro-MD"/>
        </w:rPr>
      </w:pPr>
    </w:p>
    <w:p w14:paraId="3A160B20" w14:textId="64531721" w:rsidR="00992FEF" w:rsidRPr="009E5B39" w:rsidRDefault="00992FEF" w:rsidP="00EF4BC3">
      <w:pPr>
        <w:spacing w:after="0" w:line="276" w:lineRule="auto"/>
        <w:jc w:val="center"/>
        <w:rPr>
          <w:rFonts w:asciiTheme="majorHAnsi" w:hAnsiTheme="majorHAnsi" w:cstheme="majorHAnsi"/>
          <w:lang w:val="ro-MD"/>
        </w:rPr>
      </w:pPr>
    </w:p>
    <w:p w14:paraId="62AB3D74" w14:textId="41E50D03" w:rsidR="00992FEF" w:rsidRPr="009E5B39" w:rsidRDefault="00992FEF" w:rsidP="00EF4BC3">
      <w:pPr>
        <w:spacing w:after="0" w:line="276" w:lineRule="auto"/>
        <w:jc w:val="center"/>
        <w:rPr>
          <w:rFonts w:asciiTheme="majorHAnsi" w:hAnsiTheme="majorHAnsi" w:cstheme="majorHAnsi"/>
          <w:lang w:val="ro-MD"/>
        </w:rPr>
      </w:pPr>
    </w:p>
    <w:p w14:paraId="0B310735" w14:textId="47F52DA5" w:rsidR="00992FEF" w:rsidRPr="009E5B39" w:rsidRDefault="00992FEF" w:rsidP="00EF4BC3">
      <w:pPr>
        <w:spacing w:after="0" w:line="276" w:lineRule="auto"/>
        <w:jc w:val="center"/>
        <w:rPr>
          <w:rFonts w:asciiTheme="majorHAnsi" w:hAnsiTheme="majorHAnsi" w:cstheme="majorHAnsi"/>
          <w:lang w:val="ro-MD"/>
        </w:rPr>
      </w:pPr>
    </w:p>
    <w:p w14:paraId="23E4EF2E" w14:textId="5706B5FB" w:rsidR="00992FEF" w:rsidRPr="009E5B39" w:rsidRDefault="00992FEF" w:rsidP="00EF4BC3">
      <w:pPr>
        <w:spacing w:after="0" w:line="276" w:lineRule="auto"/>
        <w:jc w:val="center"/>
        <w:rPr>
          <w:rFonts w:asciiTheme="majorHAnsi" w:hAnsiTheme="majorHAnsi" w:cstheme="majorHAnsi"/>
          <w:lang w:val="ro-MD"/>
        </w:rPr>
      </w:pPr>
    </w:p>
    <w:p w14:paraId="37803FF7" w14:textId="58360137" w:rsidR="00992FEF" w:rsidRPr="009E5B39" w:rsidRDefault="00992FEF" w:rsidP="00EF4BC3">
      <w:pPr>
        <w:spacing w:after="0" w:line="276" w:lineRule="auto"/>
        <w:jc w:val="center"/>
        <w:rPr>
          <w:rFonts w:asciiTheme="majorHAnsi" w:hAnsiTheme="majorHAnsi" w:cstheme="majorHAnsi"/>
          <w:lang w:val="ro-MD"/>
        </w:rPr>
      </w:pPr>
    </w:p>
    <w:p w14:paraId="2AD98D06" w14:textId="19E9321B" w:rsidR="00992FEF" w:rsidRPr="009E5B39" w:rsidRDefault="00992FEF" w:rsidP="00EF4BC3">
      <w:pPr>
        <w:spacing w:after="0" w:line="276" w:lineRule="auto"/>
        <w:jc w:val="center"/>
        <w:rPr>
          <w:rFonts w:asciiTheme="majorHAnsi" w:hAnsiTheme="majorHAnsi" w:cstheme="majorHAnsi"/>
          <w:lang w:val="ro-MD"/>
        </w:rPr>
      </w:pPr>
    </w:p>
    <w:p w14:paraId="2233F7AC" w14:textId="7DAC228E" w:rsidR="00992FEF" w:rsidRPr="009E5B39" w:rsidRDefault="00992FEF" w:rsidP="00EF4BC3">
      <w:pPr>
        <w:spacing w:after="0" w:line="276" w:lineRule="auto"/>
        <w:jc w:val="center"/>
        <w:rPr>
          <w:rFonts w:asciiTheme="majorHAnsi" w:hAnsiTheme="majorHAnsi" w:cstheme="majorHAnsi"/>
          <w:lang w:val="ro-MD"/>
        </w:rPr>
      </w:pPr>
    </w:p>
    <w:p w14:paraId="4FB69F3D" w14:textId="77777777" w:rsidR="00992FEF" w:rsidRPr="009E5B39" w:rsidRDefault="00992FEF" w:rsidP="00EF4BC3">
      <w:pPr>
        <w:spacing w:after="0" w:line="276" w:lineRule="auto"/>
        <w:jc w:val="center"/>
        <w:rPr>
          <w:rFonts w:asciiTheme="majorHAnsi" w:hAnsiTheme="majorHAnsi" w:cstheme="majorHAnsi"/>
          <w:lang w:val="ro-MD"/>
        </w:rPr>
      </w:pPr>
    </w:p>
    <w:p w14:paraId="0817C343" w14:textId="0AC7F0F9" w:rsidR="00850555" w:rsidRPr="009E5B39" w:rsidRDefault="00850555" w:rsidP="00EF4BC3">
      <w:pPr>
        <w:spacing w:after="0" w:line="276" w:lineRule="auto"/>
        <w:jc w:val="center"/>
        <w:rPr>
          <w:rFonts w:asciiTheme="majorHAnsi" w:hAnsiTheme="majorHAnsi" w:cstheme="majorHAnsi"/>
          <w:lang w:val="ro-MD"/>
        </w:rPr>
      </w:pPr>
      <w:r w:rsidRPr="009E5B39">
        <w:rPr>
          <w:rFonts w:asciiTheme="majorHAnsi" w:hAnsiTheme="majorHAnsi" w:cstheme="majorHAnsi"/>
          <w:lang w:val="ro-MD"/>
        </w:rPr>
        <w:t>Chișinău, 2022</w:t>
      </w:r>
    </w:p>
    <w:sdt>
      <w:sdtPr>
        <w:rPr>
          <w:rFonts w:asciiTheme="minorHAnsi" w:eastAsiaTheme="minorHAnsi" w:hAnsiTheme="minorHAnsi" w:cstheme="majorHAnsi"/>
          <w:color w:val="auto"/>
          <w:sz w:val="24"/>
          <w:szCs w:val="24"/>
          <w:lang w:val="ro-MD"/>
        </w:rPr>
        <w:id w:val="-1993470695"/>
        <w:docPartObj>
          <w:docPartGallery w:val="Table of Contents"/>
          <w:docPartUnique/>
        </w:docPartObj>
      </w:sdtPr>
      <w:sdtEndPr>
        <w:rPr>
          <w:b/>
          <w:bCs/>
        </w:rPr>
      </w:sdtEndPr>
      <w:sdtContent>
        <w:p w14:paraId="12AA9784" w14:textId="0E380FA2" w:rsidR="00850555" w:rsidRPr="009E5B39" w:rsidRDefault="00850555" w:rsidP="00EF4BC3">
          <w:pPr>
            <w:pStyle w:val="TOCHeading"/>
            <w:spacing w:before="0" w:line="240" w:lineRule="auto"/>
            <w:rPr>
              <w:rFonts w:cstheme="majorHAnsi"/>
              <w:color w:val="auto"/>
              <w:sz w:val="24"/>
              <w:szCs w:val="24"/>
              <w:lang w:val="ro-MD"/>
            </w:rPr>
          </w:pPr>
          <w:r w:rsidRPr="009E5B39">
            <w:rPr>
              <w:rFonts w:cstheme="majorHAnsi"/>
              <w:color w:val="auto"/>
              <w:sz w:val="24"/>
              <w:szCs w:val="24"/>
              <w:lang w:val="ro-MD"/>
            </w:rPr>
            <w:t>Cuprins:</w:t>
          </w:r>
        </w:p>
        <w:p w14:paraId="4087FD70" w14:textId="3AC37665" w:rsidR="00470BF4" w:rsidRPr="009E5B39" w:rsidRDefault="00850555">
          <w:pPr>
            <w:pStyle w:val="TOC1"/>
            <w:rPr>
              <w:rFonts w:asciiTheme="minorHAnsi" w:eastAsiaTheme="minorEastAsia" w:hAnsiTheme="minorHAnsi" w:cstheme="minorBidi"/>
              <w:b w:val="0"/>
              <w:sz w:val="22"/>
              <w:szCs w:val="22"/>
              <w:shd w:val="clear" w:color="auto" w:fill="auto"/>
            </w:rPr>
          </w:pPr>
          <w:r w:rsidRPr="009E5B39">
            <w:rPr>
              <w:noProof w:val="0"/>
            </w:rPr>
            <w:fldChar w:fldCharType="begin"/>
          </w:r>
          <w:r w:rsidRPr="009E5B39">
            <w:rPr>
              <w:noProof w:val="0"/>
            </w:rPr>
            <w:instrText xml:space="preserve"> TOC \o "1-3" \h \z \u </w:instrText>
          </w:r>
          <w:r w:rsidRPr="009E5B39">
            <w:rPr>
              <w:noProof w:val="0"/>
            </w:rPr>
            <w:fldChar w:fldCharType="separate"/>
          </w:r>
          <w:hyperlink w:anchor="_Toc116026871" w:history="1">
            <w:r w:rsidR="00470BF4" w:rsidRPr="009E5B39">
              <w:rPr>
                <w:rStyle w:val="Hyperlink"/>
                <w:bCs/>
              </w:rPr>
              <w:t>LISTA ACRONIMELOR</w:t>
            </w:r>
            <w:r w:rsidR="00470BF4" w:rsidRPr="009E5B39">
              <w:rPr>
                <w:webHidden/>
              </w:rPr>
              <w:tab/>
            </w:r>
            <w:r w:rsidR="00470BF4" w:rsidRPr="009E5B39">
              <w:rPr>
                <w:webHidden/>
              </w:rPr>
              <w:fldChar w:fldCharType="begin"/>
            </w:r>
            <w:r w:rsidR="00470BF4" w:rsidRPr="009E5B39">
              <w:rPr>
                <w:webHidden/>
              </w:rPr>
              <w:instrText xml:space="preserve"> PAGEREF _Toc116026871 \h </w:instrText>
            </w:r>
            <w:r w:rsidR="00470BF4" w:rsidRPr="009E5B39">
              <w:rPr>
                <w:webHidden/>
              </w:rPr>
            </w:r>
            <w:r w:rsidR="00470BF4" w:rsidRPr="009E5B39">
              <w:rPr>
                <w:webHidden/>
              </w:rPr>
              <w:fldChar w:fldCharType="separate"/>
            </w:r>
            <w:r w:rsidR="00D0690F">
              <w:rPr>
                <w:webHidden/>
              </w:rPr>
              <w:t>3</w:t>
            </w:r>
            <w:r w:rsidR="00470BF4" w:rsidRPr="009E5B39">
              <w:rPr>
                <w:webHidden/>
              </w:rPr>
              <w:fldChar w:fldCharType="end"/>
            </w:r>
          </w:hyperlink>
        </w:p>
        <w:p w14:paraId="3C1278DF" w14:textId="0837AE89"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72" w:history="1">
            <w:r w:rsidR="00470BF4" w:rsidRPr="009E5B39">
              <w:rPr>
                <w:rStyle w:val="Hyperlink"/>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GLOSAR</w:t>
            </w:r>
            <w:r w:rsidR="00470BF4" w:rsidRPr="009E5B39">
              <w:rPr>
                <w:webHidden/>
              </w:rPr>
              <w:tab/>
            </w:r>
            <w:r w:rsidR="00470BF4" w:rsidRPr="009E5B39">
              <w:rPr>
                <w:webHidden/>
              </w:rPr>
              <w:fldChar w:fldCharType="begin"/>
            </w:r>
            <w:r w:rsidR="00470BF4" w:rsidRPr="009E5B39">
              <w:rPr>
                <w:webHidden/>
              </w:rPr>
              <w:instrText xml:space="preserve"> PAGEREF _Toc116026872 \h </w:instrText>
            </w:r>
            <w:r w:rsidR="00470BF4" w:rsidRPr="009E5B39">
              <w:rPr>
                <w:webHidden/>
              </w:rPr>
            </w:r>
            <w:r w:rsidR="00470BF4" w:rsidRPr="009E5B39">
              <w:rPr>
                <w:webHidden/>
              </w:rPr>
              <w:fldChar w:fldCharType="separate"/>
            </w:r>
            <w:r w:rsidR="00D0690F">
              <w:rPr>
                <w:webHidden/>
              </w:rPr>
              <w:t>4</w:t>
            </w:r>
            <w:r w:rsidR="00470BF4" w:rsidRPr="009E5B39">
              <w:rPr>
                <w:webHidden/>
              </w:rPr>
              <w:fldChar w:fldCharType="end"/>
            </w:r>
          </w:hyperlink>
        </w:p>
        <w:p w14:paraId="2BB3CBEB" w14:textId="462F4E86"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73" w:history="1">
            <w:r w:rsidR="00470BF4" w:rsidRPr="009E5B39">
              <w:rPr>
                <w:rStyle w:val="Hyperlink"/>
              </w:rPr>
              <w:t>I.</w:t>
            </w:r>
            <w:r w:rsidR="00470BF4" w:rsidRPr="009E5B39">
              <w:rPr>
                <w:rFonts w:asciiTheme="minorHAnsi" w:eastAsiaTheme="minorEastAsia" w:hAnsiTheme="minorHAnsi" w:cstheme="minorBidi"/>
                <w:b w:val="0"/>
                <w:sz w:val="22"/>
                <w:szCs w:val="22"/>
                <w:shd w:val="clear" w:color="auto" w:fill="auto"/>
              </w:rPr>
              <w:tab/>
            </w:r>
            <w:r w:rsidR="00470BF4" w:rsidRPr="009E5B39">
              <w:rPr>
                <w:rStyle w:val="Hyperlink"/>
              </w:rPr>
              <w:t>SINTEZĂ</w:t>
            </w:r>
            <w:r w:rsidR="00470BF4" w:rsidRPr="009E5B39">
              <w:rPr>
                <w:webHidden/>
              </w:rPr>
              <w:tab/>
            </w:r>
            <w:r w:rsidR="00470BF4" w:rsidRPr="009E5B39">
              <w:rPr>
                <w:webHidden/>
              </w:rPr>
              <w:fldChar w:fldCharType="begin"/>
            </w:r>
            <w:r w:rsidR="00470BF4" w:rsidRPr="009E5B39">
              <w:rPr>
                <w:webHidden/>
              </w:rPr>
              <w:instrText xml:space="preserve"> PAGEREF _Toc116026873 \h </w:instrText>
            </w:r>
            <w:r w:rsidR="00470BF4" w:rsidRPr="009E5B39">
              <w:rPr>
                <w:webHidden/>
              </w:rPr>
            </w:r>
            <w:r w:rsidR="00470BF4" w:rsidRPr="009E5B39">
              <w:rPr>
                <w:webHidden/>
              </w:rPr>
              <w:fldChar w:fldCharType="separate"/>
            </w:r>
            <w:r w:rsidR="00D0690F">
              <w:rPr>
                <w:webHidden/>
              </w:rPr>
              <w:t>5</w:t>
            </w:r>
            <w:r w:rsidR="00470BF4" w:rsidRPr="009E5B39">
              <w:rPr>
                <w:webHidden/>
              </w:rPr>
              <w:fldChar w:fldCharType="end"/>
            </w:r>
          </w:hyperlink>
        </w:p>
        <w:p w14:paraId="2BA2C619" w14:textId="13E32B75"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74" w:history="1">
            <w:r w:rsidR="00470BF4" w:rsidRPr="009E5B39">
              <w:rPr>
                <w:rStyle w:val="Hyperlink"/>
                <w:rFonts w:eastAsia="Times New Roman"/>
              </w:rPr>
              <w:t>II.</w:t>
            </w:r>
            <w:r w:rsidR="00470BF4" w:rsidRPr="009E5B39">
              <w:rPr>
                <w:rFonts w:asciiTheme="minorHAnsi" w:eastAsiaTheme="minorEastAsia" w:hAnsiTheme="minorHAnsi" w:cstheme="minorBidi"/>
                <w:b w:val="0"/>
                <w:sz w:val="22"/>
                <w:szCs w:val="22"/>
                <w:shd w:val="clear" w:color="auto" w:fill="auto"/>
              </w:rPr>
              <w:tab/>
            </w:r>
            <w:r w:rsidR="00470BF4" w:rsidRPr="009E5B39">
              <w:rPr>
                <w:rStyle w:val="Hyperlink"/>
                <w:rFonts w:eastAsia="Times New Roman"/>
              </w:rPr>
              <w:t>PREZENTAREA GENERALĂ</w:t>
            </w:r>
            <w:r w:rsidR="00470BF4" w:rsidRPr="009E5B39">
              <w:rPr>
                <w:webHidden/>
              </w:rPr>
              <w:tab/>
            </w:r>
            <w:r w:rsidR="00470BF4" w:rsidRPr="009E5B39">
              <w:rPr>
                <w:webHidden/>
              </w:rPr>
              <w:fldChar w:fldCharType="begin"/>
            </w:r>
            <w:r w:rsidR="00470BF4" w:rsidRPr="009E5B39">
              <w:rPr>
                <w:webHidden/>
              </w:rPr>
              <w:instrText xml:space="preserve"> PAGEREF _Toc116026874 \h </w:instrText>
            </w:r>
            <w:r w:rsidR="00470BF4" w:rsidRPr="009E5B39">
              <w:rPr>
                <w:webHidden/>
              </w:rPr>
            </w:r>
            <w:r w:rsidR="00470BF4" w:rsidRPr="009E5B39">
              <w:rPr>
                <w:webHidden/>
              </w:rPr>
              <w:fldChar w:fldCharType="separate"/>
            </w:r>
            <w:r w:rsidR="00D0690F">
              <w:rPr>
                <w:webHidden/>
              </w:rPr>
              <w:t>12</w:t>
            </w:r>
            <w:r w:rsidR="00470BF4" w:rsidRPr="009E5B39">
              <w:rPr>
                <w:webHidden/>
              </w:rPr>
              <w:fldChar w:fldCharType="end"/>
            </w:r>
          </w:hyperlink>
        </w:p>
        <w:p w14:paraId="1E966AC0" w14:textId="5A762794"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75" w:history="1">
            <w:r w:rsidR="00470BF4" w:rsidRPr="009E5B39">
              <w:rPr>
                <w:rStyle w:val="Hyperlink"/>
              </w:rPr>
              <w:t>III. SFERA ȘI ABORDAREA AUDITULUI</w:t>
            </w:r>
            <w:r w:rsidR="00470BF4" w:rsidRPr="009E5B39">
              <w:rPr>
                <w:webHidden/>
              </w:rPr>
              <w:tab/>
            </w:r>
            <w:r w:rsidR="00470BF4" w:rsidRPr="009E5B39">
              <w:rPr>
                <w:webHidden/>
              </w:rPr>
              <w:fldChar w:fldCharType="begin"/>
            </w:r>
            <w:r w:rsidR="00470BF4" w:rsidRPr="009E5B39">
              <w:rPr>
                <w:webHidden/>
              </w:rPr>
              <w:instrText xml:space="preserve"> PAGEREF _Toc116026875 \h </w:instrText>
            </w:r>
            <w:r w:rsidR="00470BF4" w:rsidRPr="009E5B39">
              <w:rPr>
                <w:webHidden/>
              </w:rPr>
            </w:r>
            <w:r w:rsidR="00470BF4" w:rsidRPr="009E5B39">
              <w:rPr>
                <w:webHidden/>
              </w:rPr>
              <w:fldChar w:fldCharType="separate"/>
            </w:r>
            <w:r w:rsidR="00D0690F">
              <w:rPr>
                <w:webHidden/>
              </w:rPr>
              <w:t>14</w:t>
            </w:r>
            <w:r w:rsidR="00470BF4" w:rsidRPr="009E5B39">
              <w:rPr>
                <w:webHidden/>
              </w:rPr>
              <w:fldChar w:fldCharType="end"/>
            </w:r>
          </w:hyperlink>
        </w:p>
        <w:p w14:paraId="0B8A0E09" w14:textId="07C44FF6"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76" w:history="1">
            <w:r w:rsidR="00470BF4" w:rsidRPr="009E5B39">
              <w:rPr>
                <w:rStyle w:val="Hyperlink"/>
              </w:rPr>
              <w:t>IV. CONSTATĂRI</w:t>
            </w:r>
            <w:r w:rsidR="00470BF4" w:rsidRPr="009E5B39">
              <w:rPr>
                <w:webHidden/>
              </w:rPr>
              <w:tab/>
            </w:r>
            <w:r w:rsidR="00470BF4" w:rsidRPr="009E5B39">
              <w:rPr>
                <w:webHidden/>
              </w:rPr>
              <w:fldChar w:fldCharType="begin"/>
            </w:r>
            <w:r w:rsidR="00470BF4" w:rsidRPr="009E5B39">
              <w:rPr>
                <w:webHidden/>
              </w:rPr>
              <w:instrText xml:space="preserve"> PAGEREF _Toc116026876 \h </w:instrText>
            </w:r>
            <w:r w:rsidR="00470BF4" w:rsidRPr="009E5B39">
              <w:rPr>
                <w:webHidden/>
              </w:rPr>
            </w:r>
            <w:r w:rsidR="00470BF4" w:rsidRPr="009E5B39">
              <w:rPr>
                <w:webHidden/>
              </w:rPr>
              <w:fldChar w:fldCharType="separate"/>
            </w:r>
            <w:r w:rsidR="00D0690F">
              <w:rPr>
                <w:webHidden/>
              </w:rPr>
              <w:t>15</w:t>
            </w:r>
            <w:r w:rsidR="00470BF4" w:rsidRPr="009E5B39">
              <w:rPr>
                <w:webHidden/>
              </w:rPr>
              <w:fldChar w:fldCharType="end"/>
            </w:r>
          </w:hyperlink>
        </w:p>
        <w:p w14:paraId="4A493148" w14:textId="5259833C" w:rsidR="00470BF4" w:rsidRPr="009E5B39" w:rsidRDefault="00EA1821">
          <w:pPr>
            <w:pStyle w:val="TOC2"/>
            <w:rPr>
              <w:rFonts w:asciiTheme="minorHAnsi" w:eastAsiaTheme="minorEastAsia" w:hAnsiTheme="minorHAnsi" w:cstheme="minorBidi"/>
              <w:b w:val="0"/>
              <w:bCs w:val="0"/>
              <w:iCs w:val="0"/>
            </w:rPr>
          </w:pPr>
          <w:hyperlink w:anchor="_Toc116026877" w:history="1">
            <w:r w:rsidR="00470BF4" w:rsidRPr="009E5B39">
              <w:rPr>
                <w:rStyle w:val="Hyperlink"/>
                <w:rFonts w:eastAsiaTheme="majorEastAsia"/>
                <w:i/>
              </w:rPr>
              <w:t xml:space="preserve">4.1. Obiectivul I : A identificat, a evaluat și a colectat </w:t>
            </w:r>
            <w:r w:rsidR="00470BF4" w:rsidRPr="009E5B39">
              <w:rPr>
                <w:rStyle w:val="Hyperlink"/>
                <w:rFonts w:eastAsiaTheme="majorEastAsia"/>
                <w:i/>
                <w:shd w:val="clear" w:color="auto" w:fill="FFFFFF"/>
              </w:rPr>
              <w:t xml:space="preserve">UAT </w:t>
            </w:r>
            <w:r w:rsidR="00470BF4" w:rsidRPr="009E5B39">
              <w:rPr>
                <w:rStyle w:val="Hyperlink"/>
                <w:rFonts w:eastAsiaTheme="majorEastAsia"/>
                <w:i/>
              </w:rPr>
              <w:t>veniturile bugetare în conformitate cu cadrul legal și regulator aferent?</w:t>
            </w:r>
            <w:r w:rsidR="00470BF4" w:rsidRPr="009E5B39">
              <w:rPr>
                <w:webHidden/>
              </w:rPr>
              <w:tab/>
            </w:r>
            <w:r w:rsidR="00470BF4" w:rsidRPr="009E5B39">
              <w:rPr>
                <w:webHidden/>
              </w:rPr>
              <w:fldChar w:fldCharType="begin"/>
            </w:r>
            <w:r w:rsidR="00470BF4" w:rsidRPr="009E5B39">
              <w:rPr>
                <w:webHidden/>
              </w:rPr>
              <w:instrText xml:space="preserve"> PAGEREF _Toc116026877 \h </w:instrText>
            </w:r>
            <w:r w:rsidR="00470BF4" w:rsidRPr="009E5B39">
              <w:rPr>
                <w:webHidden/>
              </w:rPr>
            </w:r>
            <w:r w:rsidR="00470BF4" w:rsidRPr="009E5B39">
              <w:rPr>
                <w:webHidden/>
              </w:rPr>
              <w:fldChar w:fldCharType="separate"/>
            </w:r>
            <w:r w:rsidR="00D0690F">
              <w:rPr>
                <w:webHidden/>
              </w:rPr>
              <w:t>15</w:t>
            </w:r>
            <w:r w:rsidR="00470BF4" w:rsidRPr="009E5B39">
              <w:rPr>
                <w:webHidden/>
              </w:rPr>
              <w:fldChar w:fldCharType="end"/>
            </w:r>
          </w:hyperlink>
        </w:p>
        <w:p w14:paraId="74F471F7" w14:textId="2B0D0437" w:rsidR="00470BF4" w:rsidRPr="009E5B39" w:rsidRDefault="00EA1821">
          <w:pPr>
            <w:pStyle w:val="TOC2"/>
            <w:rPr>
              <w:rFonts w:asciiTheme="minorHAnsi" w:eastAsiaTheme="minorEastAsia" w:hAnsiTheme="minorHAnsi" w:cstheme="minorBidi"/>
              <w:b w:val="0"/>
              <w:bCs w:val="0"/>
              <w:iCs w:val="0"/>
            </w:rPr>
          </w:pPr>
          <w:hyperlink w:anchor="_Toc116026878" w:history="1">
            <w:r w:rsidR="00470BF4" w:rsidRPr="009E5B39">
              <w:rPr>
                <w:rStyle w:val="Hyperlink"/>
                <w:rFonts w:eastAsiaTheme="majorEastAsia"/>
                <w:shd w:val="clear" w:color="auto" w:fill="FFFFFF"/>
              </w:rPr>
              <w:t xml:space="preserve">4.2. Obiectivul II : A  </w:t>
            </w:r>
            <w:r w:rsidR="00470BF4" w:rsidRPr="009E5B39">
              <w:rPr>
                <w:rStyle w:val="Hyperlink"/>
                <w:rFonts w:eastAsiaTheme="majorEastAsia"/>
              </w:rPr>
              <w:t>justificat</w:t>
            </w:r>
            <w:r w:rsidR="00470BF4" w:rsidRPr="009E5B39">
              <w:rPr>
                <w:rStyle w:val="Hyperlink"/>
                <w:rFonts w:eastAsiaTheme="majorEastAsia"/>
                <w:shd w:val="clear" w:color="auto" w:fill="FFFFFF"/>
              </w:rPr>
              <w:t xml:space="preserve"> UAT </w:t>
            </w:r>
            <w:r w:rsidR="00470BF4" w:rsidRPr="009E5B39">
              <w:rPr>
                <w:rStyle w:val="Hyperlink"/>
                <w:rFonts w:eastAsiaTheme="majorEastAsia"/>
              </w:rPr>
              <w:t>angajarea și gestionarea cheltuielilor potrivit cadrului regulator?</w:t>
            </w:r>
            <w:r w:rsidR="00470BF4" w:rsidRPr="009E5B39">
              <w:rPr>
                <w:webHidden/>
              </w:rPr>
              <w:tab/>
            </w:r>
            <w:r w:rsidR="00470BF4" w:rsidRPr="009E5B39">
              <w:rPr>
                <w:webHidden/>
              </w:rPr>
              <w:fldChar w:fldCharType="begin"/>
            </w:r>
            <w:r w:rsidR="00470BF4" w:rsidRPr="009E5B39">
              <w:rPr>
                <w:webHidden/>
              </w:rPr>
              <w:instrText xml:space="preserve"> PAGEREF _Toc116026878 \h </w:instrText>
            </w:r>
            <w:r w:rsidR="00470BF4" w:rsidRPr="009E5B39">
              <w:rPr>
                <w:webHidden/>
              </w:rPr>
            </w:r>
            <w:r w:rsidR="00470BF4" w:rsidRPr="009E5B39">
              <w:rPr>
                <w:webHidden/>
              </w:rPr>
              <w:fldChar w:fldCharType="separate"/>
            </w:r>
            <w:r w:rsidR="00D0690F">
              <w:rPr>
                <w:webHidden/>
              </w:rPr>
              <w:t>21</w:t>
            </w:r>
            <w:r w:rsidR="00470BF4" w:rsidRPr="009E5B39">
              <w:rPr>
                <w:webHidden/>
              </w:rPr>
              <w:fldChar w:fldCharType="end"/>
            </w:r>
          </w:hyperlink>
        </w:p>
        <w:p w14:paraId="60C516A0" w14:textId="757AAAD7" w:rsidR="00470BF4" w:rsidRPr="009E5B39" w:rsidRDefault="00EA1821">
          <w:pPr>
            <w:pStyle w:val="TOC2"/>
            <w:rPr>
              <w:rFonts w:asciiTheme="minorHAnsi" w:eastAsiaTheme="minorEastAsia" w:hAnsiTheme="minorHAnsi" w:cstheme="minorBidi"/>
              <w:b w:val="0"/>
              <w:bCs w:val="0"/>
              <w:iCs w:val="0"/>
            </w:rPr>
          </w:pPr>
          <w:hyperlink w:anchor="_Toc116026879" w:history="1">
            <w:r w:rsidR="00470BF4" w:rsidRPr="009E5B39">
              <w:rPr>
                <w:rStyle w:val="Hyperlink"/>
                <w:shd w:val="clear" w:color="auto" w:fill="FFFFFF"/>
              </w:rPr>
              <w:t xml:space="preserve">4.3. Obiectivul III : A înregistrat, a administrat și a gestionat UAT în modul corespunzător patrimoniul public?      </w:t>
            </w:r>
            <w:r w:rsidR="00470BF4" w:rsidRPr="009E5B39">
              <w:rPr>
                <w:webHidden/>
              </w:rPr>
              <w:tab/>
            </w:r>
            <w:r w:rsidR="00470BF4" w:rsidRPr="009E5B39">
              <w:rPr>
                <w:webHidden/>
              </w:rPr>
              <w:fldChar w:fldCharType="begin"/>
            </w:r>
            <w:r w:rsidR="00470BF4" w:rsidRPr="009E5B39">
              <w:rPr>
                <w:webHidden/>
              </w:rPr>
              <w:instrText xml:space="preserve"> PAGEREF _Toc116026879 \h </w:instrText>
            </w:r>
            <w:r w:rsidR="00470BF4" w:rsidRPr="009E5B39">
              <w:rPr>
                <w:webHidden/>
              </w:rPr>
            </w:r>
            <w:r w:rsidR="00470BF4" w:rsidRPr="009E5B39">
              <w:rPr>
                <w:webHidden/>
              </w:rPr>
              <w:fldChar w:fldCharType="separate"/>
            </w:r>
            <w:r w:rsidR="00D0690F">
              <w:rPr>
                <w:webHidden/>
              </w:rPr>
              <w:t>37</w:t>
            </w:r>
            <w:r w:rsidR="00470BF4" w:rsidRPr="009E5B39">
              <w:rPr>
                <w:webHidden/>
              </w:rPr>
              <w:fldChar w:fldCharType="end"/>
            </w:r>
          </w:hyperlink>
        </w:p>
        <w:p w14:paraId="0401E8BF" w14:textId="546AF1A7" w:rsidR="00470BF4" w:rsidRPr="009E5B39" w:rsidRDefault="00EA1821">
          <w:pPr>
            <w:pStyle w:val="TOC2"/>
            <w:rPr>
              <w:rFonts w:asciiTheme="minorHAnsi" w:eastAsiaTheme="minorEastAsia" w:hAnsiTheme="minorHAnsi" w:cstheme="minorBidi"/>
              <w:b w:val="0"/>
              <w:bCs w:val="0"/>
              <w:iCs w:val="0"/>
            </w:rPr>
          </w:pPr>
          <w:hyperlink w:anchor="_Toc116026880" w:history="1">
            <w:r w:rsidR="00470BF4" w:rsidRPr="009E5B39">
              <w:rPr>
                <w:rStyle w:val="Hyperlink"/>
              </w:rPr>
              <w:t>4.4.</w:t>
            </w:r>
            <w:r w:rsidR="00470BF4" w:rsidRPr="009E5B39">
              <w:rPr>
                <w:rFonts w:asciiTheme="minorHAnsi" w:eastAsiaTheme="minorEastAsia" w:hAnsiTheme="minorHAnsi" w:cstheme="minorBidi"/>
                <w:b w:val="0"/>
                <w:bCs w:val="0"/>
                <w:iCs w:val="0"/>
              </w:rPr>
              <w:tab/>
            </w:r>
            <w:r w:rsidR="00470BF4" w:rsidRPr="009E5B39">
              <w:rPr>
                <w:rStyle w:val="Hyperlink"/>
              </w:rPr>
              <w:t>Obiectivul IV: Evaluarea implementării recomandărilor anterioare ale Curții de Conturi</w:t>
            </w:r>
            <w:r w:rsidR="00470BF4" w:rsidRPr="009E5B39">
              <w:rPr>
                <w:webHidden/>
              </w:rPr>
              <w:tab/>
            </w:r>
            <w:r w:rsidR="00470BF4" w:rsidRPr="009E5B39">
              <w:rPr>
                <w:webHidden/>
              </w:rPr>
              <w:fldChar w:fldCharType="begin"/>
            </w:r>
            <w:r w:rsidR="00470BF4" w:rsidRPr="009E5B39">
              <w:rPr>
                <w:webHidden/>
              </w:rPr>
              <w:instrText xml:space="preserve"> PAGEREF _Toc116026880 \h </w:instrText>
            </w:r>
            <w:r w:rsidR="00470BF4" w:rsidRPr="009E5B39">
              <w:rPr>
                <w:webHidden/>
              </w:rPr>
            </w:r>
            <w:r w:rsidR="00470BF4" w:rsidRPr="009E5B39">
              <w:rPr>
                <w:webHidden/>
              </w:rPr>
              <w:fldChar w:fldCharType="separate"/>
            </w:r>
            <w:r w:rsidR="00D0690F">
              <w:rPr>
                <w:webHidden/>
              </w:rPr>
              <w:t>60</w:t>
            </w:r>
            <w:r w:rsidR="00470BF4" w:rsidRPr="009E5B39">
              <w:rPr>
                <w:webHidden/>
              </w:rPr>
              <w:fldChar w:fldCharType="end"/>
            </w:r>
          </w:hyperlink>
        </w:p>
        <w:p w14:paraId="584A9B16" w14:textId="21436EB2"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81" w:history="1">
            <w:r w:rsidR="00470BF4" w:rsidRPr="009E5B39">
              <w:rPr>
                <w:rStyle w:val="Hyperlink"/>
              </w:rPr>
              <w:t>V. CONCLUZIA GENERALĂ</w:t>
            </w:r>
            <w:r w:rsidR="00470BF4" w:rsidRPr="009E5B39">
              <w:rPr>
                <w:webHidden/>
              </w:rPr>
              <w:tab/>
            </w:r>
            <w:r w:rsidR="00470BF4" w:rsidRPr="009E5B39">
              <w:rPr>
                <w:webHidden/>
              </w:rPr>
              <w:fldChar w:fldCharType="begin"/>
            </w:r>
            <w:r w:rsidR="00470BF4" w:rsidRPr="009E5B39">
              <w:rPr>
                <w:webHidden/>
              </w:rPr>
              <w:instrText xml:space="preserve"> PAGEREF _Toc116026881 \h </w:instrText>
            </w:r>
            <w:r w:rsidR="00470BF4" w:rsidRPr="009E5B39">
              <w:rPr>
                <w:webHidden/>
              </w:rPr>
            </w:r>
            <w:r w:rsidR="00470BF4" w:rsidRPr="009E5B39">
              <w:rPr>
                <w:webHidden/>
              </w:rPr>
              <w:fldChar w:fldCharType="separate"/>
            </w:r>
            <w:r w:rsidR="00D0690F">
              <w:rPr>
                <w:webHidden/>
              </w:rPr>
              <w:t>68</w:t>
            </w:r>
            <w:r w:rsidR="00470BF4" w:rsidRPr="009E5B39">
              <w:rPr>
                <w:webHidden/>
              </w:rPr>
              <w:fldChar w:fldCharType="end"/>
            </w:r>
          </w:hyperlink>
        </w:p>
        <w:p w14:paraId="412C8192" w14:textId="4A76A15A"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82" w:history="1">
            <w:r w:rsidR="00470BF4" w:rsidRPr="009E5B39">
              <w:rPr>
                <w:rStyle w:val="Hyperlink"/>
              </w:rPr>
              <w:t>VI.   RECOMANDĂRI</w:t>
            </w:r>
            <w:r w:rsidR="00470BF4" w:rsidRPr="009E5B39">
              <w:rPr>
                <w:webHidden/>
              </w:rPr>
              <w:tab/>
            </w:r>
            <w:r w:rsidR="00470BF4" w:rsidRPr="009E5B39">
              <w:rPr>
                <w:webHidden/>
              </w:rPr>
              <w:fldChar w:fldCharType="begin"/>
            </w:r>
            <w:r w:rsidR="00470BF4" w:rsidRPr="009E5B39">
              <w:rPr>
                <w:webHidden/>
              </w:rPr>
              <w:instrText xml:space="preserve"> PAGEREF _Toc116026882 \h </w:instrText>
            </w:r>
            <w:r w:rsidR="00470BF4" w:rsidRPr="009E5B39">
              <w:rPr>
                <w:webHidden/>
              </w:rPr>
            </w:r>
            <w:r w:rsidR="00470BF4" w:rsidRPr="009E5B39">
              <w:rPr>
                <w:webHidden/>
              </w:rPr>
              <w:fldChar w:fldCharType="separate"/>
            </w:r>
            <w:r w:rsidR="00D0690F">
              <w:rPr>
                <w:webHidden/>
              </w:rPr>
              <w:t>68</w:t>
            </w:r>
            <w:r w:rsidR="00470BF4" w:rsidRPr="009E5B39">
              <w:rPr>
                <w:webHidden/>
              </w:rPr>
              <w:fldChar w:fldCharType="end"/>
            </w:r>
          </w:hyperlink>
        </w:p>
        <w:p w14:paraId="63738B10" w14:textId="06C008B9"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83" w:history="1">
            <w:r w:rsidR="00470BF4" w:rsidRPr="009E5B39">
              <w:rPr>
                <w:rStyle w:val="Hyperlink"/>
              </w:rPr>
              <w:t>Anexa nr.1</w:t>
            </w:r>
            <w:r w:rsidR="00470BF4" w:rsidRPr="009E5B39">
              <w:rPr>
                <w:webHidden/>
              </w:rPr>
              <w:tab/>
            </w:r>
            <w:r w:rsidR="00470BF4" w:rsidRPr="009E5B39">
              <w:rPr>
                <w:webHidden/>
              </w:rPr>
              <w:fldChar w:fldCharType="begin"/>
            </w:r>
            <w:r w:rsidR="00470BF4" w:rsidRPr="009E5B39">
              <w:rPr>
                <w:webHidden/>
              </w:rPr>
              <w:instrText xml:space="preserve"> PAGEREF _Toc116026883 \h </w:instrText>
            </w:r>
            <w:r w:rsidR="00470BF4" w:rsidRPr="009E5B39">
              <w:rPr>
                <w:webHidden/>
              </w:rPr>
            </w:r>
            <w:r w:rsidR="00470BF4" w:rsidRPr="009E5B39">
              <w:rPr>
                <w:webHidden/>
              </w:rPr>
              <w:fldChar w:fldCharType="separate"/>
            </w:r>
            <w:r w:rsidR="00D0690F">
              <w:rPr>
                <w:webHidden/>
              </w:rPr>
              <w:t>72</w:t>
            </w:r>
            <w:r w:rsidR="00470BF4" w:rsidRPr="009E5B39">
              <w:rPr>
                <w:webHidden/>
              </w:rPr>
              <w:fldChar w:fldCharType="end"/>
            </w:r>
          </w:hyperlink>
        </w:p>
        <w:p w14:paraId="62AADA86" w14:textId="02C3584E"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84" w:history="1">
            <w:r w:rsidR="00470BF4" w:rsidRPr="009E5B39">
              <w:rPr>
                <w:rStyle w:val="Hyperlink"/>
                <w:bCs/>
              </w:rPr>
              <w:t>Anexa nr.2</w:t>
            </w:r>
            <w:r w:rsidR="00470BF4" w:rsidRPr="009E5B39">
              <w:rPr>
                <w:webHidden/>
              </w:rPr>
              <w:tab/>
            </w:r>
            <w:r w:rsidR="00470BF4" w:rsidRPr="009E5B39">
              <w:rPr>
                <w:webHidden/>
              </w:rPr>
              <w:fldChar w:fldCharType="begin"/>
            </w:r>
            <w:r w:rsidR="00470BF4" w:rsidRPr="009E5B39">
              <w:rPr>
                <w:webHidden/>
              </w:rPr>
              <w:instrText xml:space="preserve"> PAGEREF _Toc116026884 \h </w:instrText>
            </w:r>
            <w:r w:rsidR="00470BF4" w:rsidRPr="009E5B39">
              <w:rPr>
                <w:webHidden/>
              </w:rPr>
            </w:r>
            <w:r w:rsidR="00470BF4" w:rsidRPr="009E5B39">
              <w:rPr>
                <w:webHidden/>
              </w:rPr>
              <w:fldChar w:fldCharType="separate"/>
            </w:r>
            <w:r w:rsidR="00D0690F">
              <w:rPr>
                <w:webHidden/>
              </w:rPr>
              <w:t>73</w:t>
            </w:r>
            <w:r w:rsidR="00470BF4" w:rsidRPr="009E5B39">
              <w:rPr>
                <w:webHidden/>
              </w:rPr>
              <w:fldChar w:fldCharType="end"/>
            </w:r>
          </w:hyperlink>
        </w:p>
        <w:p w14:paraId="4F8E2E3B" w14:textId="1A3DACD4"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85" w:history="1">
            <w:r w:rsidR="00470BF4" w:rsidRPr="009E5B39">
              <w:rPr>
                <w:rStyle w:val="Hyperlink"/>
                <w:bCs/>
              </w:rPr>
              <w:t>Anexa nr.3</w:t>
            </w:r>
            <w:r w:rsidR="00470BF4" w:rsidRPr="009E5B39">
              <w:rPr>
                <w:webHidden/>
              </w:rPr>
              <w:tab/>
            </w:r>
            <w:r w:rsidR="00470BF4" w:rsidRPr="009E5B39">
              <w:rPr>
                <w:webHidden/>
              </w:rPr>
              <w:fldChar w:fldCharType="begin"/>
            </w:r>
            <w:r w:rsidR="00470BF4" w:rsidRPr="009E5B39">
              <w:rPr>
                <w:webHidden/>
              </w:rPr>
              <w:instrText xml:space="preserve"> PAGEREF _Toc116026885 \h </w:instrText>
            </w:r>
            <w:r w:rsidR="00470BF4" w:rsidRPr="009E5B39">
              <w:rPr>
                <w:webHidden/>
              </w:rPr>
            </w:r>
            <w:r w:rsidR="00470BF4" w:rsidRPr="009E5B39">
              <w:rPr>
                <w:webHidden/>
              </w:rPr>
              <w:fldChar w:fldCharType="separate"/>
            </w:r>
            <w:r w:rsidR="00D0690F">
              <w:rPr>
                <w:webHidden/>
              </w:rPr>
              <w:t>77</w:t>
            </w:r>
            <w:r w:rsidR="00470BF4" w:rsidRPr="009E5B39">
              <w:rPr>
                <w:webHidden/>
              </w:rPr>
              <w:fldChar w:fldCharType="end"/>
            </w:r>
          </w:hyperlink>
        </w:p>
        <w:p w14:paraId="1C906853" w14:textId="0E480BDE"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86" w:history="1">
            <w:r w:rsidR="00470BF4" w:rsidRPr="009E5B39">
              <w:rPr>
                <w:rStyle w:val="Hyperlink"/>
                <w:rFonts w:eastAsia="Calibri"/>
              </w:rPr>
              <w:t>Anexa nr.4</w:t>
            </w:r>
            <w:r w:rsidR="00470BF4" w:rsidRPr="009E5B39">
              <w:rPr>
                <w:webHidden/>
              </w:rPr>
              <w:tab/>
            </w:r>
            <w:r w:rsidR="00470BF4" w:rsidRPr="009E5B39">
              <w:rPr>
                <w:webHidden/>
              </w:rPr>
              <w:fldChar w:fldCharType="begin"/>
            </w:r>
            <w:r w:rsidR="00470BF4" w:rsidRPr="009E5B39">
              <w:rPr>
                <w:webHidden/>
              </w:rPr>
              <w:instrText xml:space="preserve"> PAGEREF _Toc116026886 \h </w:instrText>
            </w:r>
            <w:r w:rsidR="00470BF4" w:rsidRPr="009E5B39">
              <w:rPr>
                <w:webHidden/>
              </w:rPr>
            </w:r>
            <w:r w:rsidR="00470BF4" w:rsidRPr="009E5B39">
              <w:rPr>
                <w:webHidden/>
              </w:rPr>
              <w:fldChar w:fldCharType="separate"/>
            </w:r>
            <w:r w:rsidR="00D0690F">
              <w:rPr>
                <w:webHidden/>
              </w:rPr>
              <w:t>81</w:t>
            </w:r>
            <w:r w:rsidR="00470BF4" w:rsidRPr="009E5B39">
              <w:rPr>
                <w:webHidden/>
              </w:rPr>
              <w:fldChar w:fldCharType="end"/>
            </w:r>
          </w:hyperlink>
        </w:p>
        <w:p w14:paraId="6AFEF84A" w14:textId="680B0664"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87" w:history="1">
            <w:r w:rsidR="00470BF4" w:rsidRPr="009E5B39">
              <w:rPr>
                <w:rStyle w:val="Hyperlink"/>
              </w:rPr>
              <w:t>Anexa nr.5</w:t>
            </w:r>
            <w:r w:rsidR="00470BF4" w:rsidRPr="009E5B39">
              <w:rPr>
                <w:webHidden/>
              </w:rPr>
              <w:tab/>
            </w:r>
            <w:r w:rsidR="00470BF4" w:rsidRPr="009E5B39">
              <w:rPr>
                <w:webHidden/>
              </w:rPr>
              <w:fldChar w:fldCharType="begin"/>
            </w:r>
            <w:r w:rsidR="00470BF4" w:rsidRPr="009E5B39">
              <w:rPr>
                <w:webHidden/>
              </w:rPr>
              <w:instrText xml:space="preserve"> PAGEREF _Toc116026887 \h </w:instrText>
            </w:r>
            <w:r w:rsidR="00470BF4" w:rsidRPr="009E5B39">
              <w:rPr>
                <w:webHidden/>
              </w:rPr>
            </w:r>
            <w:r w:rsidR="00470BF4" w:rsidRPr="009E5B39">
              <w:rPr>
                <w:webHidden/>
              </w:rPr>
              <w:fldChar w:fldCharType="separate"/>
            </w:r>
            <w:r w:rsidR="00D0690F">
              <w:rPr>
                <w:webHidden/>
              </w:rPr>
              <w:t>83</w:t>
            </w:r>
            <w:r w:rsidR="00470BF4" w:rsidRPr="009E5B39">
              <w:rPr>
                <w:webHidden/>
              </w:rPr>
              <w:fldChar w:fldCharType="end"/>
            </w:r>
          </w:hyperlink>
        </w:p>
        <w:p w14:paraId="52881B4E" w14:textId="680EC8FE"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88" w:history="1">
            <w:r w:rsidR="00470BF4" w:rsidRPr="009E5B39">
              <w:rPr>
                <w:rStyle w:val="Hyperlink"/>
              </w:rPr>
              <w:t>Anexa nr.6</w:t>
            </w:r>
            <w:r w:rsidR="00470BF4" w:rsidRPr="009E5B39">
              <w:rPr>
                <w:webHidden/>
              </w:rPr>
              <w:tab/>
            </w:r>
            <w:r w:rsidR="00470BF4" w:rsidRPr="009E5B39">
              <w:rPr>
                <w:webHidden/>
              </w:rPr>
              <w:fldChar w:fldCharType="begin"/>
            </w:r>
            <w:r w:rsidR="00470BF4" w:rsidRPr="009E5B39">
              <w:rPr>
                <w:webHidden/>
              </w:rPr>
              <w:instrText xml:space="preserve"> PAGEREF _Toc116026888 \h </w:instrText>
            </w:r>
            <w:r w:rsidR="00470BF4" w:rsidRPr="009E5B39">
              <w:rPr>
                <w:webHidden/>
              </w:rPr>
            </w:r>
            <w:r w:rsidR="00470BF4" w:rsidRPr="009E5B39">
              <w:rPr>
                <w:webHidden/>
              </w:rPr>
              <w:fldChar w:fldCharType="separate"/>
            </w:r>
            <w:r w:rsidR="00D0690F">
              <w:rPr>
                <w:webHidden/>
              </w:rPr>
              <w:t>84</w:t>
            </w:r>
            <w:r w:rsidR="00470BF4" w:rsidRPr="009E5B39">
              <w:rPr>
                <w:webHidden/>
              </w:rPr>
              <w:fldChar w:fldCharType="end"/>
            </w:r>
          </w:hyperlink>
        </w:p>
        <w:p w14:paraId="4A8C52E1" w14:textId="639D1107"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89" w:history="1">
            <w:r w:rsidR="00470BF4" w:rsidRPr="009E5B39">
              <w:rPr>
                <w:rStyle w:val="Hyperlink"/>
              </w:rPr>
              <w:t>Anexa nr.7</w:t>
            </w:r>
            <w:r w:rsidR="00470BF4" w:rsidRPr="009E5B39">
              <w:rPr>
                <w:webHidden/>
              </w:rPr>
              <w:tab/>
            </w:r>
            <w:r w:rsidR="00470BF4" w:rsidRPr="009E5B39">
              <w:rPr>
                <w:webHidden/>
              </w:rPr>
              <w:fldChar w:fldCharType="begin"/>
            </w:r>
            <w:r w:rsidR="00470BF4" w:rsidRPr="009E5B39">
              <w:rPr>
                <w:webHidden/>
              </w:rPr>
              <w:instrText xml:space="preserve"> PAGEREF _Toc116026889 \h </w:instrText>
            </w:r>
            <w:r w:rsidR="00470BF4" w:rsidRPr="009E5B39">
              <w:rPr>
                <w:webHidden/>
              </w:rPr>
            </w:r>
            <w:r w:rsidR="00470BF4" w:rsidRPr="009E5B39">
              <w:rPr>
                <w:webHidden/>
              </w:rPr>
              <w:fldChar w:fldCharType="separate"/>
            </w:r>
            <w:r w:rsidR="00D0690F">
              <w:rPr>
                <w:webHidden/>
              </w:rPr>
              <w:t>88</w:t>
            </w:r>
            <w:r w:rsidR="00470BF4" w:rsidRPr="009E5B39">
              <w:rPr>
                <w:webHidden/>
              </w:rPr>
              <w:fldChar w:fldCharType="end"/>
            </w:r>
          </w:hyperlink>
        </w:p>
        <w:p w14:paraId="04546FE3" w14:textId="5E97F551"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90" w:history="1">
            <w:r w:rsidR="00470BF4" w:rsidRPr="009E5B39">
              <w:rPr>
                <w:rStyle w:val="Hyperlink"/>
              </w:rPr>
              <w:t>Anexa nr.8</w:t>
            </w:r>
            <w:r w:rsidR="00470BF4" w:rsidRPr="009E5B39">
              <w:rPr>
                <w:webHidden/>
              </w:rPr>
              <w:tab/>
            </w:r>
            <w:r w:rsidR="00470BF4" w:rsidRPr="009E5B39">
              <w:rPr>
                <w:webHidden/>
              </w:rPr>
              <w:fldChar w:fldCharType="begin"/>
            </w:r>
            <w:r w:rsidR="00470BF4" w:rsidRPr="009E5B39">
              <w:rPr>
                <w:webHidden/>
              </w:rPr>
              <w:instrText xml:space="preserve"> PAGEREF _Toc116026890 \h </w:instrText>
            </w:r>
            <w:r w:rsidR="00470BF4" w:rsidRPr="009E5B39">
              <w:rPr>
                <w:webHidden/>
              </w:rPr>
            </w:r>
            <w:r w:rsidR="00470BF4" w:rsidRPr="009E5B39">
              <w:rPr>
                <w:webHidden/>
              </w:rPr>
              <w:fldChar w:fldCharType="separate"/>
            </w:r>
            <w:r w:rsidR="00D0690F">
              <w:rPr>
                <w:webHidden/>
              </w:rPr>
              <w:t>91</w:t>
            </w:r>
            <w:r w:rsidR="00470BF4" w:rsidRPr="009E5B39">
              <w:rPr>
                <w:webHidden/>
              </w:rPr>
              <w:fldChar w:fldCharType="end"/>
            </w:r>
          </w:hyperlink>
        </w:p>
        <w:p w14:paraId="36550B64" w14:textId="6CBA9C67"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91" w:history="1">
            <w:r w:rsidR="00470BF4" w:rsidRPr="009E5B39">
              <w:rPr>
                <w:rStyle w:val="Hyperlink"/>
              </w:rPr>
              <w:t>Anexa nr.9</w:t>
            </w:r>
            <w:r w:rsidR="00470BF4" w:rsidRPr="009E5B39">
              <w:rPr>
                <w:webHidden/>
              </w:rPr>
              <w:tab/>
            </w:r>
            <w:r w:rsidR="00470BF4" w:rsidRPr="009E5B39">
              <w:rPr>
                <w:webHidden/>
              </w:rPr>
              <w:fldChar w:fldCharType="begin"/>
            </w:r>
            <w:r w:rsidR="00470BF4" w:rsidRPr="009E5B39">
              <w:rPr>
                <w:webHidden/>
              </w:rPr>
              <w:instrText xml:space="preserve"> PAGEREF _Toc116026891 \h </w:instrText>
            </w:r>
            <w:r w:rsidR="00470BF4" w:rsidRPr="009E5B39">
              <w:rPr>
                <w:webHidden/>
              </w:rPr>
            </w:r>
            <w:r w:rsidR="00470BF4" w:rsidRPr="009E5B39">
              <w:rPr>
                <w:webHidden/>
              </w:rPr>
              <w:fldChar w:fldCharType="separate"/>
            </w:r>
            <w:r w:rsidR="00D0690F">
              <w:rPr>
                <w:webHidden/>
              </w:rPr>
              <w:t>93</w:t>
            </w:r>
            <w:r w:rsidR="00470BF4" w:rsidRPr="009E5B39">
              <w:rPr>
                <w:webHidden/>
              </w:rPr>
              <w:fldChar w:fldCharType="end"/>
            </w:r>
          </w:hyperlink>
        </w:p>
        <w:p w14:paraId="77A2D072" w14:textId="318FD7F2"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92" w:history="1">
            <w:r w:rsidR="00470BF4" w:rsidRPr="009E5B39">
              <w:rPr>
                <w:rStyle w:val="Hyperlink"/>
                <w:rFonts w:eastAsia="Calibri"/>
              </w:rPr>
              <w:t>Anexa nr.10</w:t>
            </w:r>
            <w:r w:rsidR="00470BF4" w:rsidRPr="009E5B39">
              <w:rPr>
                <w:webHidden/>
              </w:rPr>
              <w:tab/>
            </w:r>
            <w:r w:rsidR="00470BF4" w:rsidRPr="009E5B39">
              <w:rPr>
                <w:webHidden/>
              </w:rPr>
              <w:fldChar w:fldCharType="begin"/>
            </w:r>
            <w:r w:rsidR="00470BF4" w:rsidRPr="009E5B39">
              <w:rPr>
                <w:webHidden/>
              </w:rPr>
              <w:instrText xml:space="preserve"> PAGEREF _Toc116026892 \h </w:instrText>
            </w:r>
            <w:r w:rsidR="00470BF4" w:rsidRPr="009E5B39">
              <w:rPr>
                <w:webHidden/>
              </w:rPr>
            </w:r>
            <w:r w:rsidR="00470BF4" w:rsidRPr="009E5B39">
              <w:rPr>
                <w:webHidden/>
              </w:rPr>
              <w:fldChar w:fldCharType="separate"/>
            </w:r>
            <w:r w:rsidR="00D0690F">
              <w:rPr>
                <w:webHidden/>
              </w:rPr>
              <w:t>95</w:t>
            </w:r>
            <w:r w:rsidR="00470BF4" w:rsidRPr="009E5B39">
              <w:rPr>
                <w:webHidden/>
              </w:rPr>
              <w:fldChar w:fldCharType="end"/>
            </w:r>
          </w:hyperlink>
        </w:p>
        <w:p w14:paraId="3C238C71" w14:textId="48B2900A"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93" w:history="1">
            <w:r w:rsidR="00470BF4" w:rsidRPr="009E5B39">
              <w:rPr>
                <w:rStyle w:val="Hyperlink"/>
              </w:rPr>
              <w:t>Anexa nr.11</w:t>
            </w:r>
            <w:r w:rsidR="00470BF4" w:rsidRPr="009E5B39">
              <w:rPr>
                <w:webHidden/>
              </w:rPr>
              <w:tab/>
            </w:r>
            <w:r w:rsidR="00470BF4" w:rsidRPr="009E5B39">
              <w:rPr>
                <w:webHidden/>
              </w:rPr>
              <w:fldChar w:fldCharType="begin"/>
            </w:r>
            <w:r w:rsidR="00470BF4" w:rsidRPr="009E5B39">
              <w:rPr>
                <w:webHidden/>
              </w:rPr>
              <w:instrText xml:space="preserve"> PAGEREF _Toc116026893 \h </w:instrText>
            </w:r>
            <w:r w:rsidR="00470BF4" w:rsidRPr="009E5B39">
              <w:rPr>
                <w:webHidden/>
              </w:rPr>
            </w:r>
            <w:r w:rsidR="00470BF4" w:rsidRPr="009E5B39">
              <w:rPr>
                <w:webHidden/>
              </w:rPr>
              <w:fldChar w:fldCharType="separate"/>
            </w:r>
            <w:r w:rsidR="00D0690F">
              <w:rPr>
                <w:webHidden/>
              </w:rPr>
              <w:t>96</w:t>
            </w:r>
            <w:r w:rsidR="00470BF4" w:rsidRPr="009E5B39">
              <w:rPr>
                <w:webHidden/>
              </w:rPr>
              <w:fldChar w:fldCharType="end"/>
            </w:r>
          </w:hyperlink>
        </w:p>
        <w:p w14:paraId="3ACF9B99" w14:textId="67E36614"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94" w:history="1">
            <w:r w:rsidR="00470BF4" w:rsidRPr="009E5B39">
              <w:rPr>
                <w:rStyle w:val="Hyperlink"/>
              </w:rPr>
              <w:t>Anexa nr.12</w:t>
            </w:r>
            <w:r w:rsidR="00470BF4" w:rsidRPr="009E5B39">
              <w:rPr>
                <w:webHidden/>
              </w:rPr>
              <w:tab/>
            </w:r>
            <w:r w:rsidR="00470BF4" w:rsidRPr="009E5B39">
              <w:rPr>
                <w:webHidden/>
              </w:rPr>
              <w:fldChar w:fldCharType="begin"/>
            </w:r>
            <w:r w:rsidR="00470BF4" w:rsidRPr="009E5B39">
              <w:rPr>
                <w:webHidden/>
              </w:rPr>
              <w:instrText xml:space="preserve"> PAGEREF _Toc116026894 \h </w:instrText>
            </w:r>
            <w:r w:rsidR="00470BF4" w:rsidRPr="009E5B39">
              <w:rPr>
                <w:webHidden/>
              </w:rPr>
            </w:r>
            <w:r w:rsidR="00470BF4" w:rsidRPr="009E5B39">
              <w:rPr>
                <w:webHidden/>
              </w:rPr>
              <w:fldChar w:fldCharType="separate"/>
            </w:r>
            <w:r w:rsidR="00D0690F">
              <w:rPr>
                <w:webHidden/>
              </w:rPr>
              <w:t>97</w:t>
            </w:r>
            <w:r w:rsidR="00470BF4" w:rsidRPr="009E5B39">
              <w:rPr>
                <w:webHidden/>
              </w:rPr>
              <w:fldChar w:fldCharType="end"/>
            </w:r>
          </w:hyperlink>
        </w:p>
        <w:p w14:paraId="49912089" w14:textId="58CD7DE0"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95" w:history="1">
            <w:r w:rsidR="00470BF4" w:rsidRPr="009E5B39">
              <w:rPr>
                <w:rStyle w:val="Hyperlink"/>
              </w:rPr>
              <w:t>Anexa nr.13</w:t>
            </w:r>
            <w:r w:rsidR="00470BF4" w:rsidRPr="009E5B39">
              <w:rPr>
                <w:webHidden/>
              </w:rPr>
              <w:tab/>
            </w:r>
            <w:r w:rsidR="00470BF4" w:rsidRPr="009E5B39">
              <w:rPr>
                <w:webHidden/>
              </w:rPr>
              <w:fldChar w:fldCharType="begin"/>
            </w:r>
            <w:r w:rsidR="00470BF4" w:rsidRPr="009E5B39">
              <w:rPr>
                <w:webHidden/>
              </w:rPr>
              <w:instrText xml:space="preserve"> PAGEREF _Toc116026895 \h </w:instrText>
            </w:r>
            <w:r w:rsidR="00470BF4" w:rsidRPr="009E5B39">
              <w:rPr>
                <w:webHidden/>
              </w:rPr>
            </w:r>
            <w:r w:rsidR="00470BF4" w:rsidRPr="009E5B39">
              <w:rPr>
                <w:webHidden/>
              </w:rPr>
              <w:fldChar w:fldCharType="separate"/>
            </w:r>
            <w:r w:rsidR="00D0690F">
              <w:rPr>
                <w:webHidden/>
              </w:rPr>
              <w:t>98</w:t>
            </w:r>
            <w:r w:rsidR="00470BF4" w:rsidRPr="009E5B39">
              <w:rPr>
                <w:webHidden/>
              </w:rPr>
              <w:fldChar w:fldCharType="end"/>
            </w:r>
          </w:hyperlink>
        </w:p>
        <w:p w14:paraId="5F9A0D72" w14:textId="117C87C2"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96" w:history="1">
            <w:r w:rsidR="00470BF4" w:rsidRPr="009E5B39">
              <w:rPr>
                <w:rStyle w:val="Hyperlink"/>
              </w:rPr>
              <w:t>Anexa nr.14</w:t>
            </w:r>
            <w:r w:rsidR="00470BF4" w:rsidRPr="009E5B39">
              <w:rPr>
                <w:webHidden/>
              </w:rPr>
              <w:tab/>
            </w:r>
            <w:r w:rsidR="00470BF4" w:rsidRPr="009E5B39">
              <w:rPr>
                <w:webHidden/>
              </w:rPr>
              <w:fldChar w:fldCharType="begin"/>
            </w:r>
            <w:r w:rsidR="00470BF4" w:rsidRPr="009E5B39">
              <w:rPr>
                <w:webHidden/>
              </w:rPr>
              <w:instrText xml:space="preserve"> PAGEREF _Toc116026896 \h </w:instrText>
            </w:r>
            <w:r w:rsidR="00470BF4" w:rsidRPr="009E5B39">
              <w:rPr>
                <w:webHidden/>
              </w:rPr>
            </w:r>
            <w:r w:rsidR="00470BF4" w:rsidRPr="009E5B39">
              <w:rPr>
                <w:webHidden/>
              </w:rPr>
              <w:fldChar w:fldCharType="separate"/>
            </w:r>
            <w:r w:rsidR="00D0690F">
              <w:rPr>
                <w:webHidden/>
              </w:rPr>
              <w:t>100</w:t>
            </w:r>
            <w:r w:rsidR="00470BF4" w:rsidRPr="009E5B39">
              <w:rPr>
                <w:webHidden/>
              </w:rPr>
              <w:fldChar w:fldCharType="end"/>
            </w:r>
          </w:hyperlink>
        </w:p>
        <w:p w14:paraId="3402BAE9" w14:textId="10A82B55"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97" w:history="1">
            <w:r w:rsidR="00470BF4" w:rsidRPr="009E5B39">
              <w:rPr>
                <w:rStyle w:val="Hyperlink"/>
              </w:rPr>
              <w:t>Anexa nr.15</w:t>
            </w:r>
            <w:r w:rsidR="00470BF4" w:rsidRPr="009E5B39">
              <w:rPr>
                <w:webHidden/>
              </w:rPr>
              <w:tab/>
            </w:r>
            <w:r w:rsidR="00470BF4" w:rsidRPr="009E5B39">
              <w:rPr>
                <w:webHidden/>
              </w:rPr>
              <w:fldChar w:fldCharType="begin"/>
            </w:r>
            <w:r w:rsidR="00470BF4" w:rsidRPr="009E5B39">
              <w:rPr>
                <w:webHidden/>
              </w:rPr>
              <w:instrText xml:space="preserve"> PAGEREF _Toc116026897 \h </w:instrText>
            </w:r>
            <w:r w:rsidR="00470BF4" w:rsidRPr="009E5B39">
              <w:rPr>
                <w:webHidden/>
              </w:rPr>
            </w:r>
            <w:r w:rsidR="00470BF4" w:rsidRPr="009E5B39">
              <w:rPr>
                <w:webHidden/>
              </w:rPr>
              <w:fldChar w:fldCharType="separate"/>
            </w:r>
            <w:r w:rsidR="00D0690F">
              <w:rPr>
                <w:webHidden/>
              </w:rPr>
              <w:t>102</w:t>
            </w:r>
            <w:r w:rsidR="00470BF4" w:rsidRPr="009E5B39">
              <w:rPr>
                <w:webHidden/>
              </w:rPr>
              <w:fldChar w:fldCharType="end"/>
            </w:r>
          </w:hyperlink>
        </w:p>
        <w:p w14:paraId="67C95715" w14:textId="0BD4DB52"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98" w:history="1">
            <w:r w:rsidR="00470BF4" w:rsidRPr="009E5B39">
              <w:rPr>
                <w:rStyle w:val="Hyperlink"/>
              </w:rPr>
              <w:t>Anexa nr.16</w:t>
            </w:r>
            <w:r w:rsidR="00470BF4" w:rsidRPr="009E5B39">
              <w:rPr>
                <w:webHidden/>
              </w:rPr>
              <w:tab/>
            </w:r>
            <w:r w:rsidR="00470BF4" w:rsidRPr="009E5B39">
              <w:rPr>
                <w:webHidden/>
              </w:rPr>
              <w:fldChar w:fldCharType="begin"/>
            </w:r>
            <w:r w:rsidR="00470BF4" w:rsidRPr="009E5B39">
              <w:rPr>
                <w:webHidden/>
              </w:rPr>
              <w:instrText xml:space="preserve"> PAGEREF _Toc116026898 \h </w:instrText>
            </w:r>
            <w:r w:rsidR="00470BF4" w:rsidRPr="009E5B39">
              <w:rPr>
                <w:webHidden/>
              </w:rPr>
            </w:r>
            <w:r w:rsidR="00470BF4" w:rsidRPr="009E5B39">
              <w:rPr>
                <w:webHidden/>
              </w:rPr>
              <w:fldChar w:fldCharType="separate"/>
            </w:r>
            <w:r w:rsidR="00D0690F">
              <w:rPr>
                <w:webHidden/>
              </w:rPr>
              <w:t>105</w:t>
            </w:r>
            <w:r w:rsidR="00470BF4" w:rsidRPr="009E5B39">
              <w:rPr>
                <w:webHidden/>
              </w:rPr>
              <w:fldChar w:fldCharType="end"/>
            </w:r>
          </w:hyperlink>
        </w:p>
        <w:p w14:paraId="321EA3AF" w14:textId="7BAAB3D7"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899" w:history="1">
            <w:r w:rsidR="00470BF4" w:rsidRPr="009E5B39">
              <w:rPr>
                <w:rStyle w:val="Hyperlink"/>
                <w:rFonts w:eastAsia="Times New Roman"/>
              </w:rPr>
              <w:t>Anexa nr.17</w:t>
            </w:r>
            <w:r w:rsidR="00470BF4" w:rsidRPr="009E5B39">
              <w:rPr>
                <w:webHidden/>
              </w:rPr>
              <w:tab/>
            </w:r>
            <w:r w:rsidR="00470BF4" w:rsidRPr="009E5B39">
              <w:rPr>
                <w:webHidden/>
              </w:rPr>
              <w:fldChar w:fldCharType="begin"/>
            </w:r>
            <w:r w:rsidR="00470BF4" w:rsidRPr="009E5B39">
              <w:rPr>
                <w:webHidden/>
              </w:rPr>
              <w:instrText xml:space="preserve"> PAGEREF _Toc116026899 \h </w:instrText>
            </w:r>
            <w:r w:rsidR="00470BF4" w:rsidRPr="009E5B39">
              <w:rPr>
                <w:webHidden/>
              </w:rPr>
            </w:r>
            <w:r w:rsidR="00470BF4" w:rsidRPr="009E5B39">
              <w:rPr>
                <w:webHidden/>
              </w:rPr>
              <w:fldChar w:fldCharType="separate"/>
            </w:r>
            <w:r w:rsidR="00D0690F">
              <w:rPr>
                <w:webHidden/>
              </w:rPr>
              <w:t>112</w:t>
            </w:r>
            <w:r w:rsidR="00470BF4" w:rsidRPr="009E5B39">
              <w:rPr>
                <w:webHidden/>
              </w:rPr>
              <w:fldChar w:fldCharType="end"/>
            </w:r>
          </w:hyperlink>
        </w:p>
        <w:p w14:paraId="5C7A4F5B" w14:textId="5BFB1758"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900" w:history="1">
            <w:r w:rsidR="00470BF4" w:rsidRPr="009E5B39">
              <w:rPr>
                <w:rStyle w:val="Hyperlink"/>
              </w:rPr>
              <w:t>Anexa nr.18</w:t>
            </w:r>
            <w:r w:rsidR="00470BF4" w:rsidRPr="009E5B39">
              <w:rPr>
                <w:webHidden/>
              </w:rPr>
              <w:tab/>
            </w:r>
            <w:r w:rsidR="00470BF4" w:rsidRPr="009E5B39">
              <w:rPr>
                <w:webHidden/>
              </w:rPr>
              <w:fldChar w:fldCharType="begin"/>
            </w:r>
            <w:r w:rsidR="00470BF4" w:rsidRPr="009E5B39">
              <w:rPr>
                <w:webHidden/>
              </w:rPr>
              <w:instrText xml:space="preserve"> PAGEREF _Toc116026900 \h </w:instrText>
            </w:r>
            <w:r w:rsidR="00470BF4" w:rsidRPr="009E5B39">
              <w:rPr>
                <w:webHidden/>
              </w:rPr>
            </w:r>
            <w:r w:rsidR="00470BF4" w:rsidRPr="009E5B39">
              <w:rPr>
                <w:webHidden/>
              </w:rPr>
              <w:fldChar w:fldCharType="separate"/>
            </w:r>
            <w:r w:rsidR="00D0690F">
              <w:rPr>
                <w:webHidden/>
              </w:rPr>
              <w:t>113</w:t>
            </w:r>
            <w:r w:rsidR="00470BF4" w:rsidRPr="009E5B39">
              <w:rPr>
                <w:webHidden/>
              </w:rPr>
              <w:fldChar w:fldCharType="end"/>
            </w:r>
          </w:hyperlink>
        </w:p>
        <w:p w14:paraId="5B434DA5" w14:textId="1264C762"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901" w:history="1">
            <w:r w:rsidR="00470BF4" w:rsidRPr="009E5B39">
              <w:rPr>
                <w:rStyle w:val="Hyperlink"/>
              </w:rPr>
              <w:t>Anexa nr.19</w:t>
            </w:r>
            <w:r w:rsidR="00470BF4" w:rsidRPr="009E5B39">
              <w:rPr>
                <w:webHidden/>
              </w:rPr>
              <w:tab/>
            </w:r>
            <w:r w:rsidR="00470BF4" w:rsidRPr="009E5B39">
              <w:rPr>
                <w:webHidden/>
              </w:rPr>
              <w:fldChar w:fldCharType="begin"/>
            </w:r>
            <w:r w:rsidR="00470BF4" w:rsidRPr="009E5B39">
              <w:rPr>
                <w:webHidden/>
              </w:rPr>
              <w:instrText xml:space="preserve"> PAGEREF _Toc116026901 \h </w:instrText>
            </w:r>
            <w:r w:rsidR="00470BF4" w:rsidRPr="009E5B39">
              <w:rPr>
                <w:webHidden/>
              </w:rPr>
            </w:r>
            <w:r w:rsidR="00470BF4" w:rsidRPr="009E5B39">
              <w:rPr>
                <w:webHidden/>
              </w:rPr>
              <w:fldChar w:fldCharType="separate"/>
            </w:r>
            <w:r w:rsidR="00D0690F">
              <w:rPr>
                <w:webHidden/>
              </w:rPr>
              <w:t>116</w:t>
            </w:r>
            <w:r w:rsidR="00470BF4" w:rsidRPr="009E5B39">
              <w:rPr>
                <w:webHidden/>
              </w:rPr>
              <w:fldChar w:fldCharType="end"/>
            </w:r>
          </w:hyperlink>
        </w:p>
        <w:p w14:paraId="400688E2" w14:textId="5641611E"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902" w:history="1">
            <w:r w:rsidR="00470BF4" w:rsidRPr="009E5B39">
              <w:rPr>
                <w:rStyle w:val="Hyperlink"/>
              </w:rPr>
              <w:t>Anexa nr.20</w:t>
            </w:r>
            <w:r w:rsidR="00470BF4" w:rsidRPr="009E5B39">
              <w:rPr>
                <w:webHidden/>
              </w:rPr>
              <w:tab/>
            </w:r>
            <w:r w:rsidR="00470BF4" w:rsidRPr="009E5B39">
              <w:rPr>
                <w:webHidden/>
              </w:rPr>
              <w:fldChar w:fldCharType="begin"/>
            </w:r>
            <w:r w:rsidR="00470BF4" w:rsidRPr="009E5B39">
              <w:rPr>
                <w:webHidden/>
              </w:rPr>
              <w:instrText xml:space="preserve"> PAGEREF _Toc116026902 \h </w:instrText>
            </w:r>
            <w:r w:rsidR="00470BF4" w:rsidRPr="009E5B39">
              <w:rPr>
                <w:webHidden/>
              </w:rPr>
            </w:r>
            <w:r w:rsidR="00470BF4" w:rsidRPr="009E5B39">
              <w:rPr>
                <w:webHidden/>
              </w:rPr>
              <w:fldChar w:fldCharType="separate"/>
            </w:r>
            <w:r w:rsidR="00D0690F">
              <w:rPr>
                <w:webHidden/>
              </w:rPr>
              <w:t>130</w:t>
            </w:r>
            <w:r w:rsidR="00470BF4" w:rsidRPr="009E5B39">
              <w:rPr>
                <w:webHidden/>
              </w:rPr>
              <w:fldChar w:fldCharType="end"/>
            </w:r>
          </w:hyperlink>
        </w:p>
        <w:p w14:paraId="55BE2D0D" w14:textId="615B5B1D"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903" w:history="1">
            <w:r w:rsidR="00470BF4" w:rsidRPr="009E5B39">
              <w:rPr>
                <w:rStyle w:val="Hyperlink"/>
                <w:rFonts w:eastAsia="Times New Roman"/>
              </w:rPr>
              <w:t>Anexa nr.21</w:t>
            </w:r>
            <w:r w:rsidR="00470BF4" w:rsidRPr="009E5B39">
              <w:rPr>
                <w:webHidden/>
              </w:rPr>
              <w:tab/>
            </w:r>
            <w:r w:rsidR="00470BF4" w:rsidRPr="009E5B39">
              <w:rPr>
                <w:webHidden/>
              </w:rPr>
              <w:fldChar w:fldCharType="begin"/>
            </w:r>
            <w:r w:rsidR="00470BF4" w:rsidRPr="009E5B39">
              <w:rPr>
                <w:webHidden/>
              </w:rPr>
              <w:instrText xml:space="preserve"> PAGEREF _Toc116026903 \h </w:instrText>
            </w:r>
            <w:r w:rsidR="00470BF4" w:rsidRPr="009E5B39">
              <w:rPr>
                <w:webHidden/>
              </w:rPr>
            </w:r>
            <w:r w:rsidR="00470BF4" w:rsidRPr="009E5B39">
              <w:rPr>
                <w:webHidden/>
              </w:rPr>
              <w:fldChar w:fldCharType="separate"/>
            </w:r>
            <w:r w:rsidR="00D0690F">
              <w:rPr>
                <w:webHidden/>
              </w:rPr>
              <w:t>132</w:t>
            </w:r>
            <w:r w:rsidR="00470BF4" w:rsidRPr="009E5B39">
              <w:rPr>
                <w:webHidden/>
              </w:rPr>
              <w:fldChar w:fldCharType="end"/>
            </w:r>
          </w:hyperlink>
        </w:p>
        <w:p w14:paraId="7BD33B96" w14:textId="4892904F" w:rsidR="00470BF4" w:rsidRPr="009E5B39" w:rsidRDefault="00EA1821">
          <w:pPr>
            <w:pStyle w:val="TOC1"/>
            <w:rPr>
              <w:rFonts w:asciiTheme="minorHAnsi" w:eastAsiaTheme="minorEastAsia" w:hAnsiTheme="minorHAnsi" w:cstheme="minorBidi"/>
              <w:b w:val="0"/>
              <w:sz w:val="22"/>
              <w:szCs w:val="22"/>
              <w:shd w:val="clear" w:color="auto" w:fill="auto"/>
            </w:rPr>
          </w:pPr>
          <w:hyperlink w:anchor="_Toc116026904" w:history="1">
            <w:r w:rsidR="00470BF4" w:rsidRPr="009E5B39">
              <w:rPr>
                <w:rStyle w:val="Hyperlink"/>
              </w:rPr>
              <w:t>Anexa nr.22</w:t>
            </w:r>
            <w:r w:rsidR="00470BF4" w:rsidRPr="009E5B39">
              <w:rPr>
                <w:webHidden/>
              </w:rPr>
              <w:tab/>
            </w:r>
            <w:r w:rsidR="00470BF4" w:rsidRPr="009E5B39">
              <w:rPr>
                <w:webHidden/>
              </w:rPr>
              <w:fldChar w:fldCharType="begin"/>
            </w:r>
            <w:r w:rsidR="00470BF4" w:rsidRPr="009E5B39">
              <w:rPr>
                <w:webHidden/>
              </w:rPr>
              <w:instrText xml:space="preserve"> PAGEREF _Toc116026904 \h </w:instrText>
            </w:r>
            <w:r w:rsidR="00470BF4" w:rsidRPr="009E5B39">
              <w:rPr>
                <w:webHidden/>
              </w:rPr>
            </w:r>
            <w:r w:rsidR="00470BF4" w:rsidRPr="009E5B39">
              <w:rPr>
                <w:webHidden/>
              </w:rPr>
              <w:fldChar w:fldCharType="separate"/>
            </w:r>
            <w:r w:rsidR="00D0690F">
              <w:rPr>
                <w:webHidden/>
              </w:rPr>
              <w:t>134</w:t>
            </w:r>
            <w:r w:rsidR="00470BF4" w:rsidRPr="009E5B39">
              <w:rPr>
                <w:webHidden/>
              </w:rPr>
              <w:fldChar w:fldCharType="end"/>
            </w:r>
          </w:hyperlink>
        </w:p>
        <w:p w14:paraId="5CBED4B7" w14:textId="0F7D9A87" w:rsidR="00850555" w:rsidRPr="009E5B39" w:rsidRDefault="00850555" w:rsidP="00EF4BC3">
          <w:pPr>
            <w:spacing w:after="0" w:line="240" w:lineRule="auto"/>
            <w:rPr>
              <w:rFonts w:asciiTheme="majorHAnsi" w:hAnsiTheme="majorHAnsi" w:cstheme="majorHAnsi"/>
              <w:lang w:val="ro-MD"/>
            </w:rPr>
          </w:pPr>
          <w:r w:rsidRPr="009E5B39">
            <w:rPr>
              <w:rFonts w:asciiTheme="majorHAnsi" w:hAnsiTheme="majorHAnsi" w:cstheme="majorHAnsi"/>
              <w:b/>
              <w:bCs/>
              <w:sz w:val="24"/>
              <w:szCs w:val="24"/>
              <w:lang w:val="ro-MD"/>
            </w:rPr>
            <w:fldChar w:fldCharType="end"/>
          </w:r>
        </w:p>
      </w:sdtContent>
    </w:sdt>
    <w:p w14:paraId="1FF36393" w14:textId="3AE34603" w:rsidR="00850555" w:rsidRPr="009E5B39" w:rsidRDefault="00850555" w:rsidP="00EF4BC3">
      <w:pPr>
        <w:spacing w:after="0" w:line="276" w:lineRule="auto"/>
        <w:rPr>
          <w:rFonts w:asciiTheme="majorHAnsi" w:hAnsiTheme="majorHAnsi" w:cstheme="majorHAnsi"/>
          <w:lang w:val="ro-MD"/>
        </w:rPr>
      </w:pPr>
    </w:p>
    <w:p w14:paraId="573FB1E1" w14:textId="3C01A1C1" w:rsidR="00850555" w:rsidRPr="009E5B39" w:rsidRDefault="00850555" w:rsidP="00EF4BC3">
      <w:pPr>
        <w:spacing w:after="0" w:line="276" w:lineRule="auto"/>
        <w:rPr>
          <w:rFonts w:asciiTheme="majorHAnsi" w:hAnsiTheme="majorHAnsi" w:cstheme="majorHAnsi"/>
          <w:lang w:val="ro-MD"/>
        </w:rPr>
      </w:pPr>
    </w:p>
    <w:p w14:paraId="4197D669" w14:textId="25A73997" w:rsidR="00850555" w:rsidRPr="009E5B39" w:rsidRDefault="00850555" w:rsidP="00EF4BC3">
      <w:pPr>
        <w:spacing w:after="0" w:line="276" w:lineRule="auto"/>
        <w:rPr>
          <w:rFonts w:asciiTheme="majorHAnsi" w:hAnsiTheme="majorHAnsi" w:cstheme="majorHAnsi"/>
          <w:lang w:val="ro-MD"/>
        </w:rPr>
      </w:pPr>
    </w:p>
    <w:p w14:paraId="79095388" w14:textId="1B590C7B" w:rsidR="00850555" w:rsidRPr="009E5B39" w:rsidRDefault="00850555" w:rsidP="00EF4BC3">
      <w:pPr>
        <w:spacing w:after="0" w:line="276" w:lineRule="auto"/>
        <w:rPr>
          <w:rFonts w:asciiTheme="majorHAnsi" w:hAnsiTheme="majorHAnsi" w:cstheme="majorHAnsi"/>
          <w:lang w:val="ro-MD"/>
        </w:rPr>
      </w:pPr>
    </w:p>
    <w:p w14:paraId="75D67CFE" w14:textId="42408E1F" w:rsidR="00850555" w:rsidRPr="009E5B39" w:rsidRDefault="00850555" w:rsidP="00EF4BC3">
      <w:pPr>
        <w:spacing w:after="0" w:line="276" w:lineRule="auto"/>
        <w:rPr>
          <w:rFonts w:asciiTheme="majorHAnsi" w:hAnsiTheme="majorHAnsi" w:cstheme="majorHAnsi"/>
          <w:lang w:val="ro-MD"/>
        </w:rPr>
      </w:pPr>
    </w:p>
    <w:p w14:paraId="40860E64" w14:textId="41990105" w:rsidR="00850555" w:rsidRPr="009E5B39" w:rsidRDefault="00850555" w:rsidP="00EF4BC3">
      <w:pPr>
        <w:spacing w:after="0" w:line="276" w:lineRule="auto"/>
        <w:rPr>
          <w:rFonts w:asciiTheme="majorHAnsi" w:hAnsiTheme="majorHAnsi" w:cstheme="majorHAnsi"/>
          <w:lang w:val="ro-MD"/>
        </w:rPr>
        <w:sectPr w:rsidR="00850555" w:rsidRPr="009E5B39" w:rsidSect="0043115A">
          <w:footerReference w:type="default" r:id="rId11"/>
          <w:footerReference w:type="first" r:id="rId12"/>
          <w:pgSz w:w="11909" w:h="16834" w:code="9"/>
          <w:pgMar w:top="851" w:right="851" w:bottom="851" w:left="1701" w:header="720" w:footer="282" w:gutter="0"/>
          <w:cols w:space="720"/>
          <w:titlePg/>
          <w:docGrid w:linePitch="360"/>
        </w:sectPr>
      </w:pPr>
    </w:p>
    <w:p w14:paraId="71E2DE61" w14:textId="2A497598" w:rsidR="00EF4290" w:rsidRPr="009E5B39" w:rsidRDefault="00850555" w:rsidP="00EF4BC3">
      <w:pPr>
        <w:keepNext/>
        <w:keepLines/>
        <w:spacing w:after="0" w:line="276" w:lineRule="auto"/>
        <w:jc w:val="center"/>
        <w:outlineLvl w:val="0"/>
        <w:rPr>
          <w:rFonts w:asciiTheme="majorHAnsi" w:eastAsiaTheme="majorEastAsia" w:hAnsiTheme="majorHAnsi" w:cstheme="majorHAnsi"/>
          <w:b/>
          <w:bCs/>
          <w:sz w:val="28"/>
          <w:szCs w:val="28"/>
          <w:lang w:val="ro-MD"/>
        </w:rPr>
      </w:pPr>
      <w:bookmarkStart w:id="1" w:name="_Toc60045167"/>
      <w:bookmarkStart w:id="2" w:name="_Toc116026871"/>
      <w:r w:rsidRPr="009E5B39">
        <w:rPr>
          <w:rFonts w:asciiTheme="majorHAnsi" w:eastAsiaTheme="majorEastAsia" w:hAnsiTheme="majorHAnsi" w:cstheme="majorHAnsi"/>
          <w:b/>
          <w:bCs/>
          <w:sz w:val="28"/>
          <w:szCs w:val="28"/>
          <w:lang w:val="ro-MD"/>
        </w:rPr>
        <w:lastRenderedPageBreak/>
        <w:t>LISTA ACRONIMELOR</w:t>
      </w:r>
      <w:bookmarkStart w:id="3" w:name="_Toc60045168"/>
      <w:bookmarkEnd w:id="1"/>
      <w:bookmarkEnd w:id="2"/>
    </w:p>
    <w:tbl>
      <w:tblPr>
        <w:tblW w:w="921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423"/>
      </w:tblGrid>
      <w:tr w:rsidR="00EF4BC3" w:rsidRPr="009E5B39" w14:paraId="24BA8AE0" w14:textId="49B40E8A" w:rsidTr="0043115A">
        <w:tc>
          <w:tcPr>
            <w:tcW w:w="1795" w:type="dxa"/>
            <w:shd w:val="clear" w:color="auto" w:fill="auto"/>
          </w:tcPr>
          <w:p w14:paraId="277A1717" w14:textId="5F30FEC4"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AAPL</w:t>
            </w:r>
          </w:p>
        </w:tc>
        <w:tc>
          <w:tcPr>
            <w:tcW w:w="7423" w:type="dxa"/>
            <w:shd w:val="clear" w:color="auto" w:fill="auto"/>
          </w:tcPr>
          <w:p w14:paraId="11D49DE8" w14:textId="5BD035AD" w:rsidR="00EF4290" w:rsidRPr="009E5B39" w:rsidRDefault="009D0FF8"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Autoritățile</w:t>
            </w:r>
            <w:r w:rsidR="00EF4290" w:rsidRPr="009E5B39">
              <w:rPr>
                <w:rFonts w:asciiTheme="majorHAnsi" w:eastAsia="Times New Roman" w:hAnsiTheme="majorHAnsi" w:cstheme="majorHAnsi"/>
                <w:sz w:val="24"/>
                <w:szCs w:val="24"/>
                <w:lang w:val="ro-MD" w:eastAsia="ru-RU"/>
              </w:rPr>
              <w:t xml:space="preserve"> </w:t>
            </w:r>
            <w:r w:rsidRPr="009E5B39">
              <w:rPr>
                <w:rFonts w:asciiTheme="majorHAnsi" w:eastAsia="Times New Roman" w:hAnsiTheme="majorHAnsi" w:cstheme="majorHAnsi"/>
                <w:sz w:val="24"/>
                <w:szCs w:val="24"/>
                <w:lang w:val="ro-MD" w:eastAsia="ru-RU"/>
              </w:rPr>
              <w:t>administrației</w:t>
            </w:r>
            <w:r w:rsidR="00EF4290" w:rsidRPr="009E5B39">
              <w:rPr>
                <w:rFonts w:asciiTheme="majorHAnsi" w:eastAsia="Times New Roman" w:hAnsiTheme="majorHAnsi" w:cstheme="majorHAnsi"/>
                <w:sz w:val="24"/>
                <w:szCs w:val="24"/>
                <w:lang w:val="ro-MD" w:eastAsia="ru-RU"/>
              </w:rPr>
              <w:t xml:space="preserve"> publice locale</w:t>
            </w:r>
          </w:p>
        </w:tc>
      </w:tr>
      <w:tr w:rsidR="00EF4BC3" w:rsidRPr="009E5B39" w14:paraId="378D9AC3" w14:textId="1C81A35E" w:rsidTr="0043115A">
        <w:tc>
          <w:tcPr>
            <w:tcW w:w="1795" w:type="dxa"/>
            <w:shd w:val="clear" w:color="auto" w:fill="auto"/>
          </w:tcPr>
          <w:p w14:paraId="236E72B1" w14:textId="1B9EA6E4"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APL</w:t>
            </w:r>
          </w:p>
        </w:tc>
        <w:tc>
          <w:tcPr>
            <w:tcW w:w="7423" w:type="dxa"/>
            <w:shd w:val="clear" w:color="auto" w:fill="auto"/>
          </w:tcPr>
          <w:p w14:paraId="5F32B66F" w14:textId="30753BBE"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Autoritate publică locală</w:t>
            </w:r>
          </w:p>
        </w:tc>
      </w:tr>
      <w:tr w:rsidR="00EF4BC3" w:rsidRPr="009E5B39" w14:paraId="2F62900B" w14:textId="2AFE2A64" w:rsidTr="0043115A">
        <w:tc>
          <w:tcPr>
            <w:tcW w:w="1795" w:type="dxa"/>
            <w:shd w:val="clear" w:color="auto" w:fill="auto"/>
          </w:tcPr>
          <w:p w14:paraId="4E770DE5" w14:textId="34652198"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ASP</w:t>
            </w:r>
          </w:p>
        </w:tc>
        <w:tc>
          <w:tcPr>
            <w:tcW w:w="7423" w:type="dxa"/>
            <w:shd w:val="clear" w:color="auto" w:fill="auto"/>
          </w:tcPr>
          <w:p w14:paraId="485CE8FA" w14:textId="26C692E5"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Agenția Servicii Publice</w:t>
            </w:r>
          </w:p>
        </w:tc>
      </w:tr>
      <w:tr w:rsidR="0048068D" w:rsidRPr="009E5B39" w14:paraId="0EDDEF16" w14:textId="77777777" w:rsidTr="0043115A">
        <w:tc>
          <w:tcPr>
            <w:tcW w:w="1795" w:type="dxa"/>
            <w:shd w:val="clear" w:color="auto" w:fill="auto"/>
          </w:tcPr>
          <w:p w14:paraId="262EB5FF" w14:textId="5B0444DC" w:rsidR="0048068D" w:rsidRPr="009E5B39" w:rsidRDefault="0048068D"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BUAT</w:t>
            </w:r>
          </w:p>
        </w:tc>
        <w:tc>
          <w:tcPr>
            <w:tcW w:w="7423" w:type="dxa"/>
            <w:shd w:val="clear" w:color="auto" w:fill="auto"/>
          </w:tcPr>
          <w:p w14:paraId="6908BA3F" w14:textId="4A4440AF" w:rsidR="0048068D" w:rsidRPr="009E5B39" w:rsidRDefault="0048068D"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Bugetul unității administrativ</w:t>
            </w:r>
            <w:r w:rsidR="0052780F"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teritoriale </w:t>
            </w:r>
          </w:p>
        </w:tc>
      </w:tr>
      <w:tr w:rsidR="00EF4BC3" w:rsidRPr="009E5B39" w14:paraId="0E6137BC" w14:textId="07D6080B" w:rsidTr="0043115A">
        <w:tc>
          <w:tcPr>
            <w:tcW w:w="1795" w:type="dxa"/>
            <w:shd w:val="clear" w:color="auto" w:fill="auto"/>
          </w:tcPr>
          <w:p w14:paraId="733CCBF0" w14:textId="73AD17F1"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CCRM</w:t>
            </w:r>
          </w:p>
        </w:tc>
        <w:tc>
          <w:tcPr>
            <w:tcW w:w="7423" w:type="dxa"/>
            <w:shd w:val="clear" w:color="auto" w:fill="auto"/>
          </w:tcPr>
          <w:p w14:paraId="7E689D23" w14:textId="527C5BAE"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Curtea de Conturi a Republicii Moldova</w:t>
            </w:r>
          </w:p>
        </w:tc>
      </w:tr>
      <w:tr w:rsidR="00EF4BC3" w:rsidRPr="009E5B39" w14:paraId="0ED6F949" w14:textId="14AE704D" w:rsidTr="0043115A">
        <w:tc>
          <w:tcPr>
            <w:tcW w:w="1795" w:type="dxa"/>
            <w:shd w:val="clear" w:color="auto" w:fill="auto"/>
          </w:tcPr>
          <w:p w14:paraId="42A3F00D" w14:textId="38FF3BB4"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CMC</w:t>
            </w:r>
          </w:p>
        </w:tc>
        <w:tc>
          <w:tcPr>
            <w:tcW w:w="7423" w:type="dxa"/>
            <w:shd w:val="clear" w:color="auto" w:fill="auto"/>
          </w:tcPr>
          <w:p w14:paraId="263D0AE0" w14:textId="32A23A97"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Consiliul municipal Chișinău</w:t>
            </w:r>
          </w:p>
        </w:tc>
      </w:tr>
      <w:tr w:rsidR="007A5134" w:rsidRPr="009E5B39" w14:paraId="23596C48" w14:textId="77777777" w:rsidTr="0043115A">
        <w:tc>
          <w:tcPr>
            <w:tcW w:w="1795" w:type="dxa"/>
            <w:shd w:val="clear" w:color="auto" w:fill="auto"/>
          </w:tcPr>
          <w:p w14:paraId="0CB4B380" w14:textId="1C007735" w:rsidR="007A5134" w:rsidRPr="009E5B39" w:rsidRDefault="007A5134"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DCITL</w:t>
            </w:r>
          </w:p>
        </w:tc>
        <w:tc>
          <w:tcPr>
            <w:tcW w:w="7423" w:type="dxa"/>
            <w:shd w:val="clear" w:color="auto" w:fill="auto"/>
          </w:tcPr>
          <w:p w14:paraId="0B56FDF6" w14:textId="6483CDBD" w:rsidR="007A5134" w:rsidRPr="009E5B39" w:rsidRDefault="007A5134"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Direcția de colectare a impozitelor și taxelor locale</w:t>
            </w:r>
          </w:p>
        </w:tc>
      </w:tr>
      <w:tr w:rsidR="00EF4BC3" w:rsidRPr="009E5B39" w14:paraId="2DBD1FBD" w14:textId="083C4E3C" w:rsidTr="0043115A">
        <w:tc>
          <w:tcPr>
            <w:tcW w:w="1795" w:type="dxa"/>
            <w:shd w:val="clear" w:color="auto" w:fill="auto"/>
          </w:tcPr>
          <w:p w14:paraId="68262B0D" w14:textId="0316EB5B"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DGAURF</w:t>
            </w:r>
          </w:p>
        </w:tc>
        <w:tc>
          <w:tcPr>
            <w:tcW w:w="7423" w:type="dxa"/>
            <w:shd w:val="clear" w:color="auto" w:fill="auto"/>
          </w:tcPr>
          <w:p w14:paraId="1B4E8125" w14:textId="214FAA13"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Direcția Generală Arhitectură, Urbanism și Relații Funciare</w:t>
            </w:r>
          </w:p>
        </w:tc>
      </w:tr>
      <w:tr w:rsidR="00EF4BC3" w:rsidRPr="009E5B39" w14:paraId="27935988" w14:textId="18FBD267" w:rsidTr="0043115A">
        <w:tc>
          <w:tcPr>
            <w:tcW w:w="1795" w:type="dxa"/>
            <w:shd w:val="clear" w:color="auto" w:fill="auto"/>
          </w:tcPr>
          <w:p w14:paraId="4B777172" w14:textId="538D674F" w:rsidR="00EF4290" w:rsidRPr="009E5B39" w:rsidRDefault="007A5134"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DGECT</w:t>
            </w:r>
          </w:p>
        </w:tc>
        <w:tc>
          <w:tcPr>
            <w:tcW w:w="7423" w:type="dxa"/>
            <w:shd w:val="clear" w:color="auto" w:fill="auto"/>
          </w:tcPr>
          <w:p w14:paraId="40480FCF" w14:textId="7D5246FB"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Direcția Gene</w:t>
            </w:r>
            <w:r w:rsidR="007A5134" w:rsidRPr="009E5B39">
              <w:rPr>
                <w:rFonts w:asciiTheme="majorHAnsi" w:eastAsia="Times New Roman" w:hAnsiTheme="majorHAnsi" w:cstheme="majorHAnsi"/>
                <w:sz w:val="24"/>
                <w:szCs w:val="24"/>
                <w:lang w:val="ro-MD" w:eastAsia="ru-RU"/>
              </w:rPr>
              <w:t>rală Economie, Comerț și Turism</w:t>
            </w:r>
          </w:p>
        </w:tc>
      </w:tr>
      <w:tr w:rsidR="00EF4BC3" w:rsidRPr="009E5B39" w14:paraId="1432FA13" w14:textId="60559FEF" w:rsidTr="0043115A">
        <w:tc>
          <w:tcPr>
            <w:tcW w:w="1795" w:type="dxa"/>
            <w:shd w:val="clear" w:color="auto" w:fill="auto"/>
          </w:tcPr>
          <w:p w14:paraId="5ADE8E5F" w14:textId="0FC38147"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DGF</w:t>
            </w:r>
          </w:p>
        </w:tc>
        <w:tc>
          <w:tcPr>
            <w:tcW w:w="7423" w:type="dxa"/>
            <w:shd w:val="clear" w:color="auto" w:fill="auto"/>
          </w:tcPr>
          <w:p w14:paraId="2708B5CB" w14:textId="5A433BAF"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Direcția Generală Finanțe</w:t>
            </w:r>
          </w:p>
        </w:tc>
      </w:tr>
      <w:tr w:rsidR="00EF4BC3" w:rsidRPr="009E5B39" w14:paraId="672B3AAB" w14:textId="0E8D0790" w:rsidTr="0043115A">
        <w:tc>
          <w:tcPr>
            <w:tcW w:w="1795" w:type="dxa"/>
            <w:shd w:val="clear" w:color="auto" w:fill="auto"/>
          </w:tcPr>
          <w:p w14:paraId="02B06FC4" w14:textId="4FE57B3A"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DGLCA</w:t>
            </w:r>
          </w:p>
        </w:tc>
        <w:tc>
          <w:tcPr>
            <w:tcW w:w="7423" w:type="dxa"/>
            <w:shd w:val="clear" w:color="auto" w:fill="auto"/>
          </w:tcPr>
          <w:p w14:paraId="45BC62E8" w14:textId="31B52D06"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Direcția Generală Locativ-Comunală și Amenajare</w:t>
            </w:r>
          </w:p>
        </w:tc>
      </w:tr>
      <w:tr w:rsidR="00EF4BC3" w:rsidRPr="009E5B39" w14:paraId="01FE2F8A" w14:textId="3524A174" w:rsidTr="0043115A">
        <w:tc>
          <w:tcPr>
            <w:tcW w:w="1795" w:type="dxa"/>
            <w:shd w:val="clear" w:color="auto" w:fill="auto"/>
          </w:tcPr>
          <w:p w14:paraId="0076A18B" w14:textId="3095E827" w:rsidR="00EF4290" w:rsidRPr="009E5B39" w:rsidRDefault="00EF4290" w:rsidP="0048068D">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w:t>
            </w:r>
            <w:r w:rsidR="0048068D" w:rsidRPr="009E5B39">
              <w:rPr>
                <w:rFonts w:asciiTheme="majorHAnsi" w:eastAsia="Times New Roman" w:hAnsiTheme="majorHAnsi" w:cstheme="majorHAnsi"/>
                <w:sz w:val="24"/>
                <w:szCs w:val="24"/>
                <w:lang w:val="ro-MD" w:eastAsia="ru-RU"/>
              </w:rPr>
              <w:t>MF</w:t>
            </w:r>
          </w:p>
        </w:tc>
        <w:tc>
          <w:tcPr>
            <w:tcW w:w="7423" w:type="dxa"/>
            <w:shd w:val="clear" w:color="auto" w:fill="auto"/>
          </w:tcPr>
          <w:p w14:paraId="622008CB" w14:textId="2ABE89F6" w:rsidR="00EF4290" w:rsidRPr="009E5B39" w:rsidRDefault="0048068D"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Direcția Management Financiar</w:t>
            </w:r>
          </w:p>
        </w:tc>
      </w:tr>
      <w:tr w:rsidR="00EF4BC3" w:rsidRPr="009E5B39" w14:paraId="535B0AD8" w14:textId="037E4A76" w:rsidTr="0043115A">
        <w:tc>
          <w:tcPr>
            <w:tcW w:w="1795" w:type="dxa"/>
            <w:shd w:val="clear" w:color="auto" w:fill="auto"/>
          </w:tcPr>
          <w:p w14:paraId="3B532713" w14:textId="147762BC"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DGTPCC</w:t>
            </w:r>
          </w:p>
        </w:tc>
        <w:tc>
          <w:tcPr>
            <w:tcW w:w="7423" w:type="dxa"/>
            <w:shd w:val="clear" w:color="auto" w:fill="auto"/>
          </w:tcPr>
          <w:p w14:paraId="000ED055" w14:textId="60C86958"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Direcția Generală Transport Public și Căi de Comunicație</w:t>
            </w:r>
          </w:p>
        </w:tc>
      </w:tr>
      <w:tr w:rsidR="00EF4BC3" w:rsidRPr="009E5B39" w14:paraId="6E035A3A" w14:textId="05D27878" w:rsidTr="0043115A">
        <w:tc>
          <w:tcPr>
            <w:tcW w:w="1795" w:type="dxa"/>
            <w:shd w:val="clear" w:color="auto" w:fill="auto"/>
          </w:tcPr>
          <w:p w14:paraId="66BBE2A0" w14:textId="1EFB3D27"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HG</w:t>
            </w:r>
          </w:p>
        </w:tc>
        <w:tc>
          <w:tcPr>
            <w:tcW w:w="7423" w:type="dxa"/>
            <w:shd w:val="clear" w:color="auto" w:fill="auto"/>
          </w:tcPr>
          <w:p w14:paraId="50F1F9A7" w14:textId="2765C20F"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Hotărârea Guvernului</w:t>
            </w:r>
          </w:p>
        </w:tc>
      </w:tr>
      <w:tr w:rsidR="008B4D63" w:rsidRPr="009E5B39" w14:paraId="1CD1E83C" w14:textId="77777777" w:rsidTr="0043115A">
        <w:tc>
          <w:tcPr>
            <w:tcW w:w="1795" w:type="dxa"/>
            <w:shd w:val="clear" w:color="auto" w:fill="auto"/>
          </w:tcPr>
          <w:p w14:paraId="5C8A1A4E" w14:textId="50637E7C" w:rsidR="008B4D63" w:rsidRPr="009E5B39" w:rsidRDefault="00722F7C"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HCC</w:t>
            </w:r>
          </w:p>
        </w:tc>
        <w:tc>
          <w:tcPr>
            <w:tcW w:w="7423" w:type="dxa"/>
            <w:shd w:val="clear" w:color="auto" w:fill="auto"/>
          </w:tcPr>
          <w:p w14:paraId="392007A4" w14:textId="6C57E96F" w:rsidR="008B4D63" w:rsidRPr="009E5B39" w:rsidRDefault="00722F7C"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Hotărârea Curții de Conturi</w:t>
            </w:r>
          </w:p>
        </w:tc>
      </w:tr>
      <w:tr w:rsidR="00EF4BC3" w:rsidRPr="009E5B39" w14:paraId="78FC13C8" w14:textId="37A1C388" w:rsidTr="0043115A">
        <w:tc>
          <w:tcPr>
            <w:tcW w:w="1795" w:type="dxa"/>
            <w:shd w:val="clear" w:color="auto" w:fill="auto"/>
          </w:tcPr>
          <w:p w14:paraId="11A945C1" w14:textId="76643DDA"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IMSP</w:t>
            </w:r>
          </w:p>
        </w:tc>
        <w:tc>
          <w:tcPr>
            <w:tcW w:w="7423" w:type="dxa"/>
            <w:shd w:val="clear" w:color="auto" w:fill="auto"/>
          </w:tcPr>
          <w:p w14:paraId="25E5B922" w14:textId="7EA5BF1D"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Instituție medico-sanitară publică</w:t>
            </w:r>
          </w:p>
        </w:tc>
      </w:tr>
      <w:tr w:rsidR="0048068D" w:rsidRPr="009E5B39" w14:paraId="6456D229" w14:textId="77777777" w:rsidTr="0043115A">
        <w:tc>
          <w:tcPr>
            <w:tcW w:w="1795" w:type="dxa"/>
            <w:shd w:val="clear" w:color="auto" w:fill="auto"/>
          </w:tcPr>
          <w:p w14:paraId="44142348" w14:textId="2AB9B76B" w:rsidR="0048068D" w:rsidRPr="009E5B39" w:rsidRDefault="0048068D"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ÎM AGSV</w:t>
            </w:r>
          </w:p>
        </w:tc>
        <w:tc>
          <w:tcPr>
            <w:tcW w:w="7423" w:type="dxa"/>
            <w:shd w:val="clear" w:color="auto" w:fill="auto"/>
          </w:tcPr>
          <w:p w14:paraId="539A5FB7" w14:textId="56E26BD1" w:rsidR="0048068D" w:rsidRPr="009E5B39" w:rsidRDefault="006461DF"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Întreprindere</w:t>
            </w:r>
            <w:r w:rsidR="0052780F" w:rsidRPr="009E5B39">
              <w:rPr>
                <w:rFonts w:asciiTheme="majorHAnsi" w:eastAsia="Times New Roman" w:hAnsiTheme="majorHAnsi" w:cstheme="majorHAnsi"/>
                <w:sz w:val="24"/>
                <w:szCs w:val="24"/>
                <w:lang w:val="ro-MD" w:eastAsia="ru-RU"/>
              </w:rPr>
              <w:t>a</w:t>
            </w:r>
            <w:r w:rsidRPr="009E5B39">
              <w:rPr>
                <w:rFonts w:asciiTheme="majorHAnsi" w:eastAsia="Times New Roman" w:hAnsiTheme="majorHAnsi" w:cstheme="majorHAnsi"/>
                <w:sz w:val="24"/>
                <w:szCs w:val="24"/>
                <w:lang w:val="ro-MD" w:eastAsia="ru-RU"/>
              </w:rPr>
              <w:t xml:space="preserve"> municipală </w:t>
            </w:r>
            <w:r w:rsidR="00493C37" w:rsidRPr="009E5B39">
              <w:rPr>
                <w:rFonts w:asciiTheme="majorHAnsi" w:eastAsia="Times New Roman" w:hAnsiTheme="majorHAnsi" w:cstheme="majorHAnsi"/>
                <w:sz w:val="24"/>
                <w:szCs w:val="24"/>
                <w:lang w:val="ro-MD" w:eastAsia="ru-RU"/>
              </w:rPr>
              <w:t>Asociația de Gospodărire a Spațiilor Verzi</w:t>
            </w:r>
          </w:p>
        </w:tc>
      </w:tr>
      <w:tr w:rsidR="007A5134" w:rsidRPr="009E5B39" w14:paraId="7A57038C" w14:textId="77777777" w:rsidTr="0043115A">
        <w:tc>
          <w:tcPr>
            <w:tcW w:w="1795" w:type="dxa"/>
            <w:shd w:val="clear" w:color="auto" w:fill="auto"/>
          </w:tcPr>
          <w:p w14:paraId="7B6BA26A" w14:textId="703F40CF" w:rsidR="007A5134" w:rsidRPr="009E5B39" w:rsidRDefault="007A5134"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ÎMSL</w:t>
            </w:r>
          </w:p>
        </w:tc>
        <w:tc>
          <w:tcPr>
            <w:tcW w:w="7423" w:type="dxa"/>
            <w:shd w:val="clear" w:color="auto" w:fill="auto"/>
          </w:tcPr>
          <w:p w14:paraId="6B42BCEF" w14:textId="6CBEBE83" w:rsidR="007A5134" w:rsidRPr="009E5B39" w:rsidRDefault="007A5134"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Întreprindere</w:t>
            </w:r>
            <w:r w:rsidR="0052780F" w:rsidRPr="009E5B39">
              <w:rPr>
                <w:rFonts w:asciiTheme="majorHAnsi" w:eastAsia="Times New Roman" w:hAnsiTheme="majorHAnsi" w:cstheme="majorHAnsi"/>
                <w:sz w:val="24"/>
                <w:szCs w:val="24"/>
                <w:lang w:val="ro-MD" w:eastAsia="ru-RU"/>
              </w:rPr>
              <w:t>a</w:t>
            </w:r>
            <w:r w:rsidRPr="009E5B39">
              <w:rPr>
                <w:rFonts w:asciiTheme="majorHAnsi" w:eastAsia="Times New Roman" w:hAnsiTheme="majorHAnsi" w:cstheme="majorHAnsi"/>
                <w:sz w:val="24"/>
                <w:szCs w:val="24"/>
                <w:lang w:val="ro-MD" w:eastAsia="ru-RU"/>
              </w:rPr>
              <w:t xml:space="preserve"> municipală </w:t>
            </w:r>
            <w:r w:rsidR="0027704F" w:rsidRPr="009E5B39">
              <w:rPr>
                <w:rFonts w:asciiTheme="majorHAnsi" w:eastAsia="Times New Roman" w:hAnsiTheme="majorHAnsi" w:cstheme="majorHAnsi"/>
                <w:sz w:val="24"/>
                <w:szCs w:val="24"/>
                <w:lang w:val="ro-MD" w:eastAsia="ru-RU"/>
              </w:rPr>
              <w:t xml:space="preserve">pentru </w:t>
            </w:r>
            <w:r w:rsidRPr="009E5B39">
              <w:rPr>
                <w:rFonts w:asciiTheme="majorHAnsi" w:eastAsia="Times New Roman" w:hAnsiTheme="majorHAnsi" w:cstheme="majorHAnsi"/>
                <w:sz w:val="24"/>
                <w:szCs w:val="24"/>
                <w:lang w:val="ro-MD" w:eastAsia="ru-RU"/>
              </w:rPr>
              <w:t>servicii locative</w:t>
            </w:r>
          </w:p>
        </w:tc>
      </w:tr>
      <w:tr w:rsidR="00EF4BC3" w:rsidRPr="009E5B39" w14:paraId="74E902FC" w14:textId="250F8D46" w:rsidTr="0043115A">
        <w:tc>
          <w:tcPr>
            <w:tcW w:w="1795" w:type="dxa"/>
            <w:shd w:val="clear" w:color="auto" w:fill="auto"/>
          </w:tcPr>
          <w:p w14:paraId="798FD5F7" w14:textId="53D705F5"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ÎMGFL</w:t>
            </w:r>
          </w:p>
        </w:tc>
        <w:tc>
          <w:tcPr>
            <w:tcW w:w="7423" w:type="dxa"/>
            <w:shd w:val="clear" w:color="auto" w:fill="auto"/>
          </w:tcPr>
          <w:p w14:paraId="1E105DBE" w14:textId="5E259E60"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Întreprindere</w:t>
            </w:r>
            <w:r w:rsidR="0052780F" w:rsidRPr="009E5B39">
              <w:rPr>
                <w:rFonts w:asciiTheme="majorHAnsi" w:eastAsia="Times New Roman" w:hAnsiTheme="majorHAnsi" w:cstheme="majorHAnsi"/>
                <w:sz w:val="24"/>
                <w:szCs w:val="24"/>
                <w:lang w:val="ro-MD" w:eastAsia="ru-RU"/>
              </w:rPr>
              <w:t>a</w:t>
            </w:r>
            <w:r w:rsidRPr="009E5B39">
              <w:rPr>
                <w:rFonts w:asciiTheme="majorHAnsi" w:eastAsia="Times New Roman" w:hAnsiTheme="majorHAnsi" w:cstheme="majorHAnsi"/>
                <w:sz w:val="24"/>
                <w:szCs w:val="24"/>
                <w:lang w:val="ro-MD" w:eastAsia="ru-RU"/>
              </w:rPr>
              <w:t xml:space="preserve"> municipală pentru gestionarea fondului locativ</w:t>
            </w:r>
          </w:p>
        </w:tc>
      </w:tr>
      <w:tr w:rsidR="00EF4BC3" w:rsidRPr="009E5B39" w14:paraId="48B42B57" w14:textId="5F73AA90" w:rsidTr="0043115A">
        <w:tc>
          <w:tcPr>
            <w:tcW w:w="1795" w:type="dxa"/>
            <w:shd w:val="clear" w:color="auto" w:fill="auto"/>
          </w:tcPr>
          <w:p w14:paraId="2A2469E5" w14:textId="60AB6DA6"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ÎM</w:t>
            </w:r>
          </w:p>
        </w:tc>
        <w:tc>
          <w:tcPr>
            <w:tcW w:w="7423" w:type="dxa"/>
            <w:shd w:val="clear" w:color="auto" w:fill="auto"/>
          </w:tcPr>
          <w:p w14:paraId="51FF42D8" w14:textId="5C1D60FB"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Întreprindere</w:t>
            </w:r>
            <w:r w:rsidR="0052780F" w:rsidRPr="009E5B39">
              <w:rPr>
                <w:rFonts w:asciiTheme="majorHAnsi" w:eastAsia="Times New Roman" w:hAnsiTheme="majorHAnsi" w:cstheme="majorHAnsi"/>
                <w:sz w:val="24"/>
                <w:szCs w:val="24"/>
                <w:lang w:val="ro-MD" w:eastAsia="ru-RU"/>
              </w:rPr>
              <w:t>a</w:t>
            </w:r>
            <w:r w:rsidRPr="009E5B39">
              <w:rPr>
                <w:rFonts w:asciiTheme="majorHAnsi" w:eastAsia="Times New Roman" w:hAnsiTheme="majorHAnsi" w:cstheme="majorHAnsi"/>
                <w:sz w:val="24"/>
                <w:szCs w:val="24"/>
                <w:lang w:val="ro-MD" w:eastAsia="ru-RU"/>
              </w:rPr>
              <w:t xml:space="preserve"> municipală</w:t>
            </w:r>
          </w:p>
        </w:tc>
      </w:tr>
      <w:tr w:rsidR="00EF4BC3" w:rsidRPr="009E5B39" w14:paraId="7D13C906" w14:textId="53399219" w:rsidTr="0043115A">
        <w:tc>
          <w:tcPr>
            <w:tcW w:w="1795" w:type="dxa"/>
            <w:shd w:val="clear" w:color="auto" w:fill="auto"/>
          </w:tcPr>
          <w:p w14:paraId="6CA0ECF3" w14:textId="36B4E9AA"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ÎM DCC</w:t>
            </w:r>
          </w:p>
        </w:tc>
        <w:tc>
          <w:tcPr>
            <w:tcW w:w="7423" w:type="dxa"/>
            <w:shd w:val="clear" w:color="auto" w:fill="auto"/>
          </w:tcPr>
          <w:p w14:paraId="74AF1DB6" w14:textId="0A4D516E"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Întreprinderea municipală „Direcția Construcții Capitale”</w:t>
            </w:r>
          </w:p>
        </w:tc>
      </w:tr>
      <w:tr w:rsidR="0048068D" w:rsidRPr="009E5B39" w14:paraId="14B7DFFB" w14:textId="77777777" w:rsidTr="0043115A">
        <w:tc>
          <w:tcPr>
            <w:tcW w:w="1795" w:type="dxa"/>
            <w:shd w:val="clear" w:color="auto" w:fill="auto"/>
          </w:tcPr>
          <w:p w14:paraId="1F3F039A" w14:textId="16278DD2" w:rsidR="0048068D" w:rsidRPr="009E5B39" w:rsidRDefault="0048068D" w:rsidP="00EF4BC3">
            <w:pPr>
              <w:spacing w:after="0" w:line="276" w:lineRule="auto"/>
              <w:rPr>
                <w:rFonts w:asciiTheme="majorHAnsi" w:eastAsia="Calibri" w:hAnsiTheme="majorHAnsi" w:cstheme="majorHAnsi"/>
                <w:sz w:val="24"/>
                <w:szCs w:val="24"/>
                <w:lang w:val="ro-MD"/>
              </w:rPr>
            </w:pPr>
            <w:r w:rsidRPr="009E5B39">
              <w:rPr>
                <w:rFonts w:asciiTheme="majorHAnsi" w:eastAsia="Calibri" w:hAnsiTheme="majorHAnsi" w:cstheme="majorHAnsi"/>
                <w:sz w:val="24"/>
                <w:szCs w:val="24"/>
                <w:lang w:val="ro-MD"/>
              </w:rPr>
              <w:t>NIAC</w:t>
            </w:r>
          </w:p>
        </w:tc>
        <w:tc>
          <w:tcPr>
            <w:tcW w:w="7423" w:type="dxa"/>
            <w:shd w:val="clear" w:color="auto" w:fill="auto"/>
          </w:tcPr>
          <w:p w14:paraId="4F79F4F9" w14:textId="18FE55D9" w:rsidR="0048068D" w:rsidRPr="009E5B39" w:rsidRDefault="0048068D"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Notificare de inițiere a activității de comerț</w:t>
            </w:r>
          </w:p>
        </w:tc>
      </w:tr>
      <w:tr w:rsidR="00EF4BC3" w:rsidRPr="009E5B39" w14:paraId="464E5A87" w14:textId="02E11A22" w:rsidTr="0043115A">
        <w:tc>
          <w:tcPr>
            <w:tcW w:w="1795" w:type="dxa"/>
            <w:shd w:val="clear" w:color="auto" w:fill="auto"/>
          </w:tcPr>
          <w:p w14:paraId="2D819A06" w14:textId="3223A6A2"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PMC</w:t>
            </w:r>
          </w:p>
        </w:tc>
        <w:tc>
          <w:tcPr>
            <w:tcW w:w="7423" w:type="dxa"/>
            <w:shd w:val="clear" w:color="auto" w:fill="auto"/>
          </w:tcPr>
          <w:p w14:paraId="5FFEA009" w14:textId="1CBC67A6"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Primăria municipiului Chișinău</w:t>
            </w:r>
          </w:p>
        </w:tc>
      </w:tr>
      <w:tr w:rsidR="00EF4BC3" w:rsidRPr="009E5B39" w14:paraId="7D39BF38" w14:textId="744C51F5" w:rsidTr="0043115A">
        <w:tc>
          <w:tcPr>
            <w:tcW w:w="1795" w:type="dxa"/>
            <w:shd w:val="clear" w:color="auto" w:fill="auto"/>
          </w:tcPr>
          <w:p w14:paraId="46F3BE0A" w14:textId="10B44121"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PGMC</w:t>
            </w:r>
          </w:p>
        </w:tc>
        <w:tc>
          <w:tcPr>
            <w:tcW w:w="7423" w:type="dxa"/>
            <w:shd w:val="clear" w:color="auto" w:fill="auto"/>
          </w:tcPr>
          <w:p w14:paraId="0FCE6D0A" w14:textId="3E44E685"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Primarul general al municipiului Chișinău</w:t>
            </w:r>
          </w:p>
        </w:tc>
      </w:tr>
      <w:tr w:rsidR="00EF4BC3" w:rsidRPr="009E5B39" w14:paraId="4397F503" w14:textId="69465EC4" w:rsidTr="0043115A">
        <w:tc>
          <w:tcPr>
            <w:tcW w:w="1795" w:type="dxa"/>
            <w:shd w:val="clear" w:color="auto" w:fill="auto"/>
          </w:tcPr>
          <w:p w14:paraId="2B69B617" w14:textId="2EF11572"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PPP</w:t>
            </w:r>
          </w:p>
        </w:tc>
        <w:tc>
          <w:tcPr>
            <w:tcW w:w="7423" w:type="dxa"/>
            <w:shd w:val="clear" w:color="auto" w:fill="auto"/>
          </w:tcPr>
          <w:p w14:paraId="117B55D1" w14:textId="71D0908D"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Parteneriat public-privat</w:t>
            </w:r>
          </w:p>
        </w:tc>
      </w:tr>
      <w:tr w:rsidR="00BF1C31" w:rsidRPr="009E5B39" w14:paraId="48517D7A" w14:textId="77777777" w:rsidTr="0043115A">
        <w:tc>
          <w:tcPr>
            <w:tcW w:w="1795" w:type="dxa"/>
            <w:shd w:val="clear" w:color="auto" w:fill="auto"/>
          </w:tcPr>
          <w:p w14:paraId="272A6DB5" w14:textId="0B2E06C5" w:rsidR="00BF1C31" w:rsidRPr="009E5B39" w:rsidRDefault="00BF1C31"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PSP</w:t>
            </w:r>
          </w:p>
        </w:tc>
        <w:tc>
          <w:tcPr>
            <w:tcW w:w="7423" w:type="dxa"/>
            <w:shd w:val="clear" w:color="auto" w:fill="auto"/>
          </w:tcPr>
          <w:p w14:paraId="21BF70A7" w14:textId="1A5B4CC1" w:rsidR="00BF1C31" w:rsidRPr="009E5B39" w:rsidRDefault="00BF1C31"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Pasaj subteran pietonal</w:t>
            </w:r>
          </w:p>
        </w:tc>
      </w:tr>
      <w:tr w:rsidR="00EF4BC3" w:rsidRPr="009E5B39" w14:paraId="122B4B28" w14:textId="2D546C06" w:rsidTr="0043115A">
        <w:tc>
          <w:tcPr>
            <w:tcW w:w="1795" w:type="dxa"/>
            <w:shd w:val="clear" w:color="auto" w:fill="auto"/>
          </w:tcPr>
          <w:p w14:paraId="379F55DF" w14:textId="4BAE749F"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RBI</w:t>
            </w:r>
          </w:p>
        </w:tc>
        <w:tc>
          <w:tcPr>
            <w:tcW w:w="7423" w:type="dxa"/>
            <w:shd w:val="clear" w:color="auto" w:fill="auto"/>
          </w:tcPr>
          <w:p w14:paraId="76AE276C" w14:textId="7EBCD56B"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Registrul bunurilor imobile</w:t>
            </w:r>
          </w:p>
        </w:tc>
      </w:tr>
      <w:tr w:rsidR="00EF4BC3" w:rsidRPr="009E5B39" w14:paraId="1B970095" w14:textId="25E804EA" w:rsidTr="0043115A">
        <w:tc>
          <w:tcPr>
            <w:tcW w:w="1795" w:type="dxa"/>
            <w:shd w:val="clear" w:color="auto" w:fill="auto"/>
          </w:tcPr>
          <w:p w14:paraId="283CE511" w14:textId="038E95F7"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SA</w:t>
            </w:r>
          </w:p>
        </w:tc>
        <w:tc>
          <w:tcPr>
            <w:tcW w:w="7423" w:type="dxa"/>
            <w:shd w:val="clear" w:color="auto" w:fill="auto"/>
          </w:tcPr>
          <w:p w14:paraId="432C7526" w14:textId="1F589F67"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Societatea pe acțiuni</w:t>
            </w:r>
          </w:p>
        </w:tc>
      </w:tr>
      <w:tr w:rsidR="00722F7C" w:rsidRPr="009E5B39" w14:paraId="4BA77EE3" w14:textId="77777777" w:rsidTr="0043115A">
        <w:tc>
          <w:tcPr>
            <w:tcW w:w="1795" w:type="dxa"/>
            <w:shd w:val="clear" w:color="auto" w:fill="auto"/>
          </w:tcPr>
          <w:p w14:paraId="74814345" w14:textId="6ED87486" w:rsidR="00722F7C" w:rsidRPr="009E5B39" w:rsidRDefault="00722F7C"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SA ACC</w:t>
            </w:r>
          </w:p>
        </w:tc>
        <w:tc>
          <w:tcPr>
            <w:tcW w:w="7423" w:type="dxa"/>
            <w:shd w:val="clear" w:color="auto" w:fill="auto"/>
          </w:tcPr>
          <w:p w14:paraId="1DFE9BB0" w14:textId="31591869" w:rsidR="00722F7C" w:rsidRPr="009E5B39" w:rsidRDefault="00722F7C"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Societatea pe acțiuni „Apă Canal Chișinău”</w:t>
            </w:r>
          </w:p>
        </w:tc>
      </w:tr>
      <w:tr w:rsidR="00EF4BC3" w:rsidRPr="009E5B39" w14:paraId="7701F22D" w14:textId="4C785505" w:rsidTr="0043115A">
        <w:tc>
          <w:tcPr>
            <w:tcW w:w="1795" w:type="dxa"/>
            <w:shd w:val="clear" w:color="auto" w:fill="auto"/>
          </w:tcPr>
          <w:p w14:paraId="0AFE1C70" w14:textId="43F9182C"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SI</w:t>
            </w:r>
            <w:r w:rsidR="007A5134" w:rsidRPr="009E5B39">
              <w:rPr>
                <w:rFonts w:asciiTheme="majorHAnsi" w:eastAsia="Times New Roman" w:hAnsiTheme="majorHAnsi" w:cstheme="majorHAnsi"/>
                <w:sz w:val="24"/>
                <w:szCs w:val="24"/>
                <w:lang w:val="ro-MD" w:eastAsia="ru-RU"/>
              </w:rPr>
              <w:t>A</w:t>
            </w:r>
            <w:r w:rsidRPr="009E5B39">
              <w:rPr>
                <w:rFonts w:asciiTheme="majorHAnsi" w:eastAsia="Times New Roman" w:hAnsiTheme="majorHAnsi" w:cstheme="majorHAnsi"/>
                <w:sz w:val="24"/>
                <w:szCs w:val="24"/>
                <w:lang w:val="ro-MD" w:eastAsia="ru-RU"/>
              </w:rPr>
              <w:t xml:space="preserve"> </w:t>
            </w:r>
          </w:p>
        </w:tc>
        <w:tc>
          <w:tcPr>
            <w:tcW w:w="7423" w:type="dxa"/>
            <w:shd w:val="clear" w:color="auto" w:fill="auto"/>
          </w:tcPr>
          <w:p w14:paraId="5195B307" w14:textId="0A834630"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Sistemul Informațional</w:t>
            </w:r>
            <w:r w:rsidR="007A5134" w:rsidRPr="009E5B39">
              <w:rPr>
                <w:rFonts w:asciiTheme="majorHAnsi" w:eastAsia="Times New Roman" w:hAnsiTheme="majorHAnsi" w:cstheme="majorHAnsi"/>
                <w:sz w:val="24"/>
                <w:szCs w:val="24"/>
                <w:lang w:val="ro-MD" w:eastAsia="ru-RU"/>
              </w:rPr>
              <w:t xml:space="preserve"> Automatizat</w:t>
            </w:r>
          </w:p>
        </w:tc>
      </w:tr>
      <w:tr w:rsidR="00EF4BC3" w:rsidRPr="009E5B39" w14:paraId="3D8B3B3C" w14:textId="41CA4B8E" w:rsidTr="0043115A">
        <w:tc>
          <w:tcPr>
            <w:tcW w:w="1795" w:type="dxa"/>
            <w:shd w:val="clear" w:color="auto" w:fill="auto"/>
          </w:tcPr>
          <w:p w14:paraId="20B49200" w14:textId="3F626C6B"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SFS</w:t>
            </w:r>
          </w:p>
        </w:tc>
        <w:tc>
          <w:tcPr>
            <w:tcW w:w="7423" w:type="dxa"/>
            <w:shd w:val="clear" w:color="auto" w:fill="auto"/>
          </w:tcPr>
          <w:p w14:paraId="4A51C1F9" w14:textId="3DE62947"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Serviciul Fiscal de Stat</w:t>
            </w:r>
          </w:p>
        </w:tc>
      </w:tr>
      <w:tr w:rsidR="00EF4BC3" w:rsidRPr="009E5B39" w14:paraId="1A3E8F71" w14:textId="1FFAE54F" w:rsidTr="0043115A">
        <w:tc>
          <w:tcPr>
            <w:tcW w:w="1795" w:type="dxa"/>
            <w:shd w:val="clear" w:color="auto" w:fill="auto"/>
          </w:tcPr>
          <w:p w14:paraId="216C351B" w14:textId="08C15A5C"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SNC</w:t>
            </w:r>
          </w:p>
        </w:tc>
        <w:tc>
          <w:tcPr>
            <w:tcW w:w="7423" w:type="dxa"/>
            <w:shd w:val="clear" w:color="auto" w:fill="auto"/>
          </w:tcPr>
          <w:p w14:paraId="4F3E0B26" w14:textId="27E53A50"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Standardele Naționale de Contabilitate</w:t>
            </w:r>
          </w:p>
        </w:tc>
      </w:tr>
      <w:tr w:rsidR="0048068D" w:rsidRPr="009E5B39" w14:paraId="582A1B73" w14:textId="77777777" w:rsidTr="0043115A">
        <w:tc>
          <w:tcPr>
            <w:tcW w:w="1795" w:type="dxa"/>
            <w:shd w:val="clear" w:color="auto" w:fill="auto"/>
          </w:tcPr>
          <w:p w14:paraId="466A30F5" w14:textId="5F9C6F06" w:rsidR="0048068D" w:rsidRPr="009E5B39" w:rsidRDefault="0048068D"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TDS</w:t>
            </w:r>
          </w:p>
        </w:tc>
        <w:tc>
          <w:tcPr>
            <w:tcW w:w="7423" w:type="dxa"/>
            <w:shd w:val="clear" w:color="auto" w:fill="auto"/>
          </w:tcPr>
          <w:p w14:paraId="72E50CD4" w14:textId="349B8D26" w:rsidR="0048068D" w:rsidRPr="009E5B39" w:rsidRDefault="0048068D"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Transferuri cu destinație specială</w:t>
            </w:r>
          </w:p>
        </w:tc>
      </w:tr>
      <w:tr w:rsidR="00EF4BC3" w:rsidRPr="009E5B39" w14:paraId="0AC9E5E1" w14:textId="281E3675" w:rsidTr="0043115A">
        <w:tc>
          <w:tcPr>
            <w:tcW w:w="1795" w:type="dxa"/>
            <w:shd w:val="clear" w:color="auto" w:fill="auto"/>
          </w:tcPr>
          <w:p w14:paraId="6D11A555" w14:textId="773BBDCB"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UAT</w:t>
            </w:r>
          </w:p>
        </w:tc>
        <w:tc>
          <w:tcPr>
            <w:tcW w:w="7423" w:type="dxa"/>
            <w:shd w:val="clear" w:color="auto" w:fill="auto"/>
          </w:tcPr>
          <w:p w14:paraId="5900B26D" w14:textId="49ED1A7E" w:rsidR="00EF4290" w:rsidRPr="009E5B39" w:rsidRDefault="00EF4290" w:rsidP="00EF4BC3">
            <w:pPr>
              <w:spacing w:after="0" w:line="276" w:lineRule="auto"/>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Unitatea administrativ-teritorială</w:t>
            </w:r>
          </w:p>
        </w:tc>
      </w:tr>
      <w:bookmarkEnd w:id="3"/>
    </w:tbl>
    <w:p w14:paraId="5873BB88" w14:textId="77777777" w:rsidR="00002B83" w:rsidRPr="009E5B39" w:rsidRDefault="00002B83" w:rsidP="00EF4BC3">
      <w:pPr>
        <w:keepNext/>
        <w:keepLines/>
        <w:spacing w:after="0" w:line="276" w:lineRule="auto"/>
        <w:outlineLvl w:val="0"/>
        <w:rPr>
          <w:rFonts w:asciiTheme="majorHAnsi" w:eastAsiaTheme="majorEastAsia" w:hAnsiTheme="majorHAnsi" w:cstheme="majorHAnsi"/>
          <w:b/>
          <w:bCs/>
          <w:sz w:val="24"/>
          <w:szCs w:val="24"/>
          <w:lang w:val="ro-M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002B83" w:rsidRPr="009E5B39" w:rsidSect="00DF1919">
          <w:pgSz w:w="11907" w:h="16840" w:code="9"/>
          <w:pgMar w:top="1134" w:right="851" w:bottom="1134" w:left="1701" w:header="709" w:footer="709" w:gutter="0"/>
          <w:cols w:space="708"/>
          <w:docGrid w:linePitch="360"/>
        </w:sectPr>
      </w:pPr>
    </w:p>
    <w:p w14:paraId="6A6D7172" w14:textId="54F1B9DA" w:rsidR="00992FEF" w:rsidRPr="009E5B39" w:rsidRDefault="00992FEF" w:rsidP="00EF4BC3">
      <w:pPr>
        <w:keepNext/>
        <w:keepLines/>
        <w:spacing w:after="0" w:line="276" w:lineRule="auto"/>
        <w:outlineLvl w:val="0"/>
        <w:rPr>
          <w:rFonts w:asciiTheme="majorHAnsi" w:eastAsiaTheme="majorEastAsia" w:hAnsiTheme="majorHAnsi" w:cstheme="majorHAnsi"/>
          <w:b/>
          <w:bCs/>
          <w:sz w:val="24"/>
          <w:szCs w:val="24"/>
          <w:lang w:val="ro-M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 w:name="_Toc116026872"/>
      <w:r w:rsidRPr="009E5B39">
        <w:rPr>
          <w:rFonts w:asciiTheme="majorHAnsi" w:eastAsiaTheme="majorEastAsia" w:hAnsiTheme="majorHAnsi" w:cstheme="majorHAnsi"/>
          <w:b/>
          <w:bCs/>
          <w:sz w:val="24"/>
          <w:szCs w:val="24"/>
          <w:lang w:val="ro-M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GLOSAR</w:t>
      </w:r>
      <w:bookmarkEnd w:id="4"/>
    </w:p>
    <w:p w14:paraId="03A61894" w14:textId="77777777" w:rsidR="00992FEF" w:rsidRPr="009E5B39" w:rsidRDefault="00992FEF" w:rsidP="009D0FF8">
      <w:pPr>
        <w:spacing w:after="0" w:line="276" w:lineRule="auto"/>
        <w:jc w:val="both"/>
        <w:rPr>
          <w:rFonts w:asciiTheme="majorHAnsi" w:hAnsiTheme="majorHAnsi" w:cstheme="majorHAnsi"/>
          <w:sz w:val="24"/>
          <w:szCs w:val="24"/>
          <w:lang w:val="ro-MD"/>
        </w:rPr>
      </w:pPr>
      <w:r w:rsidRPr="009E5B39">
        <w:rPr>
          <w:rFonts w:asciiTheme="majorHAnsi" w:hAnsiTheme="majorHAnsi" w:cstheme="majorHAnsi"/>
          <w:b/>
          <w:bCs/>
          <w:i/>
          <w:iCs/>
          <w:sz w:val="24"/>
          <w:szCs w:val="24"/>
          <w:lang w:val="ro-MD"/>
        </w:rPr>
        <w:t>Bugetul unității administrativ-teritoriale (bugetul local) </w:t>
      </w:r>
      <w:r w:rsidRPr="009E5B39">
        <w:rPr>
          <w:rFonts w:asciiTheme="majorHAnsi" w:hAnsiTheme="majorHAnsi" w:cstheme="majorHAnsi"/>
          <w:sz w:val="24"/>
          <w:szCs w:val="24"/>
          <w:shd w:val="clear" w:color="auto" w:fill="FFFFFF"/>
          <w:lang w:val="ro-MD"/>
        </w:rPr>
        <w:t>– totalitate a veniturilor, a cheltuielilor și a surselor de finanțare destinate exercitării funcțiilor care sunt în competența AAPL conform legislației și a funcțiilor delegate de Parlament la propunerea Guvernului.</w:t>
      </w:r>
    </w:p>
    <w:p w14:paraId="1609AA67" w14:textId="77777777" w:rsidR="00992FEF" w:rsidRPr="009E5B39" w:rsidRDefault="00992FEF" w:rsidP="009D0FF8">
      <w:pPr>
        <w:spacing w:after="0" w:line="276" w:lineRule="auto"/>
        <w:jc w:val="both"/>
        <w:rPr>
          <w:rFonts w:asciiTheme="majorHAnsi" w:hAnsiTheme="majorHAnsi" w:cstheme="majorHAnsi"/>
          <w:sz w:val="24"/>
          <w:szCs w:val="24"/>
          <w:lang w:val="ro-MD"/>
        </w:rPr>
      </w:pPr>
      <w:r w:rsidRPr="009E5B39">
        <w:rPr>
          <w:rFonts w:asciiTheme="majorHAnsi" w:hAnsiTheme="majorHAnsi" w:cstheme="majorHAnsi"/>
          <w:b/>
          <w:bCs/>
          <w:i/>
          <w:iCs/>
          <w:sz w:val="24"/>
          <w:szCs w:val="24"/>
          <w:lang w:val="ro-MD"/>
        </w:rPr>
        <w:t>Bunuri imobiliare</w:t>
      </w:r>
      <w:r w:rsidRPr="009E5B39">
        <w:rPr>
          <w:rFonts w:asciiTheme="majorHAnsi" w:hAnsiTheme="majorHAnsi" w:cstheme="majorHAnsi"/>
          <w:sz w:val="24"/>
          <w:szCs w:val="24"/>
          <w:shd w:val="clear" w:color="auto" w:fill="FFFFFF"/>
          <w:lang w:val="ro-MD"/>
        </w:rPr>
        <w:t xml:space="preserve"> – terenurile, clădirile, construcțiile, apartamentele și alte încăperi izolate, a căror strămutare este imposibilă fără cauzarea de prejudicii destinației lor.</w:t>
      </w:r>
    </w:p>
    <w:p w14:paraId="69BF5D83" w14:textId="77777777" w:rsidR="00992FEF" w:rsidRPr="009E5B39" w:rsidRDefault="00992FEF" w:rsidP="009D0FF8">
      <w:pPr>
        <w:spacing w:after="0" w:line="276" w:lineRule="auto"/>
        <w:jc w:val="both"/>
        <w:rPr>
          <w:rFonts w:asciiTheme="majorHAnsi" w:hAnsiTheme="majorHAnsi" w:cstheme="majorHAnsi"/>
          <w:sz w:val="24"/>
          <w:szCs w:val="24"/>
          <w:lang w:val="ro-MD"/>
        </w:rPr>
      </w:pPr>
      <w:r w:rsidRPr="009E5B39">
        <w:rPr>
          <w:rFonts w:asciiTheme="majorHAnsi" w:hAnsiTheme="majorHAnsi" w:cstheme="majorHAnsi"/>
          <w:b/>
          <w:bCs/>
          <w:i/>
          <w:iCs/>
          <w:sz w:val="24"/>
          <w:szCs w:val="24"/>
          <w:shd w:val="clear" w:color="auto" w:fill="FFFFFF"/>
          <w:lang w:val="ro-MD"/>
        </w:rPr>
        <w:t>Taxă locală</w:t>
      </w:r>
      <w:r w:rsidRPr="009E5B39">
        <w:rPr>
          <w:rFonts w:asciiTheme="majorHAnsi" w:hAnsiTheme="majorHAnsi" w:cstheme="majorHAnsi"/>
          <w:sz w:val="24"/>
          <w:szCs w:val="24"/>
          <w:shd w:val="clear" w:color="auto" w:fill="FFFFFF"/>
          <w:lang w:val="ro-MD"/>
        </w:rPr>
        <w:t xml:space="preserve"> – plată  obligatorie efectuată la bugetul unității administrativ-teritoriale;</w:t>
      </w:r>
    </w:p>
    <w:p w14:paraId="6D73683E" w14:textId="77777777" w:rsidR="00992FEF" w:rsidRPr="009E5B39" w:rsidRDefault="00992FEF" w:rsidP="009D0FF8">
      <w:pPr>
        <w:spacing w:after="0" w:line="276" w:lineRule="auto"/>
        <w:jc w:val="both"/>
        <w:rPr>
          <w:rFonts w:asciiTheme="majorHAnsi" w:hAnsiTheme="majorHAnsi" w:cstheme="majorHAnsi"/>
          <w:sz w:val="24"/>
          <w:szCs w:val="24"/>
          <w:lang w:val="ro-MD"/>
        </w:rPr>
      </w:pPr>
      <w:r w:rsidRPr="009E5B39">
        <w:rPr>
          <w:rFonts w:asciiTheme="majorHAnsi" w:hAnsiTheme="majorHAnsi" w:cstheme="majorHAnsi"/>
          <w:b/>
          <w:bCs/>
          <w:i/>
          <w:iCs/>
          <w:sz w:val="24"/>
          <w:szCs w:val="24"/>
          <w:lang w:val="ro-MD"/>
        </w:rPr>
        <w:t>Transferuri cu destinație specială</w:t>
      </w:r>
      <w:r w:rsidRPr="009E5B39">
        <w:rPr>
          <w:rFonts w:asciiTheme="majorHAnsi" w:hAnsiTheme="majorHAnsi" w:cstheme="majorHAnsi"/>
          <w:sz w:val="24"/>
          <w:szCs w:val="24"/>
          <w:lang w:val="ro-MD"/>
        </w:rPr>
        <w:t xml:space="preserve"> – mijloace financiare alocate, conform prevederilor legale, în sumă absolută, cu titlu condiționat, de la bugetul de stat și/sau de la alte bugete la bugetele locale, pentru asigurarea exercitării funcțiilor publice sau în alte scopuri speciale.  </w:t>
      </w:r>
    </w:p>
    <w:p w14:paraId="7F7303D0" w14:textId="77724355" w:rsidR="00992FEF" w:rsidRPr="009E5B39" w:rsidRDefault="00992FEF" w:rsidP="009D0FF8">
      <w:pPr>
        <w:spacing w:after="0" w:line="276" w:lineRule="auto"/>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b/>
          <w:i/>
          <w:sz w:val="24"/>
          <w:szCs w:val="24"/>
          <w:lang w:val="ro-MD"/>
        </w:rPr>
        <w:t>Drumuri locale de interes raional (municipal)</w:t>
      </w:r>
      <w:r w:rsidRPr="009E5B39">
        <w:rPr>
          <w:rFonts w:asciiTheme="majorHAnsi" w:eastAsia="Times New Roman" w:hAnsiTheme="majorHAnsi" w:cstheme="majorHAnsi"/>
          <w:sz w:val="24"/>
          <w:szCs w:val="24"/>
          <w:lang w:val="ro-MD"/>
        </w:rPr>
        <w:t xml:space="preserve"> – drumuri care asigură legătura dintre orașele reședință și satele (comunele) din componența raionului (municipiului), precum și legătura dintre sate (comune), inclusiv accesul către acestea dinspre drumurile naționale. Drumurilor respective li se atribuie litera „L” și s</w:t>
      </w:r>
      <w:r w:rsidR="00777DD7" w:rsidRPr="009E5B39">
        <w:rPr>
          <w:rFonts w:asciiTheme="majorHAnsi" w:eastAsia="Times New Roman" w:hAnsiTheme="majorHAnsi" w:cstheme="majorHAnsi"/>
          <w:sz w:val="24"/>
          <w:szCs w:val="24"/>
          <w:lang w:val="ro-MD"/>
        </w:rPr>
        <w:t>u</w:t>
      </w:r>
      <w:r w:rsidRPr="009E5B39">
        <w:rPr>
          <w:rFonts w:asciiTheme="majorHAnsi" w:eastAsia="Times New Roman" w:hAnsiTheme="majorHAnsi" w:cstheme="majorHAnsi"/>
          <w:sz w:val="24"/>
          <w:szCs w:val="24"/>
          <w:lang w:val="ro-MD"/>
        </w:rPr>
        <w:t>nt proprietate publică a unităților administrativ-teritoriale de nivelul al doilea</w:t>
      </w:r>
      <w:r w:rsidR="00777DD7" w:rsidRPr="009E5B39">
        <w:rPr>
          <w:rFonts w:asciiTheme="majorHAnsi" w:eastAsia="Times New Roman" w:hAnsiTheme="majorHAnsi" w:cstheme="majorHAnsi"/>
          <w:sz w:val="24"/>
          <w:szCs w:val="24"/>
          <w:lang w:val="ro-MD"/>
        </w:rPr>
        <w:t>.</w:t>
      </w:r>
    </w:p>
    <w:p w14:paraId="1252B125" w14:textId="21B56728" w:rsidR="0016721D" w:rsidRPr="009E5B39" w:rsidRDefault="0016721D" w:rsidP="009D0FF8">
      <w:pPr>
        <w:pStyle w:val="FootnoteText"/>
        <w:spacing w:line="276" w:lineRule="auto"/>
        <w:ind w:right="-1"/>
        <w:jc w:val="both"/>
        <w:rPr>
          <w:rFonts w:asciiTheme="majorHAnsi" w:hAnsiTheme="majorHAnsi" w:cstheme="majorHAnsi"/>
          <w:sz w:val="24"/>
          <w:szCs w:val="24"/>
          <w:lang w:val="ro-MD"/>
        </w:rPr>
      </w:pPr>
      <w:r w:rsidRPr="009E5B39">
        <w:rPr>
          <w:rFonts w:asciiTheme="majorHAnsi" w:hAnsiTheme="majorHAnsi" w:cstheme="majorHAnsi"/>
          <w:b/>
          <w:i/>
          <w:sz w:val="24"/>
          <w:szCs w:val="24"/>
          <w:lang w:val="ro-MD"/>
        </w:rPr>
        <w:t>Reparația capitală</w:t>
      </w:r>
      <w:r w:rsidRPr="009E5B39">
        <w:rPr>
          <w:rFonts w:asciiTheme="majorHAnsi" w:hAnsiTheme="majorHAnsi" w:cstheme="majorHAnsi"/>
          <w:sz w:val="24"/>
          <w:szCs w:val="24"/>
          <w:lang w:val="ro-MD"/>
        </w:rPr>
        <w:t xml:space="preserve"> a drumurilor și a construcțiilor aferente lor cuprinde un complex de lucrări, în cadrul cărora se efectuează înlocuirea construcțiilor și elementelor uzate sau substituirea lor cu alte</w:t>
      </w:r>
      <w:r w:rsidR="00777DD7" w:rsidRPr="009E5B39">
        <w:rPr>
          <w:rFonts w:asciiTheme="majorHAnsi" w:hAnsiTheme="majorHAnsi" w:cstheme="majorHAnsi"/>
          <w:sz w:val="24"/>
          <w:szCs w:val="24"/>
          <w:lang w:val="ro-MD"/>
        </w:rPr>
        <w:t>le</w:t>
      </w:r>
      <w:r w:rsidRPr="009E5B39">
        <w:rPr>
          <w:rFonts w:asciiTheme="majorHAnsi" w:hAnsiTheme="majorHAnsi" w:cstheme="majorHAnsi"/>
          <w:sz w:val="24"/>
          <w:szCs w:val="24"/>
          <w:lang w:val="ro-MD"/>
        </w:rPr>
        <w:t xml:space="preserve"> mai durabile și mai avantajoase, care îmbunătățesc indicii de transport și de exploatare ai obiectelor reparate, asigură sporirea durabilității sistemelor rutiere, a capacității portante și a gabaritelor lucrărilor de artă. Lucrările de reparații capitale se execută în mod complex la toate construcțiile sau elementele drumului pe toată lungimea sectorului supus reparării. </w:t>
      </w:r>
    </w:p>
    <w:p w14:paraId="09629FA0" w14:textId="758E0EFC" w:rsidR="0016721D" w:rsidRPr="009E5B39" w:rsidRDefault="0016721D" w:rsidP="009D0FF8">
      <w:pPr>
        <w:pStyle w:val="FootnoteText"/>
        <w:spacing w:line="276" w:lineRule="auto"/>
        <w:ind w:right="-1"/>
        <w:jc w:val="both"/>
        <w:rPr>
          <w:rFonts w:asciiTheme="majorHAnsi" w:hAnsiTheme="majorHAnsi" w:cstheme="majorHAnsi"/>
          <w:sz w:val="24"/>
          <w:szCs w:val="24"/>
          <w:lang w:val="ro-MD"/>
        </w:rPr>
      </w:pPr>
      <w:r w:rsidRPr="009E5B39">
        <w:rPr>
          <w:rFonts w:asciiTheme="majorHAnsi" w:hAnsiTheme="majorHAnsi" w:cstheme="majorHAnsi"/>
          <w:b/>
          <w:i/>
          <w:sz w:val="24"/>
          <w:szCs w:val="24"/>
          <w:lang w:val="ro-MD"/>
        </w:rPr>
        <w:t>Reparație mijlocie</w:t>
      </w:r>
      <w:r w:rsidRPr="009E5B39">
        <w:rPr>
          <w:rFonts w:asciiTheme="majorHAnsi" w:hAnsiTheme="majorHAnsi" w:cstheme="majorHAnsi"/>
          <w:sz w:val="24"/>
          <w:szCs w:val="24"/>
          <w:lang w:val="ro-MD"/>
        </w:rPr>
        <w:t xml:space="preserve"> – reparația care se execută în scopul compensării stratului de uzură a îmbrăcămintei rutiere și menținer</w:t>
      </w:r>
      <w:r w:rsidR="00A86774" w:rsidRPr="009E5B39">
        <w:rPr>
          <w:rFonts w:asciiTheme="majorHAnsi" w:hAnsiTheme="majorHAnsi" w:cstheme="majorHAnsi"/>
          <w:sz w:val="24"/>
          <w:szCs w:val="24"/>
          <w:lang w:val="ro-MD"/>
        </w:rPr>
        <w:t>ii</w:t>
      </w:r>
      <w:r w:rsidRPr="009E5B39">
        <w:rPr>
          <w:rFonts w:asciiTheme="majorHAnsi" w:hAnsiTheme="majorHAnsi" w:cstheme="majorHAnsi"/>
          <w:sz w:val="24"/>
          <w:szCs w:val="24"/>
          <w:lang w:val="ro-MD"/>
        </w:rPr>
        <w:t xml:space="preserve"> calității inițiale de exploatare a drumului și construcțiilor aferente. Lucrările se execută pe sectoare separate (tronsoane) ale drumului. </w:t>
      </w:r>
      <w:r w:rsidRPr="009E5B39">
        <w:rPr>
          <w:rFonts w:asciiTheme="majorHAnsi" w:hAnsiTheme="majorHAnsi" w:cstheme="majorHAnsi"/>
          <w:i/>
          <w:sz w:val="24"/>
          <w:szCs w:val="24"/>
          <w:u w:val="single"/>
          <w:lang w:val="ro-MD"/>
        </w:rPr>
        <w:t xml:space="preserve">Scopul reparației mijlocii </w:t>
      </w:r>
      <w:r w:rsidRPr="009E5B39">
        <w:rPr>
          <w:rFonts w:asciiTheme="majorHAnsi" w:hAnsiTheme="majorHAnsi" w:cstheme="majorHAnsi"/>
          <w:sz w:val="24"/>
          <w:szCs w:val="24"/>
          <w:lang w:val="ro-MD"/>
        </w:rPr>
        <w:t xml:space="preserve">– recuperarea parțială a uzurii, menținerea planeității îmbrăcămintei rutiere, corectarea deteriorărilor terasamentului, sistemului de evacuare a apelor, lucrărilor de artă, construcțiilor de consolidare, </w:t>
      </w:r>
      <w:r w:rsidR="00A86774"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 xml:space="preserve">sprijin și de dirijare, clădirilor, accesoriilor drumului, care se află pe sectorul de drum supus reparației. </w:t>
      </w:r>
    </w:p>
    <w:p w14:paraId="1115F874" w14:textId="0104D45C" w:rsidR="00733666" w:rsidRPr="009E5B39" w:rsidRDefault="0016721D" w:rsidP="00733666">
      <w:pPr>
        <w:spacing w:after="0" w:line="276" w:lineRule="auto"/>
        <w:jc w:val="both"/>
        <w:rPr>
          <w:rFonts w:asciiTheme="majorHAnsi" w:eastAsia="Times New Roman" w:hAnsiTheme="majorHAnsi" w:cstheme="majorHAnsi"/>
          <w:sz w:val="24"/>
          <w:szCs w:val="24"/>
          <w:lang w:val="ro-MD"/>
        </w:rPr>
      </w:pPr>
      <w:r w:rsidRPr="009E5B39">
        <w:rPr>
          <w:rFonts w:asciiTheme="majorHAnsi" w:hAnsiTheme="majorHAnsi" w:cstheme="majorHAnsi"/>
          <w:b/>
          <w:i/>
          <w:sz w:val="24"/>
          <w:szCs w:val="24"/>
          <w:lang w:val="ro-MD"/>
        </w:rPr>
        <w:t>Reparații curente</w:t>
      </w:r>
      <w:r w:rsidRPr="009E5B39">
        <w:rPr>
          <w:rFonts w:asciiTheme="majorHAnsi" w:hAnsiTheme="majorHAnsi" w:cstheme="majorHAnsi"/>
          <w:sz w:val="24"/>
          <w:szCs w:val="24"/>
          <w:lang w:val="ro-MD"/>
        </w:rPr>
        <w:t xml:space="preserve"> – preîntâmpinarea și remedierea deteriorărilor mici ale drumului și construcțiilor aferente lui, executate pe tot parcursul anului pe toată lungimea drumului. </w:t>
      </w:r>
      <w:r w:rsidRPr="009E5B39">
        <w:rPr>
          <w:rFonts w:asciiTheme="majorHAnsi" w:hAnsiTheme="majorHAnsi" w:cstheme="majorHAnsi"/>
          <w:i/>
          <w:sz w:val="24"/>
          <w:szCs w:val="24"/>
          <w:u w:val="single"/>
          <w:lang w:val="ro-MD"/>
        </w:rPr>
        <w:t>Scopul reparației curente</w:t>
      </w:r>
      <w:r w:rsidRPr="009E5B39">
        <w:rPr>
          <w:rFonts w:asciiTheme="majorHAnsi" w:hAnsiTheme="majorHAnsi" w:cstheme="majorHAnsi"/>
          <w:sz w:val="24"/>
          <w:szCs w:val="24"/>
          <w:lang w:val="ro-MD"/>
        </w:rPr>
        <w:t xml:space="preserve"> – lichidarea deteriorărilor neesențiale, care apar în procesul exploatării părții carosabile, terasamentului, sistemului de evacuare a apelor, lucrărilor de artă, zidurilor de sprijin, construcțiilor de protejare și de dirijare, podurilor plutitoare, clădirilor civile, dependenței drumului, locurilor de odihnă și accesarea spre locurile remarcabile, acceselor laterale și pasajelor, întreținerea în ordine a elementelor constructive ale drumurilor și construcțiilor aferente lor, precum </w:t>
      </w:r>
      <w:r w:rsidR="00A86774" w:rsidRPr="009E5B39">
        <w:rPr>
          <w:rFonts w:asciiTheme="majorHAnsi" w:hAnsiTheme="majorHAnsi" w:cstheme="majorHAnsi"/>
          <w:sz w:val="24"/>
          <w:szCs w:val="24"/>
          <w:lang w:val="ro-MD"/>
        </w:rPr>
        <w:t xml:space="preserve">și </w:t>
      </w:r>
      <w:r w:rsidRPr="009E5B39">
        <w:rPr>
          <w:rFonts w:asciiTheme="majorHAnsi" w:hAnsiTheme="majorHAnsi" w:cstheme="majorHAnsi"/>
          <w:sz w:val="24"/>
          <w:szCs w:val="24"/>
          <w:lang w:val="ro-MD"/>
        </w:rPr>
        <w:t>executarea lucrărilor de profilaxie în scopul protejării de deteriorare în perioada inundațiilor și pornirii ghețarilor.</w:t>
      </w:r>
    </w:p>
    <w:p w14:paraId="774BC0DE" w14:textId="11CD6E87" w:rsidR="00733666" w:rsidRPr="009E5B39" w:rsidRDefault="00733666" w:rsidP="00733666">
      <w:pPr>
        <w:spacing w:after="0" w:line="276" w:lineRule="auto"/>
        <w:jc w:val="both"/>
        <w:rPr>
          <w:rFonts w:asciiTheme="majorHAnsi" w:eastAsia="Times New Roman" w:hAnsiTheme="majorHAnsi" w:cstheme="majorHAnsi"/>
          <w:sz w:val="24"/>
          <w:szCs w:val="24"/>
          <w:lang w:val="ro-MD"/>
        </w:rPr>
      </w:pPr>
      <w:r w:rsidRPr="009E5B39">
        <w:rPr>
          <w:rFonts w:ascii="Calibri Light" w:eastAsia="Calibri" w:hAnsi="Calibri Light" w:cs="Calibri Light"/>
          <w:b/>
          <w:i/>
          <w:iCs/>
          <w:sz w:val="24"/>
          <w:szCs w:val="24"/>
          <w:lang w:val="ro-MD"/>
        </w:rPr>
        <w:t>Investiție (cheltuieli) capitală</w:t>
      </w:r>
      <w:r w:rsidRPr="009E5B39">
        <w:rPr>
          <w:rFonts w:ascii="Calibri Light" w:eastAsia="Calibri" w:hAnsi="Calibri Light" w:cs="Calibri Light"/>
          <w:sz w:val="24"/>
          <w:szCs w:val="24"/>
          <w:lang w:val="ro-MD"/>
        </w:rPr>
        <w:t xml:space="preserve"> – </w:t>
      </w:r>
      <w:r w:rsidRPr="009E5B39">
        <w:rPr>
          <w:rFonts w:ascii="Calibri Light" w:eastAsia="Calibri" w:hAnsi="Calibri Light" w:cs="Calibri Light"/>
          <w:bCs/>
          <w:sz w:val="24"/>
          <w:szCs w:val="24"/>
          <w:lang w:val="ro-MD"/>
        </w:rPr>
        <w:t>cheltuieli efectuate de către investitor în legătură cu procurarea</w:t>
      </w:r>
      <w:r w:rsidRPr="009E5B39">
        <w:rPr>
          <w:rFonts w:ascii="Calibri Light" w:eastAsia="Calibri" w:hAnsi="Calibri Light" w:cs="Calibri Light"/>
          <w:sz w:val="24"/>
          <w:szCs w:val="24"/>
          <w:lang w:val="ro-MD"/>
        </w:rPr>
        <w:t xml:space="preserve"> și/sau îmbunătățirea activelor pe termen lung, care nu se atribuie la rezultatele perioadei curente, dar urmează a fi capitalizate (atribuite la majorarea valorii activelor pe termen lung)</w:t>
      </w:r>
      <w:r w:rsidRPr="009E5B39">
        <w:rPr>
          <w:rFonts w:ascii="Calibri Light" w:eastAsia="Calibri" w:hAnsi="Calibri Light" w:cs="Calibri Light"/>
          <w:sz w:val="24"/>
          <w:szCs w:val="24"/>
          <w:vertAlign w:val="superscript"/>
          <w:lang w:val="ro-MD"/>
        </w:rPr>
        <w:footnoteReference w:id="1"/>
      </w:r>
      <w:r w:rsidRPr="009E5B39">
        <w:rPr>
          <w:rFonts w:ascii="Calibri Light" w:eastAsia="Calibri" w:hAnsi="Calibri Light" w:cs="Calibri Light"/>
          <w:sz w:val="24"/>
          <w:szCs w:val="24"/>
          <w:lang w:val="ro-MD"/>
        </w:rPr>
        <w:t xml:space="preserve">. </w:t>
      </w:r>
    </w:p>
    <w:p w14:paraId="71E11108" w14:textId="576B647B" w:rsidR="009D0FF8" w:rsidRPr="009E5B39" w:rsidRDefault="009D0FF8" w:rsidP="006B38F2">
      <w:pPr>
        <w:spacing w:after="0" w:line="276" w:lineRule="auto"/>
        <w:jc w:val="both"/>
        <w:rPr>
          <w:rFonts w:asciiTheme="majorHAnsi" w:eastAsia="Calibri" w:hAnsiTheme="majorHAnsi" w:cstheme="majorHAnsi"/>
          <w:b/>
          <w:sz w:val="24"/>
          <w:szCs w:val="24"/>
          <w:lang w:val="ro-MD"/>
        </w:rPr>
      </w:pPr>
    </w:p>
    <w:p w14:paraId="3E0B42BF" w14:textId="2B90ED01" w:rsidR="00992FEF" w:rsidRPr="009E5B39" w:rsidRDefault="00992FEF" w:rsidP="005333C2">
      <w:pPr>
        <w:spacing w:after="0" w:line="276" w:lineRule="auto"/>
        <w:ind w:firstLine="567"/>
        <w:jc w:val="both"/>
        <w:rPr>
          <w:rFonts w:asciiTheme="majorHAnsi" w:eastAsia="Calibri" w:hAnsiTheme="majorHAnsi" w:cstheme="majorHAnsi"/>
          <w:b/>
          <w:sz w:val="24"/>
          <w:szCs w:val="24"/>
          <w:lang w:val="ro-MD"/>
        </w:rPr>
      </w:pPr>
      <w:r w:rsidRPr="009E5B39">
        <w:rPr>
          <w:rFonts w:asciiTheme="majorHAnsi" w:eastAsia="Calibri" w:hAnsiTheme="majorHAnsi" w:cstheme="majorHAnsi"/>
          <w:b/>
          <w:sz w:val="24"/>
          <w:szCs w:val="24"/>
          <w:lang w:val="ro-MD"/>
        </w:rPr>
        <w:t>Raportul de audit este destinat:</w:t>
      </w:r>
    </w:p>
    <w:p w14:paraId="510C70D4" w14:textId="27DFD6A8" w:rsidR="00992FEF" w:rsidRPr="009E5B39" w:rsidRDefault="00992FEF" w:rsidP="005333C2">
      <w:pPr>
        <w:spacing w:after="0" w:line="276" w:lineRule="auto"/>
        <w:ind w:firstLine="567"/>
        <w:jc w:val="both"/>
        <w:rPr>
          <w:rFonts w:asciiTheme="majorHAnsi" w:eastAsia="Calibri" w:hAnsiTheme="majorHAnsi" w:cstheme="majorHAnsi"/>
          <w:b/>
          <w:sz w:val="24"/>
          <w:szCs w:val="24"/>
          <w:lang w:val="ro-MD"/>
        </w:rPr>
      </w:pPr>
      <w:r w:rsidRPr="009E5B39">
        <w:rPr>
          <w:rFonts w:asciiTheme="majorHAnsi" w:eastAsia="Calibri" w:hAnsiTheme="majorHAnsi" w:cstheme="majorHAnsi"/>
          <w:b/>
          <w:sz w:val="24"/>
          <w:szCs w:val="24"/>
          <w:lang w:val="ro-MD"/>
        </w:rPr>
        <w:t>Parlamentului și Guvernului Republicii Moldova</w:t>
      </w:r>
      <w:r w:rsidRPr="009E5B39">
        <w:rPr>
          <w:rFonts w:asciiTheme="majorHAnsi" w:eastAsia="Calibri" w:hAnsiTheme="majorHAnsi" w:cstheme="majorHAnsi"/>
          <w:sz w:val="24"/>
          <w:szCs w:val="24"/>
          <w:lang w:val="ro-MD"/>
        </w:rPr>
        <w:t xml:space="preserve"> – pentru informare, luare de atitudine și utilizarea informațiilor la adoptarea deciziilor/inițiativelor aferente politicilor statului în domeniul veniturilor și cheltuielilor bugetelor locale</w:t>
      </w:r>
      <w:r w:rsidR="008C6648" w:rsidRPr="009E5B39">
        <w:rPr>
          <w:rFonts w:asciiTheme="majorHAnsi" w:hAnsiTheme="majorHAnsi" w:cstheme="majorHAnsi"/>
          <w:sz w:val="24"/>
          <w:szCs w:val="24"/>
          <w:lang w:val="ro-MD"/>
        </w:rPr>
        <w:t xml:space="preserve"> și gestionării patrimoniului public</w:t>
      </w:r>
      <w:r w:rsidRPr="009E5B39">
        <w:rPr>
          <w:rFonts w:asciiTheme="majorHAnsi" w:eastAsia="Calibri" w:hAnsiTheme="majorHAnsi" w:cstheme="majorHAnsi"/>
          <w:sz w:val="24"/>
          <w:szCs w:val="24"/>
          <w:lang w:val="ro-MD"/>
        </w:rPr>
        <w:t>;</w:t>
      </w:r>
      <w:r w:rsidRPr="009E5B39">
        <w:rPr>
          <w:rFonts w:asciiTheme="majorHAnsi" w:eastAsia="Calibri" w:hAnsiTheme="majorHAnsi" w:cstheme="majorHAnsi"/>
          <w:b/>
          <w:sz w:val="24"/>
          <w:szCs w:val="24"/>
          <w:lang w:val="ro-MD"/>
        </w:rPr>
        <w:t xml:space="preserve"> </w:t>
      </w:r>
    </w:p>
    <w:p w14:paraId="65514DE1" w14:textId="4BC14544" w:rsidR="00992FEF" w:rsidRPr="009E5B39" w:rsidRDefault="00992FEF" w:rsidP="005333C2">
      <w:pPr>
        <w:spacing w:after="0" w:line="276" w:lineRule="auto"/>
        <w:ind w:firstLine="567"/>
        <w:jc w:val="both"/>
        <w:rPr>
          <w:rFonts w:asciiTheme="majorHAnsi" w:eastAsia="Calibri" w:hAnsiTheme="majorHAnsi" w:cstheme="majorHAnsi"/>
          <w:b/>
          <w:sz w:val="24"/>
          <w:szCs w:val="24"/>
          <w:lang w:val="ro-MD"/>
        </w:rPr>
      </w:pPr>
      <w:r w:rsidRPr="009E5B39">
        <w:rPr>
          <w:rFonts w:asciiTheme="majorHAnsi" w:eastAsia="Calibri" w:hAnsiTheme="majorHAnsi" w:cstheme="majorHAnsi"/>
          <w:b/>
          <w:sz w:val="24"/>
          <w:szCs w:val="24"/>
          <w:lang w:val="ro-MD"/>
        </w:rPr>
        <w:t xml:space="preserve">Consiliului </w:t>
      </w:r>
      <w:r w:rsidR="006A44B1" w:rsidRPr="009E5B39">
        <w:rPr>
          <w:rFonts w:asciiTheme="majorHAnsi" w:eastAsia="Calibri" w:hAnsiTheme="majorHAnsi" w:cstheme="majorHAnsi"/>
          <w:b/>
          <w:sz w:val="24"/>
          <w:szCs w:val="24"/>
          <w:lang w:val="ro-MD"/>
        </w:rPr>
        <w:t>m</w:t>
      </w:r>
      <w:r w:rsidRPr="009E5B39">
        <w:rPr>
          <w:rFonts w:asciiTheme="majorHAnsi" w:eastAsia="Calibri" w:hAnsiTheme="majorHAnsi" w:cstheme="majorHAnsi"/>
          <w:b/>
          <w:sz w:val="24"/>
          <w:szCs w:val="24"/>
          <w:lang w:val="ro-MD"/>
        </w:rPr>
        <w:t>unicipal Chișinău</w:t>
      </w:r>
      <w:r w:rsidR="00530CC1" w:rsidRPr="009E5B39">
        <w:rPr>
          <w:rFonts w:asciiTheme="majorHAnsi" w:eastAsia="Calibri" w:hAnsiTheme="majorHAnsi" w:cstheme="majorHAnsi"/>
          <w:b/>
          <w:sz w:val="24"/>
          <w:szCs w:val="24"/>
          <w:lang w:val="ro-MD"/>
        </w:rPr>
        <w:t xml:space="preserve"> și Primarului General al mun. Chișinău</w:t>
      </w:r>
      <w:r w:rsidRPr="009E5B39">
        <w:rPr>
          <w:rFonts w:asciiTheme="majorHAnsi" w:eastAsia="Calibri" w:hAnsiTheme="majorHAnsi" w:cstheme="majorHAnsi"/>
          <w:b/>
          <w:sz w:val="24"/>
          <w:szCs w:val="24"/>
          <w:lang w:val="ro-MD"/>
        </w:rPr>
        <w:t xml:space="preserve">, </w:t>
      </w:r>
      <w:r w:rsidRPr="009E5B39">
        <w:rPr>
          <w:rFonts w:asciiTheme="majorHAnsi" w:hAnsiTheme="majorHAnsi" w:cstheme="majorHAnsi"/>
          <w:sz w:val="24"/>
          <w:szCs w:val="24"/>
          <w:lang w:val="ro-MD"/>
        </w:rPr>
        <w:t>pentru informare și utilizarea informațiilor în scopul conformării procesului bugetar și gestionării patrimoniului public la prevederile legale;</w:t>
      </w:r>
    </w:p>
    <w:p w14:paraId="7B259AE9" w14:textId="77777777" w:rsidR="00992FEF" w:rsidRPr="009E5B39" w:rsidRDefault="00992FEF" w:rsidP="005333C2">
      <w:pPr>
        <w:spacing w:after="0" w:line="276" w:lineRule="auto"/>
        <w:ind w:firstLine="567"/>
        <w:jc w:val="both"/>
        <w:rPr>
          <w:rFonts w:asciiTheme="majorHAnsi" w:eastAsia="Calibri" w:hAnsiTheme="majorHAnsi" w:cstheme="majorHAnsi"/>
          <w:b/>
          <w:sz w:val="24"/>
          <w:szCs w:val="24"/>
          <w:lang w:val="ro-MD"/>
        </w:rPr>
      </w:pPr>
      <w:r w:rsidRPr="009E5B39">
        <w:rPr>
          <w:rFonts w:asciiTheme="majorHAnsi" w:eastAsia="Calibri" w:hAnsiTheme="majorHAnsi" w:cstheme="majorHAnsi"/>
          <w:b/>
          <w:sz w:val="24"/>
          <w:szCs w:val="24"/>
          <w:lang w:val="ro-MD"/>
        </w:rPr>
        <w:t>societății civile, altor părți interesate.</w:t>
      </w:r>
    </w:p>
    <w:p w14:paraId="6CB4C53E" w14:textId="77777777" w:rsidR="00992FEF" w:rsidRPr="009E5B39" w:rsidRDefault="00992FEF" w:rsidP="005333C2">
      <w:pPr>
        <w:spacing w:after="0" w:line="276" w:lineRule="auto"/>
        <w:ind w:firstLine="567"/>
        <w:jc w:val="both"/>
        <w:rPr>
          <w:rFonts w:asciiTheme="majorHAnsi" w:eastAsia="Calibri" w:hAnsiTheme="majorHAnsi" w:cstheme="majorHAnsi"/>
          <w:sz w:val="24"/>
          <w:szCs w:val="24"/>
          <w:lang w:val="ro-MD"/>
        </w:rPr>
      </w:pPr>
    </w:p>
    <w:p w14:paraId="6DFFCB3D" w14:textId="703EF4E1" w:rsidR="00992FEF" w:rsidRPr="009E5B39" w:rsidRDefault="00992FEF" w:rsidP="00961358">
      <w:pPr>
        <w:pStyle w:val="ListParagraph"/>
        <w:keepNext/>
        <w:keepLines/>
        <w:numPr>
          <w:ilvl w:val="0"/>
          <w:numId w:val="94"/>
        </w:numPr>
        <w:spacing w:after="0" w:line="276" w:lineRule="auto"/>
        <w:outlineLvl w:val="0"/>
        <w:rPr>
          <w:rFonts w:asciiTheme="majorHAnsi" w:eastAsiaTheme="majorEastAsia" w:hAnsiTheme="majorHAnsi" w:cstheme="majorHAnsi"/>
          <w:b/>
          <w:sz w:val="24"/>
          <w:szCs w:val="24"/>
          <w:lang w:val="ro-MD"/>
        </w:rPr>
      </w:pPr>
      <w:bookmarkStart w:id="5" w:name="_Toc116026873"/>
      <w:r w:rsidRPr="009E5B39">
        <w:rPr>
          <w:rFonts w:asciiTheme="majorHAnsi" w:eastAsiaTheme="majorEastAsia" w:hAnsiTheme="majorHAnsi" w:cstheme="majorHAnsi"/>
          <w:b/>
          <w:sz w:val="24"/>
          <w:szCs w:val="24"/>
          <w:lang w:val="ro-MD"/>
        </w:rPr>
        <w:t>SINTEZ</w:t>
      </w:r>
      <w:r w:rsidR="00B60FB8" w:rsidRPr="009E5B39">
        <w:rPr>
          <w:rFonts w:asciiTheme="majorHAnsi" w:eastAsiaTheme="majorEastAsia" w:hAnsiTheme="majorHAnsi" w:cstheme="majorHAnsi"/>
          <w:b/>
          <w:sz w:val="24"/>
          <w:szCs w:val="24"/>
          <w:lang w:val="ro-MD"/>
        </w:rPr>
        <w:t>Ă</w:t>
      </w:r>
      <w:bookmarkEnd w:id="5"/>
    </w:p>
    <w:p w14:paraId="606F16A6" w14:textId="3748795A" w:rsidR="002D09FD" w:rsidRPr="009E5B39" w:rsidRDefault="000061CE" w:rsidP="003C5073">
      <w:pPr>
        <w:spacing w:after="0" w:line="276" w:lineRule="auto"/>
        <w:ind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   </w:t>
      </w:r>
      <w:r w:rsidR="002D09FD" w:rsidRPr="009E5B39">
        <w:rPr>
          <w:rFonts w:asciiTheme="majorHAnsi" w:hAnsiTheme="majorHAnsi" w:cstheme="majorHAnsi"/>
          <w:sz w:val="24"/>
          <w:szCs w:val="24"/>
          <w:lang w:val="ro-MD"/>
        </w:rPr>
        <w:t>Municipiul Chișinău</w:t>
      </w:r>
      <w:r w:rsidR="00151C1B" w:rsidRPr="009E5B39">
        <w:rPr>
          <w:rFonts w:asciiTheme="majorHAnsi" w:hAnsiTheme="majorHAnsi" w:cstheme="majorHAnsi"/>
          <w:sz w:val="24"/>
          <w:szCs w:val="24"/>
          <w:lang w:val="ro-MD"/>
        </w:rPr>
        <w:t>,</w:t>
      </w:r>
      <w:r w:rsidR="00403FFF" w:rsidRPr="009E5B39">
        <w:rPr>
          <w:rFonts w:asciiTheme="majorHAnsi" w:hAnsiTheme="majorHAnsi" w:cstheme="majorHAnsi"/>
          <w:sz w:val="24"/>
          <w:szCs w:val="24"/>
          <w:lang w:val="ro-MD"/>
        </w:rPr>
        <w:t xml:space="preserve"> e</w:t>
      </w:r>
      <w:r w:rsidR="00151C1B" w:rsidRPr="009E5B39">
        <w:rPr>
          <w:rFonts w:asciiTheme="majorHAnsi" w:hAnsiTheme="majorHAnsi" w:cstheme="majorHAnsi"/>
          <w:sz w:val="24"/>
          <w:szCs w:val="24"/>
          <w:lang w:val="ro-MD"/>
        </w:rPr>
        <w:t>ste</w:t>
      </w:r>
      <w:r w:rsidRPr="009E5B39">
        <w:rPr>
          <w:rFonts w:asciiTheme="majorHAnsi" w:hAnsiTheme="majorHAnsi" w:cstheme="majorHAnsi"/>
          <w:sz w:val="24"/>
          <w:szCs w:val="24"/>
          <w:lang w:val="ro-MD"/>
        </w:rPr>
        <w:t xml:space="preserve"> centrul administrativ, economic, științific, educațional și cul</w:t>
      </w:r>
      <w:r w:rsidR="00403FFF" w:rsidRPr="009E5B39">
        <w:rPr>
          <w:rFonts w:asciiTheme="majorHAnsi" w:hAnsiTheme="majorHAnsi" w:cstheme="majorHAnsi"/>
          <w:sz w:val="24"/>
          <w:szCs w:val="24"/>
          <w:lang w:val="ro-MD"/>
        </w:rPr>
        <w:t>tural al țării</w:t>
      </w:r>
      <w:r w:rsidR="00E60A2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fapt ce determină interes</w:t>
      </w:r>
      <w:r w:rsidR="006A44B1" w:rsidRPr="009E5B39">
        <w:rPr>
          <w:rFonts w:asciiTheme="majorHAnsi" w:hAnsiTheme="majorHAnsi" w:cstheme="majorHAnsi"/>
          <w:sz w:val="24"/>
          <w:szCs w:val="24"/>
          <w:lang w:val="ro-MD"/>
        </w:rPr>
        <w:t xml:space="preserve">ul </w:t>
      </w:r>
      <w:r w:rsidRPr="009E5B39">
        <w:rPr>
          <w:rFonts w:asciiTheme="majorHAnsi" w:hAnsiTheme="majorHAnsi" w:cstheme="majorHAnsi"/>
          <w:sz w:val="24"/>
          <w:szCs w:val="24"/>
          <w:lang w:val="ro-MD"/>
        </w:rPr>
        <w:t xml:space="preserve">sporit din partea societății, </w:t>
      </w:r>
      <w:r w:rsidR="006A44B1" w:rsidRPr="009E5B39">
        <w:rPr>
          <w:rFonts w:asciiTheme="majorHAnsi" w:hAnsiTheme="majorHAnsi" w:cstheme="majorHAnsi"/>
          <w:sz w:val="24"/>
          <w:szCs w:val="24"/>
          <w:lang w:val="ro-MD"/>
        </w:rPr>
        <w:t>precum</w:t>
      </w:r>
      <w:r w:rsidRPr="009E5B39">
        <w:rPr>
          <w:rFonts w:asciiTheme="majorHAnsi" w:hAnsiTheme="majorHAnsi" w:cstheme="majorHAnsi"/>
          <w:sz w:val="24"/>
          <w:szCs w:val="24"/>
          <w:lang w:val="ro-MD"/>
        </w:rPr>
        <w:t xml:space="preserve"> și din partea autorităților centrale</w:t>
      </w:r>
      <w:r w:rsidR="008C6648" w:rsidRPr="009E5B39">
        <w:rPr>
          <w:rFonts w:asciiTheme="majorHAnsi" w:hAnsiTheme="majorHAnsi" w:cstheme="majorHAnsi"/>
          <w:sz w:val="24"/>
          <w:szCs w:val="24"/>
          <w:lang w:val="ro-MD"/>
        </w:rPr>
        <w:t xml:space="preserve"> asupra activității AAPL a mun. Chișinău</w:t>
      </w:r>
      <w:r w:rsidRPr="009E5B39">
        <w:rPr>
          <w:rFonts w:asciiTheme="majorHAnsi" w:hAnsiTheme="majorHAnsi" w:cstheme="majorHAnsi"/>
          <w:sz w:val="24"/>
          <w:szCs w:val="24"/>
          <w:lang w:val="ro-MD"/>
        </w:rPr>
        <w:t>.</w:t>
      </w:r>
      <w:r w:rsidR="000E1775" w:rsidRPr="009E5B39">
        <w:rPr>
          <w:rFonts w:asciiTheme="majorHAnsi" w:hAnsiTheme="majorHAnsi" w:cstheme="majorHAnsi"/>
          <w:sz w:val="24"/>
          <w:szCs w:val="24"/>
          <w:lang w:val="ro-MD"/>
        </w:rPr>
        <w:t xml:space="preserve"> </w:t>
      </w:r>
    </w:p>
    <w:p w14:paraId="6D42EA25" w14:textId="68412570" w:rsidR="00961358" w:rsidRPr="009E5B39" w:rsidRDefault="00C11201" w:rsidP="003C5073">
      <w:pPr>
        <w:spacing w:after="0" w:line="276" w:lineRule="auto"/>
        <w:ind w:firstLine="567"/>
        <w:jc w:val="both"/>
        <w:rPr>
          <w:rFonts w:asciiTheme="majorHAnsi" w:hAnsiTheme="majorHAnsi" w:cstheme="majorHAnsi"/>
          <w:b/>
          <w:sz w:val="24"/>
          <w:szCs w:val="24"/>
          <w:lang w:val="ro-MD"/>
        </w:rPr>
      </w:pPr>
      <w:r w:rsidRPr="009E5B39">
        <w:rPr>
          <w:rFonts w:asciiTheme="majorHAnsi" w:hAnsiTheme="majorHAnsi" w:cstheme="majorHAnsi"/>
          <w:sz w:val="24"/>
          <w:szCs w:val="24"/>
          <w:lang w:val="ro-MD"/>
        </w:rPr>
        <w:t xml:space="preserve">Scopul prezentei misiuni de audit a constat în </w:t>
      </w:r>
      <w:r w:rsidRPr="009E5B39">
        <w:rPr>
          <w:rFonts w:asciiTheme="majorHAnsi" w:hAnsiTheme="majorHAnsi" w:cstheme="majorHAnsi"/>
          <w:bCs/>
          <w:iCs/>
          <w:sz w:val="24"/>
          <w:szCs w:val="24"/>
          <w:lang w:val="ro-MD"/>
        </w:rPr>
        <w:t xml:space="preserve">evaluarea conformității procesului bugetar și gestionării patrimoniului public la UAT </w:t>
      </w:r>
      <w:r w:rsidR="00D24DCF" w:rsidRPr="009E5B39">
        <w:rPr>
          <w:rFonts w:asciiTheme="majorHAnsi" w:hAnsiTheme="majorHAnsi" w:cstheme="majorHAnsi"/>
          <w:bCs/>
          <w:iCs/>
          <w:sz w:val="24"/>
          <w:szCs w:val="24"/>
          <w:lang w:val="ro-MD"/>
        </w:rPr>
        <w:t xml:space="preserve">mun. </w:t>
      </w:r>
      <w:r w:rsidRPr="009E5B39">
        <w:rPr>
          <w:rFonts w:asciiTheme="majorHAnsi" w:hAnsiTheme="majorHAnsi" w:cstheme="majorHAnsi"/>
          <w:bCs/>
          <w:iCs/>
          <w:sz w:val="24"/>
          <w:szCs w:val="24"/>
          <w:lang w:val="ro-MD"/>
        </w:rPr>
        <w:t>Chișinău în</w:t>
      </w:r>
      <w:r w:rsidR="006A44B1" w:rsidRPr="009E5B39">
        <w:rPr>
          <w:rFonts w:asciiTheme="majorHAnsi" w:hAnsiTheme="majorHAnsi" w:cstheme="majorHAnsi"/>
          <w:bCs/>
          <w:iCs/>
          <w:sz w:val="24"/>
          <w:szCs w:val="24"/>
          <w:lang w:val="ro-MD"/>
        </w:rPr>
        <w:t xml:space="preserve"> anii </w:t>
      </w:r>
      <w:r w:rsidRPr="009E5B39">
        <w:rPr>
          <w:rFonts w:asciiTheme="majorHAnsi" w:hAnsiTheme="majorHAnsi" w:cstheme="majorHAnsi"/>
          <w:bCs/>
          <w:iCs/>
          <w:sz w:val="24"/>
          <w:szCs w:val="24"/>
          <w:lang w:val="ro-MD"/>
        </w:rPr>
        <w:t xml:space="preserve">2018-2020, în raport cu criteriile reglementate de ordin legal. </w:t>
      </w:r>
      <w:r w:rsidR="00961358" w:rsidRPr="009E5B39">
        <w:rPr>
          <w:rFonts w:asciiTheme="majorHAnsi" w:hAnsiTheme="majorHAnsi" w:cstheme="majorHAnsi"/>
          <w:sz w:val="24"/>
          <w:szCs w:val="24"/>
          <w:lang w:val="ro-MD"/>
        </w:rPr>
        <w:t>Raportul de audit furnizează destinatarilor informații relevante asupra conformității gestionării resurselor financiare publice și a patrimoniului public de către entitatea auditată</w:t>
      </w:r>
      <w:r w:rsidR="00993812" w:rsidRPr="009E5B39">
        <w:rPr>
          <w:rFonts w:asciiTheme="majorHAnsi" w:hAnsiTheme="majorHAnsi" w:cstheme="majorHAnsi"/>
          <w:sz w:val="24"/>
          <w:szCs w:val="24"/>
          <w:lang w:val="ro-MD"/>
        </w:rPr>
        <w:t>.</w:t>
      </w:r>
      <w:r w:rsidR="00961358" w:rsidRPr="009E5B39">
        <w:rPr>
          <w:rFonts w:asciiTheme="majorHAnsi" w:hAnsiTheme="majorHAnsi" w:cstheme="majorHAnsi"/>
          <w:sz w:val="24"/>
          <w:szCs w:val="24"/>
          <w:lang w:val="ro-MD"/>
        </w:rPr>
        <w:t xml:space="preserve"> </w:t>
      </w:r>
    </w:p>
    <w:p w14:paraId="663643E9" w14:textId="77777777" w:rsidR="00992FEF" w:rsidRPr="009E5B39" w:rsidRDefault="00992FEF" w:rsidP="006A05F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Generalizând constatările și concluziile formulate în procesul de audit, auditul prezintă rezumatul acestora prin prisma neconformităților identificate. Astfel, </w:t>
      </w:r>
    </w:p>
    <w:p w14:paraId="51D6D9CA" w14:textId="5025657B" w:rsidR="008A480D" w:rsidRPr="009E5B39" w:rsidRDefault="000E37F0" w:rsidP="005333C2">
      <w:pPr>
        <w:pStyle w:val="ListParagraph"/>
        <w:numPr>
          <w:ilvl w:val="0"/>
          <w:numId w:val="4"/>
        </w:numPr>
        <w:spacing w:after="0" w:line="276" w:lineRule="auto"/>
        <w:ind w:left="0" w:right="-1" w:firstLine="284"/>
        <w:jc w:val="both"/>
        <w:rPr>
          <w:rFonts w:asciiTheme="majorHAnsi" w:eastAsia="Calibri" w:hAnsiTheme="majorHAnsi" w:cstheme="majorHAnsi"/>
          <w:sz w:val="24"/>
          <w:szCs w:val="24"/>
          <w:lang w:val="ro-MD"/>
        </w:rPr>
      </w:pPr>
      <w:r w:rsidRPr="009E5B39">
        <w:rPr>
          <w:rFonts w:asciiTheme="majorHAnsi" w:eastAsia="Calibri" w:hAnsiTheme="majorHAnsi" w:cstheme="majorHAnsi"/>
          <w:i/>
          <w:sz w:val="24"/>
          <w:szCs w:val="24"/>
          <w:lang w:val="ro-MD"/>
        </w:rPr>
        <w:t xml:space="preserve">Lipsa </w:t>
      </w:r>
      <w:r w:rsidR="008A480D" w:rsidRPr="009E5B39">
        <w:rPr>
          <w:rFonts w:asciiTheme="majorHAnsi" w:eastAsia="Calibri" w:hAnsiTheme="majorHAnsi" w:cstheme="majorHAnsi"/>
          <w:i/>
          <w:sz w:val="24"/>
          <w:szCs w:val="24"/>
          <w:lang w:val="ro-MD"/>
        </w:rPr>
        <w:t>cadrul</w:t>
      </w:r>
      <w:r w:rsidRPr="009E5B39">
        <w:rPr>
          <w:rFonts w:asciiTheme="majorHAnsi" w:eastAsia="Calibri" w:hAnsiTheme="majorHAnsi" w:cstheme="majorHAnsi"/>
          <w:i/>
          <w:sz w:val="24"/>
          <w:szCs w:val="24"/>
          <w:lang w:val="ro-MD"/>
        </w:rPr>
        <w:t>ui</w:t>
      </w:r>
      <w:r w:rsidR="008A480D" w:rsidRPr="009E5B39">
        <w:rPr>
          <w:rFonts w:asciiTheme="majorHAnsi" w:eastAsia="Calibri" w:hAnsiTheme="majorHAnsi" w:cstheme="majorHAnsi"/>
          <w:i/>
          <w:sz w:val="24"/>
          <w:szCs w:val="24"/>
          <w:lang w:val="ro-MD"/>
        </w:rPr>
        <w:t xml:space="preserve"> normativ care ar reglementa mecanismul de reflectare și raportare </w:t>
      </w:r>
      <w:r w:rsidR="00F06FD1" w:rsidRPr="009E5B39">
        <w:rPr>
          <w:rFonts w:asciiTheme="majorHAnsi" w:eastAsia="Calibri" w:hAnsiTheme="majorHAnsi" w:cstheme="majorHAnsi"/>
          <w:i/>
          <w:sz w:val="24"/>
          <w:szCs w:val="24"/>
          <w:lang w:val="ro-MD"/>
        </w:rPr>
        <w:t xml:space="preserve">de către APL </w:t>
      </w:r>
      <w:r w:rsidR="008A480D" w:rsidRPr="009E5B39">
        <w:rPr>
          <w:rFonts w:asciiTheme="majorHAnsi" w:eastAsia="Calibri" w:hAnsiTheme="majorHAnsi" w:cstheme="majorHAnsi"/>
          <w:i/>
          <w:sz w:val="24"/>
          <w:szCs w:val="24"/>
          <w:lang w:val="ro-MD"/>
        </w:rPr>
        <w:t>a soldurilor creanțelor și datoriilor, calculelor și achitărilor aferente impozitelor și taxelor locale</w:t>
      </w:r>
      <w:r w:rsidRPr="009E5B39">
        <w:rPr>
          <w:rFonts w:asciiTheme="majorHAnsi" w:eastAsia="Calibri" w:hAnsiTheme="majorHAnsi" w:cstheme="majorHAnsi"/>
          <w:i/>
          <w:sz w:val="24"/>
          <w:szCs w:val="24"/>
          <w:lang w:val="ro-MD"/>
        </w:rPr>
        <w:t xml:space="preserve"> produce efecte nefaste asupra corectitudinii, transparenței și </w:t>
      </w:r>
      <w:r w:rsidR="00A51377" w:rsidRPr="009E5B39">
        <w:rPr>
          <w:rFonts w:asciiTheme="majorHAnsi" w:eastAsia="Calibri" w:hAnsiTheme="majorHAnsi" w:cstheme="majorHAnsi"/>
          <w:i/>
          <w:sz w:val="24"/>
          <w:szCs w:val="24"/>
          <w:lang w:val="ro-MD"/>
        </w:rPr>
        <w:t>calității informației și</w:t>
      </w:r>
      <w:r w:rsidR="008A480D" w:rsidRPr="009E5B39">
        <w:rPr>
          <w:rFonts w:asciiTheme="majorHAnsi" w:eastAsia="Calibri" w:hAnsiTheme="majorHAnsi" w:cstheme="majorHAnsi"/>
          <w:i/>
          <w:sz w:val="24"/>
          <w:szCs w:val="24"/>
          <w:lang w:val="ro-MD"/>
        </w:rPr>
        <w:t xml:space="preserve"> </w:t>
      </w:r>
      <w:r w:rsidR="00A51377" w:rsidRPr="009E5B39">
        <w:rPr>
          <w:rFonts w:asciiTheme="majorHAnsi" w:eastAsia="Calibri" w:hAnsiTheme="majorHAnsi" w:cstheme="majorHAnsi"/>
          <w:bCs/>
          <w:i/>
          <w:sz w:val="24"/>
          <w:szCs w:val="24"/>
          <w:lang w:val="ro-MD"/>
        </w:rPr>
        <w:t>pun AAPL în imposibilitatea de a respecta  principiul evidenței de angajamente.</w:t>
      </w:r>
      <w:r w:rsidR="00A51377" w:rsidRPr="009E5B39">
        <w:rPr>
          <w:rFonts w:asciiTheme="majorHAnsi" w:eastAsia="Calibri" w:hAnsiTheme="majorHAnsi" w:cstheme="majorHAnsi"/>
          <w:bCs/>
          <w:sz w:val="24"/>
          <w:szCs w:val="24"/>
          <w:lang w:val="ro-MD"/>
        </w:rPr>
        <w:t xml:space="preserve"> </w:t>
      </w:r>
      <w:r w:rsidR="00A51377" w:rsidRPr="009E5B39">
        <w:rPr>
          <w:rFonts w:asciiTheme="majorHAnsi" w:eastAsia="Calibri" w:hAnsiTheme="majorHAnsi" w:cstheme="majorHAnsi"/>
          <w:bCs/>
          <w:i/>
          <w:iCs/>
          <w:sz w:val="24"/>
          <w:szCs w:val="24"/>
          <w:lang w:val="ro-MD"/>
        </w:rPr>
        <w:t>Ministerul</w:t>
      </w:r>
      <w:r w:rsidR="00A51377" w:rsidRPr="009E5B39">
        <w:rPr>
          <w:rFonts w:asciiTheme="majorHAnsi" w:eastAsia="Calibri" w:hAnsiTheme="majorHAnsi" w:cstheme="majorHAnsi"/>
          <w:bCs/>
          <w:i/>
          <w:sz w:val="24"/>
          <w:szCs w:val="24"/>
          <w:lang w:val="ro-MD"/>
        </w:rPr>
        <w:t xml:space="preserve"> Finanțelor ar trebui să-și planifice pe termen scurt/mediu activitatea de elaborare și aprobare a unui asemenea mecanism.</w:t>
      </w:r>
      <w:r w:rsidR="00A51377" w:rsidRPr="009E5B39">
        <w:rPr>
          <w:rFonts w:asciiTheme="majorHAnsi" w:eastAsia="Calibri" w:hAnsiTheme="majorHAnsi" w:cstheme="majorHAnsi"/>
          <w:i/>
          <w:sz w:val="24"/>
          <w:szCs w:val="24"/>
          <w:lang w:val="ro-MD"/>
        </w:rPr>
        <w:t xml:space="preserve"> </w:t>
      </w:r>
      <w:r w:rsidR="008A480D" w:rsidRPr="009E5B39">
        <w:rPr>
          <w:rFonts w:asciiTheme="majorHAnsi" w:eastAsia="Calibri" w:hAnsiTheme="majorHAnsi" w:cstheme="majorHAnsi"/>
          <w:i/>
          <w:sz w:val="24"/>
          <w:szCs w:val="24"/>
          <w:lang w:val="ro-MD"/>
        </w:rPr>
        <w:t>(pct.4.1.1.);</w:t>
      </w:r>
    </w:p>
    <w:p w14:paraId="3A6E0887" w14:textId="115994C3"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eastAsia="Calibri" w:hAnsiTheme="majorHAnsi" w:cstheme="majorHAnsi"/>
          <w:i/>
          <w:sz w:val="24"/>
          <w:szCs w:val="24"/>
          <w:lang w:val="ro-MD"/>
        </w:rPr>
        <w:t>SFS și DCITL nu asigură o evidență analitică conformă a soldurilor creanțelor și datoriilor, calculelor și achitărilor aferente impozitelor și taxelor locale</w:t>
      </w:r>
      <w:r w:rsidRPr="009E5B39">
        <w:rPr>
          <w:rFonts w:asciiTheme="majorHAnsi" w:eastAsia="Calibri" w:hAnsiTheme="majorHAnsi" w:cstheme="majorHAnsi"/>
          <w:b/>
          <w:i/>
          <w:sz w:val="24"/>
          <w:szCs w:val="24"/>
          <w:lang w:val="ro-MD"/>
        </w:rPr>
        <w:t xml:space="preserve"> </w:t>
      </w:r>
      <w:r w:rsidRPr="009E5B39">
        <w:rPr>
          <w:rFonts w:asciiTheme="majorHAnsi" w:eastAsia="Calibri" w:hAnsiTheme="majorHAnsi" w:cstheme="majorHAnsi"/>
          <w:i/>
          <w:sz w:val="24"/>
          <w:szCs w:val="24"/>
          <w:lang w:val="ro-MD"/>
        </w:rPr>
        <w:t>(pct.4.1.2.);</w:t>
      </w:r>
    </w:p>
    <w:p w14:paraId="2A49FD55" w14:textId="6FD7D230"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eastAsia="Calibri" w:hAnsiTheme="majorHAnsi" w:cstheme="majorHAnsi"/>
          <w:i/>
          <w:iCs/>
          <w:sz w:val="24"/>
          <w:szCs w:val="24"/>
          <w:lang w:val="ro-MD"/>
        </w:rPr>
        <w:t>Im</w:t>
      </w:r>
      <w:r w:rsidRPr="009E5B39">
        <w:rPr>
          <w:rFonts w:asciiTheme="majorHAnsi" w:eastAsia="Calibri" w:hAnsiTheme="majorHAnsi" w:cstheme="majorHAnsi"/>
          <w:i/>
          <w:sz w:val="24"/>
          <w:szCs w:val="24"/>
          <w:lang w:val="ro-MD"/>
        </w:rPr>
        <w:t>perfecțiunea sistemelor informaționale</w:t>
      </w:r>
      <w:r w:rsidR="0070080D" w:rsidRPr="009E5B39">
        <w:rPr>
          <w:rFonts w:asciiTheme="majorHAnsi" w:eastAsia="Calibri" w:hAnsiTheme="majorHAnsi" w:cstheme="majorHAnsi"/>
          <w:i/>
          <w:sz w:val="24"/>
          <w:szCs w:val="24"/>
          <w:lang w:val="ro-MD"/>
        </w:rPr>
        <w:t>,</w:t>
      </w:r>
      <w:r w:rsidRPr="009E5B39">
        <w:rPr>
          <w:rFonts w:asciiTheme="majorHAnsi" w:eastAsia="Calibri" w:hAnsiTheme="majorHAnsi" w:cstheme="majorHAnsi"/>
          <w:i/>
          <w:sz w:val="24"/>
          <w:szCs w:val="24"/>
          <w:lang w:val="ro-MD"/>
        </w:rPr>
        <w:t xml:space="preserve"> administrate de către ASP și SFS, </w:t>
      </w:r>
      <w:r w:rsidRPr="009E5B39">
        <w:rPr>
          <w:rFonts w:asciiTheme="majorHAnsi" w:hAnsiTheme="majorHAnsi" w:cstheme="majorHAnsi"/>
          <w:i/>
          <w:sz w:val="24"/>
          <w:szCs w:val="24"/>
          <w:lang w:val="ro-MD"/>
        </w:rPr>
        <w:t>privind impozitele/taxele/plățile calculate și încasate la bugetul local creează unele dificultăți în activitatea DCITL a mun. Chișinău</w:t>
      </w:r>
      <w:r w:rsidR="0070080D" w:rsidRPr="009E5B39">
        <w:rPr>
          <w:rFonts w:asciiTheme="majorHAnsi" w:hAnsiTheme="majorHAnsi" w:cstheme="majorHAnsi"/>
          <w:i/>
          <w:sz w:val="24"/>
          <w:szCs w:val="24"/>
          <w:lang w:val="ro-MD"/>
        </w:rPr>
        <w:t xml:space="preserve">, </w:t>
      </w:r>
      <w:r w:rsidR="002F3C6E" w:rsidRPr="009E5B39">
        <w:rPr>
          <w:rFonts w:asciiTheme="majorHAnsi" w:hAnsiTheme="majorHAnsi" w:cstheme="majorHAnsi"/>
          <w:i/>
          <w:sz w:val="24"/>
          <w:szCs w:val="24"/>
          <w:lang w:val="ro-MD"/>
        </w:rPr>
        <w:t>fapt ce influențează</w:t>
      </w:r>
      <w:r w:rsidRPr="009E5B39">
        <w:rPr>
          <w:rFonts w:asciiTheme="majorHAnsi" w:hAnsiTheme="majorHAnsi" w:cstheme="majorHAnsi"/>
          <w:i/>
          <w:sz w:val="24"/>
          <w:szCs w:val="24"/>
          <w:lang w:val="ro-MD"/>
        </w:rPr>
        <w:t xml:space="preserve"> monitorizarea calculării și achitării impozitelor și taxelor, administrate de către DCITL, la bugetul municipal, precum și calit</w:t>
      </w:r>
      <w:r w:rsidR="002F3C6E" w:rsidRPr="009E5B39">
        <w:rPr>
          <w:rFonts w:asciiTheme="majorHAnsi" w:hAnsiTheme="majorHAnsi" w:cstheme="majorHAnsi"/>
          <w:i/>
          <w:sz w:val="24"/>
          <w:szCs w:val="24"/>
          <w:lang w:val="ro-MD"/>
        </w:rPr>
        <w:t>atea</w:t>
      </w:r>
      <w:r w:rsidRPr="009E5B39">
        <w:rPr>
          <w:rFonts w:asciiTheme="majorHAnsi" w:hAnsiTheme="majorHAnsi" w:cstheme="majorHAnsi"/>
          <w:i/>
          <w:sz w:val="24"/>
          <w:szCs w:val="24"/>
          <w:lang w:val="ro-MD"/>
        </w:rPr>
        <w:t xml:space="preserve"> serviciilor prestate populației/cetățeanului</w:t>
      </w:r>
      <w:r w:rsidRPr="009E5B39">
        <w:rPr>
          <w:rFonts w:asciiTheme="majorHAnsi" w:hAnsiTheme="majorHAnsi" w:cstheme="majorHAnsi"/>
          <w:b/>
          <w:i/>
          <w:sz w:val="24"/>
          <w:szCs w:val="24"/>
          <w:lang w:val="ro-MD"/>
        </w:rPr>
        <w:t xml:space="preserve"> </w:t>
      </w:r>
      <w:r w:rsidRPr="009E5B39">
        <w:rPr>
          <w:rFonts w:asciiTheme="majorHAnsi" w:eastAsia="Calibri" w:hAnsiTheme="majorHAnsi" w:cstheme="majorHAnsi"/>
          <w:i/>
          <w:sz w:val="24"/>
          <w:szCs w:val="24"/>
          <w:lang w:val="ro-MD"/>
        </w:rPr>
        <w:t>(pct.4.1.3.);</w:t>
      </w:r>
    </w:p>
    <w:p w14:paraId="73887AFF" w14:textId="26461687"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 xml:space="preserve">Lipsa unei metodologii care ar stabili modalitatea de determinare a gradului de finisare a construcțiilor, inclusiv a bunurilor imobile aflate la etapa de finalizare de 50% și mai mult, rămase nefinisate timp de 3 ani după începutul lucrărilor de construcție, asupra acestora nefiind înregistrat </w:t>
      </w:r>
      <w:r w:rsidR="00F53EF8" w:rsidRPr="009E5B39">
        <w:rPr>
          <w:rFonts w:asciiTheme="majorHAnsi" w:hAnsiTheme="majorHAnsi" w:cstheme="majorHAnsi"/>
          <w:i/>
          <w:sz w:val="24"/>
          <w:szCs w:val="24"/>
          <w:lang w:val="ro-MD"/>
        </w:rPr>
        <w:t xml:space="preserve">în RBI </w:t>
      </w:r>
      <w:r w:rsidRPr="009E5B39">
        <w:rPr>
          <w:rFonts w:asciiTheme="majorHAnsi" w:hAnsiTheme="majorHAnsi" w:cstheme="majorHAnsi"/>
          <w:i/>
          <w:sz w:val="24"/>
          <w:szCs w:val="24"/>
          <w:lang w:val="ro-MD"/>
        </w:rPr>
        <w:t>dreptul de proprietate</w:t>
      </w:r>
      <w:r w:rsidR="00F53EF8"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și neevaluate în scopul impozitării, contribuie la ratarea veniturilor din impozitul </w:t>
      </w:r>
      <w:r w:rsidR="00F53EF8" w:rsidRPr="009E5B39">
        <w:rPr>
          <w:rFonts w:asciiTheme="majorHAnsi" w:hAnsiTheme="majorHAnsi" w:cstheme="majorHAnsi"/>
          <w:i/>
          <w:sz w:val="24"/>
          <w:szCs w:val="24"/>
          <w:lang w:val="ro-MD"/>
        </w:rPr>
        <w:t>p</w:t>
      </w:r>
      <w:r w:rsidRPr="009E5B39">
        <w:rPr>
          <w:rFonts w:asciiTheme="majorHAnsi" w:hAnsiTheme="majorHAnsi" w:cstheme="majorHAnsi"/>
          <w:i/>
          <w:sz w:val="24"/>
          <w:szCs w:val="24"/>
          <w:lang w:val="ro-MD"/>
        </w:rPr>
        <w:t xml:space="preserve">e proprietate, </w:t>
      </w:r>
      <w:r w:rsidR="001E399C" w:rsidRPr="009E5B39">
        <w:rPr>
          <w:rFonts w:asciiTheme="majorHAnsi" w:hAnsiTheme="majorHAnsi" w:cstheme="majorHAnsi"/>
          <w:i/>
          <w:sz w:val="24"/>
          <w:szCs w:val="24"/>
          <w:lang w:val="ro-MD"/>
        </w:rPr>
        <w:t xml:space="preserve">care urmează a fi </w:t>
      </w:r>
      <w:r w:rsidRPr="009E5B39">
        <w:rPr>
          <w:rFonts w:asciiTheme="majorHAnsi" w:hAnsiTheme="majorHAnsi" w:cstheme="majorHAnsi"/>
          <w:i/>
          <w:sz w:val="24"/>
          <w:szCs w:val="24"/>
          <w:lang w:val="ro-MD"/>
        </w:rPr>
        <w:t>încasate în bugetele UAT</w:t>
      </w:r>
      <w:r w:rsidRPr="009E5B39">
        <w:rPr>
          <w:rFonts w:asciiTheme="majorHAnsi" w:eastAsia="Calibri" w:hAnsiTheme="majorHAnsi" w:cstheme="majorHAnsi"/>
          <w:i/>
          <w:sz w:val="24"/>
          <w:szCs w:val="24"/>
          <w:lang w:val="ro-MD"/>
        </w:rPr>
        <w:t xml:space="preserve"> (pct.4.1.</w:t>
      </w:r>
      <w:r w:rsidR="00B92162" w:rsidRPr="009E5B39">
        <w:rPr>
          <w:rFonts w:asciiTheme="majorHAnsi" w:eastAsia="Calibri" w:hAnsiTheme="majorHAnsi" w:cstheme="majorHAnsi"/>
          <w:i/>
          <w:sz w:val="24"/>
          <w:szCs w:val="24"/>
          <w:lang w:val="ro-MD"/>
        </w:rPr>
        <w:t>4</w:t>
      </w:r>
      <w:r w:rsidRPr="009E5B39">
        <w:rPr>
          <w:rFonts w:asciiTheme="majorHAnsi" w:eastAsia="Calibri" w:hAnsiTheme="majorHAnsi" w:cstheme="majorHAnsi"/>
          <w:i/>
          <w:sz w:val="24"/>
          <w:szCs w:val="24"/>
          <w:lang w:val="ro-MD"/>
        </w:rPr>
        <w:t>.);</w:t>
      </w:r>
    </w:p>
    <w:p w14:paraId="55E36FAA" w14:textId="69DAEE8A"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eastAsia="Times New Roman" w:hAnsiTheme="majorHAnsi" w:cstheme="majorHAnsi"/>
          <w:i/>
          <w:iCs/>
          <w:sz w:val="24"/>
          <w:szCs w:val="24"/>
          <w:lang w:val="ro-MD" w:eastAsia="ru-RU"/>
        </w:rPr>
        <w:t xml:space="preserve">APL a mun. Chișinău nu dispune de informație exhaustivă și veridică ce ține de indicatorii care stau la baza calculării veniturilor din taxele locale stabilite pe teritoriul UAT </w:t>
      </w:r>
      <w:r w:rsidR="004C216C" w:rsidRPr="009E5B39">
        <w:rPr>
          <w:rFonts w:asciiTheme="majorHAnsi" w:eastAsia="Times New Roman" w:hAnsiTheme="majorHAnsi" w:cstheme="majorHAnsi"/>
          <w:i/>
          <w:iCs/>
          <w:sz w:val="24"/>
          <w:szCs w:val="24"/>
          <w:lang w:val="ro-MD" w:eastAsia="ru-RU"/>
        </w:rPr>
        <w:t xml:space="preserve">mun. </w:t>
      </w:r>
      <w:r w:rsidRPr="009E5B39">
        <w:rPr>
          <w:rFonts w:asciiTheme="majorHAnsi" w:eastAsia="Times New Roman" w:hAnsiTheme="majorHAnsi" w:cstheme="majorHAnsi"/>
          <w:i/>
          <w:iCs/>
          <w:sz w:val="24"/>
          <w:szCs w:val="24"/>
          <w:lang w:val="ro-MD" w:eastAsia="ru-RU"/>
        </w:rPr>
        <w:t xml:space="preserve">Chișinău, ceea ce condiționează planificarea neadecvată a acestora. În anul 2020, numai </w:t>
      </w:r>
      <w:r w:rsidR="00A60171" w:rsidRPr="009E5B39">
        <w:rPr>
          <w:rFonts w:asciiTheme="majorHAnsi" w:eastAsia="Times New Roman" w:hAnsiTheme="majorHAnsi" w:cstheme="majorHAnsi"/>
          <w:i/>
          <w:iCs/>
          <w:sz w:val="24"/>
          <w:szCs w:val="24"/>
          <w:lang w:val="ro-MD" w:eastAsia="ru-RU"/>
        </w:rPr>
        <w:t>din</w:t>
      </w:r>
      <w:r w:rsidRPr="009E5B39">
        <w:rPr>
          <w:rFonts w:asciiTheme="majorHAnsi" w:eastAsia="Times New Roman" w:hAnsiTheme="majorHAnsi" w:cstheme="majorHAnsi"/>
          <w:i/>
          <w:iCs/>
          <w:sz w:val="24"/>
          <w:szCs w:val="24"/>
          <w:lang w:val="ro-MD" w:eastAsia="ru-RU"/>
        </w:rPr>
        <w:t xml:space="preserve"> 3 taxe locale</w:t>
      </w:r>
      <w:r w:rsidRPr="009E5B39">
        <w:rPr>
          <w:rFonts w:asciiTheme="majorHAnsi" w:hAnsiTheme="majorHAnsi" w:cstheme="majorHAnsi"/>
          <w:sz w:val="24"/>
          <w:szCs w:val="24"/>
          <w:vertAlign w:val="superscript"/>
          <w:lang w:val="ro-MD" w:eastAsia="ru-RU"/>
        </w:rPr>
        <w:footnoteReference w:id="2"/>
      </w:r>
      <w:r w:rsidRPr="009E5B39">
        <w:rPr>
          <w:rFonts w:asciiTheme="majorHAnsi" w:eastAsia="Times New Roman" w:hAnsiTheme="majorHAnsi" w:cstheme="majorHAnsi"/>
          <w:i/>
          <w:iCs/>
          <w:sz w:val="24"/>
          <w:szCs w:val="24"/>
          <w:lang w:val="ro-MD" w:eastAsia="ru-RU"/>
        </w:rPr>
        <w:t xml:space="preserve"> veniturile pasibile încasării au fost subestimate cu circa 11</w:t>
      </w:r>
      <w:r w:rsidR="00C62586" w:rsidRPr="009E5B39">
        <w:rPr>
          <w:rFonts w:asciiTheme="majorHAnsi" w:eastAsia="Times New Roman" w:hAnsiTheme="majorHAnsi" w:cstheme="majorHAnsi"/>
          <w:i/>
          <w:iCs/>
          <w:sz w:val="24"/>
          <w:szCs w:val="24"/>
          <w:lang w:val="ro-MD" w:eastAsia="ru-RU"/>
        </w:rPr>
        <w:t>,</w:t>
      </w:r>
      <w:r w:rsidRPr="009E5B39">
        <w:rPr>
          <w:rFonts w:asciiTheme="majorHAnsi" w:eastAsia="Times New Roman" w:hAnsiTheme="majorHAnsi" w:cstheme="majorHAnsi"/>
          <w:i/>
          <w:iCs/>
          <w:sz w:val="24"/>
          <w:szCs w:val="24"/>
          <w:lang w:val="ro-MD" w:eastAsia="ru-RU"/>
        </w:rPr>
        <w:t>01 mi</w:t>
      </w:r>
      <w:r w:rsidR="00C62586" w:rsidRPr="009E5B39">
        <w:rPr>
          <w:rFonts w:asciiTheme="majorHAnsi" w:eastAsia="Times New Roman" w:hAnsiTheme="majorHAnsi" w:cstheme="majorHAnsi"/>
          <w:i/>
          <w:iCs/>
          <w:sz w:val="24"/>
          <w:szCs w:val="24"/>
          <w:lang w:val="ro-MD" w:eastAsia="ru-RU"/>
        </w:rPr>
        <w:t>l</w:t>
      </w:r>
      <w:r w:rsidR="004C216C" w:rsidRPr="009E5B39">
        <w:rPr>
          <w:rFonts w:asciiTheme="majorHAnsi" w:eastAsia="Times New Roman" w:hAnsiTheme="majorHAnsi" w:cstheme="majorHAnsi"/>
          <w:i/>
          <w:iCs/>
          <w:sz w:val="24"/>
          <w:szCs w:val="24"/>
          <w:lang w:val="ro-MD" w:eastAsia="ru-RU"/>
        </w:rPr>
        <w:t>.</w:t>
      </w:r>
      <w:r w:rsidRPr="009E5B39">
        <w:rPr>
          <w:rFonts w:asciiTheme="majorHAnsi" w:eastAsia="Times New Roman" w:hAnsiTheme="majorHAnsi" w:cstheme="majorHAnsi"/>
          <w:i/>
          <w:iCs/>
          <w:sz w:val="24"/>
          <w:szCs w:val="24"/>
          <w:lang w:val="ro-MD" w:eastAsia="ru-RU"/>
        </w:rPr>
        <w:t xml:space="preserve"> lei. Deși DGF dispune de informații din diferite surse</w:t>
      </w:r>
      <w:r w:rsidRPr="009E5B39">
        <w:rPr>
          <w:rFonts w:asciiTheme="majorHAnsi" w:hAnsiTheme="majorHAnsi" w:cstheme="majorHAnsi"/>
          <w:sz w:val="24"/>
          <w:szCs w:val="24"/>
          <w:vertAlign w:val="superscript"/>
          <w:lang w:val="ro-MD" w:eastAsia="ru-RU"/>
        </w:rPr>
        <w:footnoteReference w:id="3"/>
      </w:r>
      <w:r w:rsidRPr="009E5B39">
        <w:rPr>
          <w:rFonts w:asciiTheme="majorHAnsi" w:eastAsia="Times New Roman" w:hAnsiTheme="majorHAnsi" w:cstheme="majorHAnsi"/>
          <w:i/>
          <w:iCs/>
          <w:sz w:val="24"/>
          <w:szCs w:val="24"/>
          <w:lang w:val="ro-MD" w:eastAsia="ru-RU"/>
        </w:rPr>
        <w:t xml:space="preserve">, nu în toate cazurile acestea stau la baza estimării veniturilor din taxele locale, acestea fiind estimate în baza încasărilor din perioadele anterioare </w:t>
      </w:r>
      <w:r w:rsidRPr="009E5B39">
        <w:rPr>
          <w:rFonts w:asciiTheme="majorHAnsi" w:eastAsia="Calibri" w:hAnsiTheme="majorHAnsi" w:cstheme="majorHAnsi"/>
          <w:i/>
          <w:sz w:val="24"/>
          <w:szCs w:val="24"/>
          <w:lang w:val="ro-MD"/>
        </w:rPr>
        <w:t>(pct.4.1.</w:t>
      </w:r>
      <w:r w:rsidR="00B92162" w:rsidRPr="009E5B39">
        <w:rPr>
          <w:rFonts w:asciiTheme="majorHAnsi" w:eastAsia="Calibri" w:hAnsiTheme="majorHAnsi" w:cstheme="majorHAnsi"/>
          <w:i/>
          <w:sz w:val="24"/>
          <w:szCs w:val="24"/>
          <w:lang w:val="ro-MD"/>
        </w:rPr>
        <w:t>5</w:t>
      </w:r>
      <w:r w:rsidRPr="009E5B39">
        <w:rPr>
          <w:rFonts w:asciiTheme="majorHAnsi" w:eastAsia="Calibri" w:hAnsiTheme="majorHAnsi" w:cstheme="majorHAnsi"/>
          <w:i/>
          <w:sz w:val="24"/>
          <w:szCs w:val="24"/>
          <w:lang w:val="ro-MD"/>
        </w:rPr>
        <w:t>.);</w:t>
      </w:r>
    </w:p>
    <w:p w14:paraId="113F9D4F" w14:textId="0EFE1880"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DGTPCC nu a efectuat monitorizarea și controlul periodic al activităților ce țin de furnizarea serviciului public prestat de către agenții economici pe rutele regulate (cu microbuzele) și în regim de taxi</w:t>
      </w:r>
      <w:r w:rsidR="00750542"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nu deține informații exhaustive despre numărul, denumirea, etc. a</w:t>
      </w:r>
      <w:r w:rsidR="00C72BB2" w:rsidRPr="009E5B39">
        <w:rPr>
          <w:rFonts w:asciiTheme="majorHAnsi" w:hAnsiTheme="majorHAnsi" w:cstheme="majorHAnsi"/>
          <w:i/>
          <w:sz w:val="24"/>
          <w:szCs w:val="24"/>
          <w:lang w:val="ro-MD"/>
        </w:rPr>
        <w:t>le</w:t>
      </w:r>
      <w:r w:rsidRPr="009E5B39">
        <w:rPr>
          <w:rFonts w:asciiTheme="majorHAnsi" w:hAnsiTheme="majorHAnsi" w:cstheme="majorHAnsi"/>
          <w:i/>
          <w:sz w:val="24"/>
          <w:szCs w:val="24"/>
          <w:lang w:val="ro-MD"/>
        </w:rPr>
        <w:t xml:space="preserve"> agenților economici/persoanel</w:t>
      </w:r>
      <w:r w:rsidR="00C72BB2" w:rsidRPr="009E5B39">
        <w:rPr>
          <w:rFonts w:asciiTheme="majorHAnsi" w:hAnsiTheme="majorHAnsi" w:cstheme="majorHAnsi"/>
          <w:i/>
          <w:sz w:val="24"/>
          <w:szCs w:val="24"/>
          <w:lang w:val="ro-MD"/>
        </w:rPr>
        <w:t>or</w:t>
      </w:r>
      <w:r w:rsidRPr="009E5B39">
        <w:rPr>
          <w:rFonts w:asciiTheme="majorHAnsi" w:hAnsiTheme="majorHAnsi" w:cstheme="majorHAnsi"/>
          <w:i/>
          <w:sz w:val="24"/>
          <w:szCs w:val="24"/>
          <w:lang w:val="ro-MD"/>
        </w:rPr>
        <w:t xml:space="preserve"> fizice care prestează serviciul de transport în regim de taxi în mun. Chișinău</w:t>
      </w:r>
      <w:r w:rsidR="00BF1C31" w:rsidRPr="009E5B39">
        <w:rPr>
          <w:rFonts w:asciiTheme="majorHAnsi" w:hAnsiTheme="majorHAnsi" w:cstheme="majorHAnsi"/>
          <w:i/>
          <w:sz w:val="24"/>
          <w:szCs w:val="24"/>
          <w:lang w:val="ro-MD"/>
        </w:rPr>
        <w:t>, fapt cauzat de lipsa prevederilor respective în cadrul legal</w:t>
      </w:r>
      <w:r w:rsidRPr="009E5B39">
        <w:rPr>
          <w:rFonts w:asciiTheme="majorHAnsi" w:eastAsia="Calibri" w:hAnsiTheme="majorHAnsi" w:cstheme="majorHAnsi"/>
          <w:i/>
          <w:sz w:val="24"/>
          <w:szCs w:val="24"/>
          <w:lang w:val="ro-MD"/>
        </w:rPr>
        <w:t xml:space="preserve"> (pct.4.1.</w:t>
      </w:r>
      <w:r w:rsidR="00B92162" w:rsidRPr="009E5B39">
        <w:rPr>
          <w:rFonts w:asciiTheme="majorHAnsi" w:eastAsia="Calibri" w:hAnsiTheme="majorHAnsi" w:cstheme="majorHAnsi"/>
          <w:i/>
          <w:sz w:val="24"/>
          <w:szCs w:val="24"/>
          <w:lang w:val="ro-MD"/>
        </w:rPr>
        <w:t>6</w:t>
      </w:r>
      <w:r w:rsidRPr="009E5B39">
        <w:rPr>
          <w:rFonts w:asciiTheme="majorHAnsi" w:eastAsia="Calibri" w:hAnsiTheme="majorHAnsi" w:cstheme="majorHAnsi"/>
          <w:i/>
          <w:sz w:val="24"/>
          <w:szCs w:val="24"/>
          <w:lang w:val="ro-MD"/>
        </w:rPr>
        <w:t>.);</w:t>
      </w:r>
    </w:p>
    <w:p w14:paraId="50829D4A" w14:textId="44FE9D59"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eastAsia="Calibri" w:hAnsiTheme="majorHAnsi" w:cstheme="majorHAnsi"/>
          <w:i/>
          <w:iCs/>
          <w:sz w:val="24"/>
          <w:szCs w:val="24"/>
          <w:lang w:val="ro-MD"/>
        </w:rPr>
        <w:t>DGTPCC nu dispune de informație exhaustivă și veridică despre suprafața ocupată de parcări din mun. Chișinău</w:t>
      </w:r>
      <w:r w:rsidRPr="009E5B39">
        <w:rPr>
          <w:rFonts w:asciiTheme="majorHAnsi" w:eastAsia="Calibri" w:hAnsiTheme="majorHAnsi" w:cstheme="majorHAnsi"/>
          <w:b/>
          <w:i/>
          <w:iCs/>
          <w:sz w:val="24"/>
          <w:szCs w:val="24"/>
          <w:lang w:val="ro-MD"/>
        </w:rPr>
        <w:t xml:space="preserve"> </w:t>
      </w:r>
      <w:r w:rsidRPr="009E5B39">
        <w:rPr>
          <w:rFonts w:asciiTheme="majorHAnsi" w:eastAsia="Calibri" w:hAnsiTheme="majorHAnsi" w:cstheme="majorHAnsi"/>
          <w:i/>
          <w:sz w:val="24"/>
          <w:szCs w:val="24"/>
          <w:lang w:val="ro-MD"/>
        </w:rPr>
        <w:t>(pct.4.1.</w:t>
      </w:r>
      <w:r w:rsidR="00B92162" w:rsidRPr="009E5B39">
        <w:rPr>
          <w:rFonts w:asciiTheme="majorHAnsi" w:eastAsia="Calibri" w:hAnsiTheme="majorHAnsi" w:cstheme="majorHAnsi"/>
          <w:i/>
          <w:sz w:val="24"/>
          <w:szCs w:val="24"/>
          <w:lang w:val="ro-MD"/>
        </w:rPr>
        <w:t>7</w:t>
      </w:r>
      <w:r w:rsidRPr="009E5B39">
        <w:rPr>
          <w:rFonts w:asciiTheme="majorHAnsi" w:eastAsia="Calibri" w:hAnsiTheme="majorHAnsi" w:cstheme="majorHAnsi"/>
          <w:i/>
          <w:sz w:val="24"/>
          <w:szCs w:val="24"/>
          <w:lang w:val="ro-MD"/>
        </w:rPr>
        <w:t>.);</w:t>
      </w:r>
    </w:p>
    <w:p w14:paraId="3DD90590" w14:textId="76E737AB" w:rsidR="008A480D" w:rsidRPr="009E5B39" w:rsidRDefault="008A480D">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 xml:space="preserve">DGF </w:t>
      </w:r>
      <w:r w:rsidR="00BF1C31" w:rsidRPr="009E5B39">
        <w:rPr>
          <w:rFonts w:asciiTheme="majorHAnsi" w:hAnsiTheme="majorHAnsi" w:cstheme="majorHAnsi"/>
          <w:i/>
          <w:sz w:val="24"/>
          <w:szCs w:val="24"/>
          <w:lang w:val="ro-MD"/>
        </w:rPr>
        <w:t xml:space="preserve">a acceptat ca sursă </w:t>
      </w:r>
      <w:r w:rsidR="00C72BB2" w:rsidRPr="009E5B39">
        <w:rPr>
          <w:rFonts w:asciiTheme="majorHAnsi" w:hAnsiTheme="majorHAnsi" w:cstheme="majorHAnsi"/>
          <w:i/>
          <w:sz w:val="24"/>
          <w:szCs w:val="24"/>
          <w:lang w:val="ro-MD"/>
        </w:rPr>
        <w:t>de</w:t>
      </w:r>
      <w:r w:rsidR="00BF1C31" w:rsidRPr="009E5B39">
        <w:rPr>
          <w:rFonts w:asciiTheme="majorHAnsi" w:hAnsiTheme="majorHAnsi" w:cstheme="majorHAnsi"/>
          <w:i/>
          <w:sz w:val="24"/>
          <w:szCs w:val="24"/>
          <w:lang w:val="ro-MD"/>
        </w:rPr>
        <w:t xml:space="preserve"> acoperir</w:t>
      </w:r>
      <w:r w:rsidR="00C72BB2" w:rsidRPr="009E5B39">
        <w:rPr>
          <w:rFonts w:asciiTheme="majorHAnsi" w:hAnsiTheme="majorHAnsi" w:cstheme="majorHAnsi"/>
          <w:i/>
          <w:sz w:val="24"/>
          <w:szCs w:val="24"/>
          <w:lang w:val="ro-MD"/>
        </w:rPr>
        <w:t>e a</w:t>
      </w:r>
      <w:r w:rsidR="00BF1C31" w:rsidRPr="009E5B39">
        <w:rPr>
          <w:rFonts w:asciiTheme="majorHAnsi" w:hAnsiTheme="majorHAnsi" w:cstheme="majorHAnsi"/>
          <w:i/>
          <w:sz w:val="24"/>
          <w:szCs w:val="24"/>
          <w:lang w:val="ro-MD"/>
        </w:rPr>
        <w:t xml:space="preserve"> deficitului bugetar venituri din privatizarea/vânzarea terenurilor fără ca acestea să fie justificate/fundamentate, prin ce </w:t>
      </w:r>
      <w:r w:rsidRPr="009E5B39">
        <w:rPr>
          <w:rFonts w:asciiTheme="majorHAnsi" w:hAnsiTheme="majorHAnsi" w:cstheme="majorHAnsi"/>
          <w:i/>
          <w:sz w:val="24"/>
          <w:szCs w:val="24"/>
          <w:lang w:val="ro-MD"/>
        </w:rPr>
        <w:t xml:space="preserve">nu </w:t>
      </w:r>
      <w:r w:rsidR="00BF1C31" w:rsidRPr="009E5B39">
        <w:rPr>
          <w:rFonts w:asciiTheme="majorHAnsi" w:hAnsiTheme="majorHAnsi" w:cstheme="majorHAnsi"/>
          <w:i/>
          <w:sz w:val="24"/>
          <w:szCs w:val="24"/>
          <w:lang w:val="ro-MD"/>
        </w:rPr>
        <w:t>s-</w:t>
      </w:r>
      <w:r w:rsidRPr="009E5B39">
        <w:rPr>
          <w:rFonts w:asciiTheme="majorHAnsi" w:hAnsiTheme="majorHAnsi" w:cstheme="majorHAnsi"/>
          <w:i/>
          <w:sz w:val="24"/>
          <w:szCs w:val="24"/>
          <w:lang w:val="ro-MD"/>
        </w:rPr>
        <w:t>a</w:t>
      </w:r>
      <w:r w:rsidR="00C72BB2" w:rsidRPr="009E5B39">
        <w:rPr>
          <w:rFonts w:asciiTheme="majorHAnsi" w:hAnsiTheme="majorHAnsi" w:cstheme="majorHAnsi"/>
          <w:i/>
          <w:sz w:val="24"/>
          <w:szCs w:val="24"/>
          <w:lang w:val="ro-MD"/>
        </w:rPr>
        <w:t xml:space="preserve">u </w:t>
      </w:r>
      <w:r w:rsidRPr="009E5B39">
        <w:rPr>
          <w:rFonts w:asciiTheme="majorHAnsi" w:hAnsiTheme="majorHAnsi" w:cstheme="majorHAnsi"/>
          <w:i/>
          <w:sz w:val="24"/>
          <w:szCs w:val="24"/>
          <w:lang w:val="ro-MD"/>
        </w:rPr>
        <w:t xml:space="preserve"> respectat prevederile art.13 din Legea nr.397/2003 și nu </w:t>
      </w:r>
      <w:r w:rsidR="00C72BB2" w:rsidRPr="009E5B39">
        <w:rPr>
          <w:rFonts w:asciiTheme="majorHAnsi" w:hAnsiTheme="majorHAnsi" w:cstheme="majorHAnsi"/>
          <w:i/>
          <w:sz w:val="24"/>
          <w:szCs w:val="24"/>
          <w:lang w:val="ro-MD"/>
        </w:rPr>
        <w:t>s-</w:t>
      </w:r>
      <w:r w:rsidRPr="009E5B39">
        <w:rPr>
          <w:rFonts w:asciiTheme="majorHAnsi" w:hAnsiTheme="majorHAnsi" w:cstheme="majorHAnsi"/>
          <w:i/>
          <w:sz w:val="24"/>
          <w:szCs w:val="24"/>
          <w:lang w:val="ro-MD"/>
        </w:rPr>
        <w:t>a asigurat balansarea veniturilor și cheltuielilor bugetului municipal</w:t>
      </w:r>
      <w:r w:rsidR="00BF1C31" w:rsidRPr="009E5B39">
        <w:rPr>
          <w:rFonts w:asciiTheme="majorHAnsi" w:hAnsiTheme="majorHAnsi" w:cstheme="majorHAnsi"/>
          <w:i/>
          <w:sz w:val="24"/>
          <w:szCs w:val="24"/>
          <w:lang w:val="ro-MD"/>
        </w:rPr>
        <w:t xml:space="preserve"> </w:t>
      </w:r>
      <w:r w:rsidRPr="009E5B39">
        <w:rPr>
          <w:rFonts w:asciiTheme="majorHAnsi" w:eastAsia="Calibri" w:hAnsiTheme="majorHAnsi" w:cstheme="majorHAnsi"/>
          <w:i/>
          <w:sz w:val="24"/>
          <w:szCs w:val="24"/>
          <w:lang w:val="ro-MD"/>
        </w:rPr>
        <w:t>(pct.4.1.</w:t>
      </w:r>
      <w:r w:rsidR="00B92162" w:rsidRPr="009E5B39">
        <w:rPr>
          <w:rFonts w:asciiTheme="majorHAnsi" w:eastAsia="Calibri" w:hAnsiTheme="majorHAnsi" w:cstheme="majorHAnsi"/>
          <w:i/>
          <w:sz w:val="24"/>
          <w:szCs w:val="24"/>
          <w:lang w:val="ro-MD"/>
        </w:rPr>
        <w:t>8</w:t>
      </w:r>
      <w:r w:rsidRPr="009E5B39">
        <w:rPr>
          <w:rFonts w:asciiTheme="majorHAnsi" w:eastAsia="Calibri" w:hAnsiTheme="majorHAnsi" w:cstheme="majorHAnsi"/>
          <w:i/>
          <w:sz w:val="24"/>
          <w:szCs w:val="24"/>
          <w:lang w:val="ro-MD"/>
        </w:rPr>
        <w:t>.);</w:t>
      </w:r>
    </w:p>
    <w:p w14:paraId="2DB64AFE" w14:textId="3EBA59C8" w:rsidR="001A2939" w:rsidRPr="009E5B39" w:rsidRDefault="001A2939">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iCs/>
          <w:sz w:val="24"/>
          <w:szCs w:val="24"/>
          <w:lang w:val="ro-MD"/>
        </w:rPr>
        <w:t xml:space="preserve">DGLCA nu deține informații </w:t>
      </w:r>
      <w:r w:rsidR="008C6648" w:rsidRPr="009E5B39">
        <w:rPr>
          <w:rFonts w:asciiTheme="majorHAnsi" w:hAnsiTheme="majorHAnsi" w:cstheme="majorHAnsi"/>
          <w:i/>
          <w:iCs/>
          <w:sz w:val="24"/>
          <w:szCs w:val="24"/>
          <w:lang w:val="ro-MD"/>
        </w:rPr>
        <w:t xml:space="preserve">exhaustive </w:t>
      </w:r>
      <w:r w:rsidRPr="009E5B39">
        <w:rPr>
          <w:rFonts w:asciiTheme="majorHAnsi" w:hAnsiTheme="majorHAnsi" w:cstheme="majorHAnsi"/>
          <w:i/>
          <w:iCs/>
          <w:sz w:val="24"/>
          <w:szCs w:val="24"/>
          <w:lang w:val="ro-MD"/>
        </w:rPr>
        <w:t>despre numărul și suprafața apartamentelor neprivatizate din mun. Chișinău, inclusiv ale celor transmise în chirie, pentru care se încasează o plată simbolică de 0,2 lei per m</w:t>
      </w:r>
      <w:r w:rsidRPr="009E5B39">
        <w:rPr>
          <w:rFonts w:asciiTheme="majorHAnsi" w:hAnsiTheme="majorHAnsi" w:cstheme="majorHAnsi"/>
          <w:i/>
          <w:iCs/>
          <w:sz w:val="24"/>
          <w:szCs w:val="24"/>
          <w:vertAlign w:val="superscript"/>
          <w:lang w:val="ro-MD"/>
        </w:rPr>
        <w:t>2</w:t>
      </w:r>
      <w:r w:rsidRPr="009E5B39">
        <w:rPr>
          <w:rFonts w:asciiTheme="majorHAnsi" w:hAnsiTheme="majorHAnsi" w:cstheme="majorHAnsi"/>
          <w:i/>
          <w:iCs/>
          <w:sz w:val="24"/>
          <w:szCs w:val="24"/>
          <w:lang w:val="ro-MD"/>
        </w:rPr>
        <w:t xml:space="preserve"> închiriat. Deși Curtea de Conturi a menționat încă în Raportul aprobat prin HCC nr.52 din 05.07.2010</w:t>
      </w:r>
      <w:r w:rsidRPr="009E5B39">
        <w:rPr>
          <w:rFonts w:asciiTheme="majorHAnsi" w:hAnsiTheme="majorHAnsi" w:cstheme="majorHAnsi"/>
          <w:sz w:val="24"/>
          <w:szCs w:val="24"/>
          <w:vertAlign w:val="superscript"/>
          <w:lang w:val="ro-MD"/>
        </w:rPr>
        <w:footnoteReference w:id="4"/>
      </w:r>
      <w:r w:rsidRPr="009E5B39">
        <w:rPr>
          <w:rFonts w:asciiTheme="majorHAnsi" w:hAnsiTheme="majorHAnsi" w:cstheme="majorHAnsi"/>
          <w:i/>
          <w:iCs/>
          <w:sz w:val="24"/>
          <w:szCs w:val="24"/>
          <w:lang w:val="ro-MD"/>
        </w:rPr>
        <w:t xml:space="preserve"> despre faptul că plata pentru chiria apartamentelor neprivatizate a fost aprobată inițial încă în anul 1997 și reaprobată în același cuantum în anul 2007, APL nu a asigurat ajustarea timp de 25 de ani a acestei plăți</w:t>
      </w:r>
      <w:r w:rsidRPr="009E5B39">
        <w:rPr>
          <w:rFonts w:asciiTheme="majorHAnsi" w:hAnsiTheme="majorHAnsi" w:cstheme="majorHAnsi"/>
          <w:b/>
          <w:i/>
          <w:iCs/>
          <w:sz w:val="24"/>
          <w:szCs w:val="24"/>
          <w:lang w:val="ro-MD"/>
        </w:rPr>
        <w:t xml:space="preserve"> </w:t>
      </w:r>
      <w:r w:rsidRPr="009E5B39">
        <w:rPr>
          <w:rFonts w:asciiTheme="majorHAnsi" w:hAnsiTheme="majorHAnsi" w:cstheme="majorHAnsi"/>
          <w:i/>
          <w:sz w:val="24"/>
          <w:szCs w:val="24"/>
          <w:lang w:val="ro-MD"/>
        </w:rPr>
        <w:t>(</w:t>
      </w:r>
      <w:r w:rsidRPr="009E5B39">
        <w:rPr>
          <w:rFonts w:asciiTheme="majorHAnsi" w:eastAsia="Calibri" w:hAnsiTheme="majorHAnsi" w:cstheme="majorHAnsi"/>
          <w:i/>
          <w:sz w:val="24"/>
          <w:szCs w:val="24"/>
          <w:lang w:val="ro-MD"/>
        </w:rPr>
        <w:t>pct. 4.</w:t>
      </w:r>
      <w:r w:rsidR="00B92162" w:rsidRPr="009E5B39">
        <w:rPr>
          <w:rFonts w:asciiTheme="majorHAnsi" w:eastAsia="Calibri" w:hAnsiTheme="majorHAnsi" w:cstheme="majorHAnsi"/>
          <w:i/>
          <w:sz w:val="24"/>
          <w:szCs w:val="24"/>
          <w:lang w:val="ro-MD"/>
        </w:rPr>
        <w:t>1</w:t>
      </w:r>
      <w:r w:rsidRPr="009E5B39">
        <w:rPr>
          <w:rFonts w:asciiTheme="majorHAnsi" w:eastAsia="Calibri" w:hAnsiTheme="majorHAnsi" w:cstheme="majorHAnsi"/>
          <w:i/>
          <w:sz w:val="24"/>
          <w:szCs w:val="24"/>
          <w:lang w:val="ro-MD"/>
        </w:rPr>
        <w:t>.</w:t>
      </w:r>
      <w:r w:rsidR="00B92162" w:rsidRPr="009E5B39">
        <w:rPr>
          <w:rFonts w:asciiTheme="majorHAnsi" w:eastAsia="Calibri" w:hAnsiTheme="majorHAnsi" w:cstheme="majorHAnsi"/>
          <w:i/>
          <w:sz w:val="24"/>
          <w:szCs w:val="24"/>
          <w:lang w:val="ro-MD"/>
        </w:rPr>
        <w:t>9</w:t>
      </w:r>
      <w:r w:rsidRPr="009E5B39">
        <w:rPr>
          <w:rFonts w:asciiTheme="majorHAnsi" w:eastAsia="Calibri" w:hAnsiTheme="majorHAnsi" w:cstheme="majorHAnsi"/>
          <w:i/>
          <w:sz w:val="24"/>
          <w:szCs w:val="24"/>
          <w:lang w:val="ro-MD"/>
        </w:rPr>
        <w:t>.);</w:t>
      </w:r>
    </w:p>
    <w:p w14:paraId="68A69186" w14:textId="1F8F37B8" w:rsidR="00B60E76" w:rsidRPr="009E5B39" w:rsidRDefault="00B60E76" w:rsidP="00B60E76">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Nomenclatorul și tarifele pentru serviciile prestate de către instituțiile din subordine sunt aprobate  de CMC, cuantumul acestora nefiind  modificat/ indexat/ ajustat de la data stabilirii inițiale, care variază de la 7 până la 17 ani</w:t>
      </w:r>
      <w:r w:rsidRPr="009E5B39">
        <w:rPr>
          <w:rFonts w:asciiTheme="majorHAnsi" w:hAnsiTheme="majorHAnsi" w:cstheme="majorHAnsi"/>
          <w:b/>
          <w:i/>
          <w:sz w:val="24"/>
          <w:szCs w:val="24"/>
          <w:lang w:val="ro-MD"/>
        </w:rPr>
        <w:t xml:space="preserve"> </w:t>
      </w:r>
      <w:r w:rsidRPr="009E5B39">
        <w:rPr>
          <w:rFonts w:asciiTheme="majorHAnsi" w:hAnsiTheme="majorHAnsi" w:cstheme="majorHAnsi"/>
          <w:i/>
          <w:sz w:val="24"/>
          <w:szCs w:val="24"/>
          <w:lang w:val="ro-MD"/>
        </w:rPr>
        <w:t>(</w:t>
      </w:r>
      <w:r w:rsidRPr="009E5B39">
        <w:rPr>
          <w:rFonts w:asciiTheme="majorHAnsi" w:eastAsia="Calibri" w:hAnsiTheme="majorHAnsi" w:cstheme="majorHAnsi"/>
          <w:i/>
          <w:sz w:val="24"/>
          <w:szCs w:val="24"/>
          <w:lang w:val="ro-MD"/>
        </w:rPr>
        <w:t xml:space="preserve">pct.4.1.9.); </w:t>
      </w:r>
    </w:p>
    <w:p w14:paraId="49B72B72" w14:textId="52891F64"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 xml:space="preserve">Ministerul </w:t>
      </w:r>
      <w:r w:rsidR="00C72BB2" w:rsidRPr="009E5B39">
        <w:rPr>
          <w:rFonts w:asciiTheme="majorHAnsi" w:hAnsiTheme="majorHAnsi" w:cstheme="majorHAnsi"/>
          <w:i/>
          <w:sz w:val="24"/>
          <w:szCs w:val="24"/>
          <w:lang w:val="ro-MD"/>
        </w:rPr>
        <w:t>E</w:t>
      </w:r>
      <w:r w:rsidRPr="009E5B39">
        <w:rPr>
          <w:rFonts w:asciiTheme="majorHAnsi" w:hAnsiTheme="majorHAnsi" w:cstheme="majorHAnsi"/>
          <w:i/>
          <w:sz w:val="24"/>
          <w:szCs w:val="24"/>
          <w:lang w:val="ro-MD"/>
        </w:rPr>
        <w:t xml:space="preserve">conomiei și </w:t>
      </w:r>
      <w:r w:rsidR="00C72BB2" w:rsidRPr="009E5B39">
        <w:rPr>
          <w:rFonts w:asciiTheme="majorHAnsi" w:hAnsiTheme="majorHAnsi" w:cstheme="majorHAnsi"/>
          <w:i/>
          <w:sz w:val="24"/>
          <w:szCs w:val="24"/>
          <w:lang w:val="ro-MD"/>
        </w:rPr>
        <w:t>I</w:t>
      </w:r>
      <w:r w:rsidRPr="009E5B39">
        <w:rPr>
          <w:rFonts w:asciiTheme="majorHAnsi" w:hAnsiTheme="majorHAnsi" w:cstheme="majorHAnsi"/>
          <w:i/>
          <w:sz w:val="24"/>
          <w:szCs w:val="24"/>
          <w:lang w:val="ro-MD"/>
        </w:rPr>
        <w:t>nfrastructurii nu a executat recomandarea Curții de Conturi</w:t>
      </w:r>
      <w:r w:rsidRPr="009E5B39">
        <w:rPr>
          <w:rFonts w:asciiTheme="majorHAnsi" w:hAnsiTheme="majorHAnsi" w:cstheme="majorHAnsi"/>
          <w:sz w:val="24"/>
          <w:szCs w:val="24"/>
          <w:vertAlign w:val="superscript"/>
          <w:lang w:val="ro-MD"/>
        </w:rPr>
        <w:footnoteReference w:id="5"/>
      </w:r>
      <w:r w:rsidRPr="009E5B39">
        <w:rPr>
          <w:rFonts w:asciiTheme="majorHAnsi" w:hAnsiTheme="majorHAnsi" w:cstheme="majorHAnsi"/>
          <w:i/>
          <w:sz w:val="24"/>
          <w:szCs w:val="24"/>
          <w:lang w:val="ro-MD"/>
        </w:rPr>
        <w:t xml:space="preserve">, iar excluderea din Anexa nr. 2 </w:t>
      </w:r>
      <w:r w:rsidR="00A97D17" w:rsidRPr="009E5B39">
        <w:rPr>
          <w:rFonts w:asciiTheme="majorHAnsi" w:hAnsiTheme="majorHAnsi" w:cstheme="majorHAnsi"/>
          <w:i/>
          <w:sz w:val="24"/>
          <w:szCs w:val="24"/>
          <w:lang w:val="ro-MD"/>
        </w:rPr>
        <w:t>la</w:t>
      </w:r>
      <w:r w:rsidRPr="009E5B39">
        <w:rPr>
          <w:rFonts w:asciiTheme="majorHAnsi" w:hAnsiTheme="majorHAnsi" w:cstheme="majorHAnsi"/>
          <w:i/>
          <w:sz w:val="24"/>
          <w:szCs w:val="24"/>
          <w:lang w:val="ro-MD"/>
        </w:rPr>
        <w:t xml:space="preserve"> HG nr.1468 din 31.12.2016 a denumirii UAT c</w:t>
      </w:r>
      <w:r w:rsidR="00C72BB2" w:rsidRPr="009E5B39">
        <w:rPr>
          <w:rFonts w:asciiTheme="majorHAnsi" w:hAnsiTheme="majorHAnsi" w:cstheme="majorHAnsi"/>
          <w:i/>
          <w:sz w:val="24"/>
          <w:szCs w:val="24"/>
          <w:lang w:val="ro-MD"/>
        </w:rPr>
        <w:t>ăreia i-</w:t>
      </w:r>
      <w:r w:rsidRPr="009E5B39">
        <w:rPr>
          <w:rFonts w:asciiTheme="majorHAnsi" w:hAnsiTheme="majorHAnsi" w:cstheme="majorHAnsi"/>
          <w:i/>
          <w:sz w:val="24"/>
          <w:szCs w:val="24"/>
          <w:lang w:val="ro-MD"/>
        </w:rPr>
        <w:t>au fost transmise în anul 2017 drumurile publice locale de interes raional creează o</w:t>
      </w:r>
      <w:r w:rsidRPr="009E5B39">
        <w:rPr>
          <w:rFonts w:asciiTheme="majorHAnsi" w:hAnsiTheme="majorHAnsi" w:cstheme="majorHAnsi"/>
          <w:sz w:val="24"/>
          <w:szCs w:val="24"/>
          <w:lang w:val="ro-MD"/>
        </w:rPr>
        <w:t xml:space="preserve"> </w:t>
      </w:r>
      <w:r w:rsidRPr="009E5B39">
        <w:rPr>
          <w:rFonts w:asciiTheme="majorHAnsi" w:eastAsia="Times New Roman" w:hAnsiTheme="majorHAnsi" w:cstheme="majorHAnsi"/>
          <w:i/>
          <w:iCs/>
          <w:sz w:val="24"/>
          <w:szCs w:val="24"/>
          <w:lang w:val="ro-MD" w:eastAsia="ru-RU"/>
        </w:rPr>
        <w:t>neclaritate privi</w:t>
      </w:r>
      <w:r w:rsidR="00A97D17" w:rsidRPr="009E5B39">
        <w:rPr>
          <w:rFonts w:asciiTheme="majorHAnsi" w:eastAsia="Times New Roman" w:hAnsiTheme="majorHAnsi" w:cstheme="majorHAnsi"/>
          <w:i/>
          <w:iCs/>
          <w:sz w:val="24"/>
          <w:szCs w:val="24"/>
          <w:lang w:val="ro-MD" w:eastAsia="ru-RU"/>
        </w:rPr>
        <w:t>nd</w:t>
      </w:r>
      <w:r w:rsidRPr="009E5B39">
        <w:rPr>
          <w:rFonts w:asciiTheme="majorHAnsi" w:eastAsia="Times New Roman" w:hAnsiTheme="majorHAnsi" w:cstheme="majorHAnsi"/>
          <w:i/>
          <w:iCs/>
          <w:sz w:val="24"/>
          <w:szCs w:val="24"/>
          <w:lang w:val="ro-MD" w:eastAsia="ru-RU"/>
        </w:rPr>
        <w:t xml:space="preserve"> lungimea drumurilor luate în considerație la calcularea transferurilor cu destinație specială pentru infrastructura drumurilor de interes raional</w:t>
      </w:r>
      <w:r w:rsidRPr="009E5B39">
        <w:rPr>
          <w:rFonts w:asciiTheme="majorHAnsi" w:eastAsia="Times New Roman" w:hAnsiTheme="majorHAnsi" w:cstheme="majorHAnsi"/>
          <w:iCs/>
          <w:sz w:val="24"/>
          <w:szCs w:val="24"/>
          <w:lang w:val="ro-MD" w:eastAsia="ru-RU"/>
        </w:rPr>
        <w:t xml:space="preserve"> </w:t>
      </w:r>
      <w:r w:rsidRPr="009E5B39">
        <w:rPr>
          <w:rFonts w:asciiTheme="majorHAnsi" w:eastAsia="Times New Roman" w:hAnsiTheme="majorHAnsi" w:cstheme="majorHAnsi"/>
          <w:i/>
          <w:iCs/>
          <w:sz w:val="24"/>
          <w:szCs w:val="24"/>
          <w:lang w:val="ro-MD" w:eastAsia="ru-RU"/>
        </w:rPr>
        <w:t>pentru toate UAT de nivelul II din țară</w:t>
      </w:r>
      <w:r w:rsidRPr="009E5B39">
        <w:rPr>
          <w:rFonts w:asciiTheme="majorHAnsi" w:eastAsia="Calibri" w:hAnsiTheme="majorHAnsi" w:cstheme="majorHAnsi"/>
          <w:i/>
          <w:sz w:val="24"/>
          <w:szCs w:val="24"/>
          <w:lang w:val="ro-MD"/>
        </w:rPr>
        <w:t xml:space="preserve"> (pct.4.2.1.);</w:t>
      </w:r>
    </w:p>
    <w:p w14:paraId="130A8EDB" w14:textId="41517783"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 xml:space="preserve">CMC nu a distribuit, în </w:t>
      </w:r>
      <w:r w:rsidR="00A97D17" w:rsidRPr="009E5B39">
        <w:rPr>
          <w:rFonts w:asciiTheme="majorHAnsi" w:hAnsiTheme="majorHAnsi" w:cstheme="majorHAnsi"/>
          <w:i/>
          <w:sz w:val="24"/>
          <w:szCs w:val="24"/>
          <w:lang w:val="ro-MD"/>
        </w:rPr>
        <w:t xml:space="preserve">anii </w:t>
      </w:r>
      <w:r w:rsidRPr="009E5B39">
        <w:rPr>
          <w:rFonts w:asciiTheme="majorHAnsi" w:hAnsiTheme="majorHAnsi" w:cstheme="majorHAnsi"/>
          <w:i/>
          <w:sz w:val="24"/>
          <w:szCs w:val="24"/>
          <w:lang w:val="ro-MD"/>
        </w:rPr>
        <w:t xml:space="preserve">2018-2020, TDS pentru infrastructura drumurilor pe capitole de cheltuieli,  </w:t>
      </w:r>
      <w:r w:rsidRPr="009E5B39">
        <w:rPr>
          <w:rFonts w:asciiTheme="majorHAnsi" w:eastAsia="Times New Roman" w:hAnsiTheme="majorHAnsi" w:cstheme="majorHAnsi"/>
          <w:i/>
          <w:iCs/>
          <w:sz w:val="24"/>
          <w:szCs w:val="24"/>
          <w:lang w:val="ro-MD"/>
        </w:rPr>
        <w:t>fapt ce contra</w:t>
      </w:r>
      <w:r w:rsidR="00A97D17" w:rsidRPr="009E5B39">
        <w:rPr>
          <w:rFonts w:asciiTheme="majorHAnsi" w:eastAsia="Times New Roman" w:hAnsiTheme="majorHAnsi" w:cstheme="majorHAnsi"/>
          <w:i/>
          <w:iCs/>
          <w:sz w:val="24"/>
          <w:szCs w:val="24"/>
          <w:lang w:val="ro-MD"/>
        </w:rPr>
        <w:t>vine</w:t>
      </w:r>
      <w:r w:rsidRPr="009E5B39">
        <w:rPr>
          <w:rFonts w:asciiTheme="majorHAnsi" w:eastAsia="Times New Roman" w:hAnsiTheme="majorHAnsi" w:cstheme="majorHAnsi"/>
          <w:i/>
          <w:iCs/>
          <w:sz w:val="24"/>
          <w:szCs w:val="24"/>
          <w:lang w:val="ro-MD"/>
        </w:rPr>
        <w:t xml:space="preserve"> prevederil</w:t>
      </w:r>
      <w:r w:rsidR="00A97D17" w:rsidRPr="009E5B39">
        <w:rPr>
          <w:rFonts w:asciiTheme="majorHAnsi" w:eastAsia="Times New Roman" w:hAnsiTheme="majorHAnsi" w:cstheme="majorHAnsi"/>
          <w:i/>
          <w:iCs/>
          <w:sz w:val="24"/>
          <w:szCs w:val="24"/>
          <w:lang w:val="ro-MD"/>
        </w:rPr>
        <w:t>or</w:t>
      </w:r>
      <w:r w:rsidRPr="009E5B39">
        <w:rPr>
          <w:rFonts w:asciiTheme="majorHAnsi" w:eastAsia="Times New Roman" w:hAnsiTheme="majorHAnsi" w:cstheme="majorHAnsi"/>
          <w:i/>
          <w:iCs/>
          <w:sz w:val="24"/>
          <w:szCs w:val="24"/>
          <w:lang w:val="ro-MD"/>
        </w:rPr>
        <w:t xml:space="preserve"> actelor normative</w:t>
      </w:r>
      <w:r w:rsidRPr="009E5B39">
        <w:rPr>
          <w:rFonts w:asciiTheme="majorHAnsi" w:eastAsia="Times New Roman" w:hAnsiTheme="majorHAnsi" w:cstheme="majorHAnsi"/>
          <w:iCs/>
          <w:sz w:val="24"/>
          <w:szCs w:val="24"/>
          <w:vertAlign w:val="superscript"/>
          <w:lang w:val="ro-MD"/>
        </w:rPr>
        <w:footnoteReference w:id="6"/>
      </w:r>
      <w:r w:rsidRPr="009E5B39">
        <w:rPr>
          <w:rFonts w:asciiTheme="majorHAnsi" w:eastAsia="Times New Roman" w:hAnsiTheme="majorHAnsi" w:cstheme="majorHAnsi"/>
          <w:i/>
          <w:iCs/>
          <w:sz w:val="24"/>
          <w:szCs w:val="24"/>
          <w:lang w:val="ro-MD"/>
        </w:rPr>
        <w:t xml:space="preserve">, precum și lasă la discreția autorității executive să decidă </w:t>
      </w:r>
      <w:r w:rsidR="00A97D17" w:rsidRPr="009E5B39">
        <w:rPr>
          <w:rFonts w:asciiTheme="majorHAnsi" w:eastAsia="Times New Roman" w:hAnsiTheme="majorHAnsi" w:cstheme="majorHAnsi"/>
          <w:i/>
          <w:iCs/>
          <w:sz w:val="24"/>
          <w:szCs w:val="24"/>
          <w:lang w:val="ro-MD"/>
        </w:rPr>
        <w:t xml:space="preserve">asupra </w:t>
      </w:r>
      <w:r w:rsidRPr="009E5B39">
        <w:rPr>
          <w:rFonts w:asciiTheme="majorHAnsi" w:eastAsia="Times New Roman" w:hAnsiTheme="majorHAnsi" w:cstheme="majorHAnsi"/>
          <w:i/>
          <w:iCs/>
          <w:sz w:val="24"/>
          <w:szCs w:val="24"/>
          <w:lang w:val="ro-MD"/>
        </w:rPr>
        <w:t>obiectivul</w:t>
      </w:r>
      <w:r w:rsidR="00A97D17" w:rsidRPr="009E5B39">
        <w:rPr>
          <w:rFonts w:asciiTheme="majorHAnsi" w:eastAsia="Times New Roman" w:hAnsiTheme="majorHAnsi" w:cstheme="majorHAnsi"/>
          <w:i/>
          <w:iCs/>
          <w:sz w:val="24"/>
          <w:szCs w:val="24"/>
          <w:lang w:val="ro-MD"/>
        </w:rPr>
        <w:t>ui</w:t>
      </w:r>
      <w:r w:rsidRPr="009E5B39">
        <w:rPr>
          <w:rFonts w:asciiTheme="majorHAnsi" w:eastAsia="Times New Roman" w:hAnsiTheme="majorHAnsi" w:cstheme="majorHAnsi"/>
          <w:i/>
          <w:iCs/>
          <w:sz w:val="24"/>
          <w:szCs w:val="24"/>
          <w:lang w:val="ro-MD"/>
        </w:rPr>
        <w:t xml:space="preserve"> care necesită a fi reparat, atât capital</w:t>
      </w:r>
      <w:r w:rsidR="00A97D17" w:rsidRPr="009E5B39">
        <w:rPr>
          <w:rFonts w:asciiTheme="majorHAnsi" w:eastAsia="Times New Roman" w:hAnsiTheme="majorHAnsi" w:cstheme="majorHAnsi"/>
          <w:i/>
          <w:iCs/>
          <w:sz w:val="24"/>
          <w:szCs w:val="24"/>
          <w:lang w:val="ro-MD"/>
        </w:rPr>
        <w:t>,</w:t>
      </w:r>
      <w:r w:rsidRPr="009E5B39">
        <w:rPr>
          <w:rFonts w:asciiTheme="majorHAnsi" w:eastAsia="Times New Roman" w:hAnsiTheme="majorHAnsi" w:cstheme="majorHAnsi"/>
          <w:i/>
          <w:iCs/>
          <w:sz w:val="24"/>
          <w:szCs w:val="24"/>
          <w:lang w:val="ro-MD"/>
        </w:rPr>
        <w:t xml:space="preserve"> cât și curent, cre</w:t>
      </w:r>
      <w:r w:rsidR="00A97D17" w:rsidRPr="009E5B39">
        <w:rPr>
          <w:rFonts w:asciiTheme="majorHAnsi" w:eastAsia="Times New Roman" w:hAnsiTheme="majorHAnsi" w:cstheme="majorHAnsi"/>
          <w:i/>
          <w:iCs/>
          <w:sz w:val="24"/>
          <w:szCs w:val="24"/>
          <w:lang w:val="ro-MD"/>
        </w:rPr>
        <w:t xml:space="preserve">ând </w:t>
      </w:r>
      <w:r w:rsidRPr="009E5B39">
        <w:rPr>
          <w:rFonts w:asciiTheme="majorHAnsi" w:eastAsia="Times New Roman" w:hAnsiTheme="majorHAnsi" w:cstheme="majorHAnsi"/>
          <w:i/>
          <w:iCs/>
          <w:sz w:val="24"/>
          <w:szCs w:val="24"/>
          <w:lang w:val="ro-MD"/>
        </w:rPr>
        <w:t xml:space="preserve"> riscul utilizării </w:t>
      </w:r>
      <w:r w:rsidR="001B58CD" w:rsidRPr="009E5B39">
        <w:rPr>
          <w:rFonts w:asciiTheme="majorHAnsi" w:eastAsia="Times New Roman" w:hAnsiTheme="majorHAnsi" w:cstheme="majorHAnsi"/>
          <w:i/>
          <w:iCs/>
          <w:sz w:val="24"/>
          <w:szCs w:val="24"/>
          <w:lang w:val="ro-MD"/>
        </w:rPr>
        <w:t xml:space="preserve">nu după </w:t>
      </w:r>
      <w:r w:rsidRPr="009E5B39">
        <w:rPr>
          <w:rFonts w:asciiTheme="majorHAnsi" w:eastAsia="Times New Roman" w:hAnsiTheme="majorHAnsi" w:cstheme="majorHAnsi"/>
          <w:i/>
          <w:iCs/>
          <w:sz w:val="24"/>
          <w:szCs w:val="24"/>
          <w:lang w:val="ro-MD"/>
        </w:rPr>
        <w:t xml:space="preserve">destinație a TDS de la bugetul de stat. </w:t>
      </w:r>
      <w:r w:rsidR="00A97D17" w:rsidRPr="009E5B39">
        <w:rPr>
          <w:rFonts w:asciiTheme="majorHAnsi" w:eastAsia="Times New Roman" w:hAnsiTheme="majorHAnsi" w:cstheme="majorHAnsi"/>
          <w:bCs/>
          <w:i/>
          <w:iCs/>
          <w:sz w:val="24"/>
          <w:szCs w:val="24"/>
          <w:lang w:val="ro-MD"/>
        </w:rPr>
        <w:t>N</w:t>
      </w:r>
      <w:r w:rsidRPr="009E5B39">
        <w:rPr>
          <w:rFonts w:asciiTheme="majorHAnsi" w:eastAsia="Times New Roman" w:hAnsiTheme="majorHAnsi" w:cstheme="majorHAnsi"/>
          <w:bCs/>
          <w:i/>
          <w:iCs/>
          <w:sz w:val="24"/>
          <w:szCs w:val="24"/>
          <w:lang w:val="ro-MD"/>
        </w:rPr>
        <w:t>erespect</w:t>
      </w:r>
      <w:r w:rsidR="00A97D17" w:rsidRPr="009E5B39">
        <w:rPr>
          <w:rFonts w:asciiTheme="majorHAnsi" w:eastAsia="Times New Roman" w:hAnsiTheme="majorHAnsi" w:cstheme="majorHAnsi"/>
          <w:bCs/>
          <w:i/>
          <w:iCs/>
          <w:sz w:val="24"/>
          <w:szCs w:val="24"/>
          <w:lang w:val="ro-MD"/>
        </w:rPr>
        <w:t xml:space="preserve">ându-se </w:t>
      </w:r>
      <w:r w:rsidRPr="009E5B39">
        <w:rPr>
          <w:rFonts w:asciiTheme="majorHAnsi" w:eastAsia="Times New Roman" w:hAnsiTheme="majorHAnsi" w:cstheme="majorHAnsi"/>
          <w:bCs/>
          <w:i/>
          <w:iCs/>
          <w:sz w:val="24"/>
          <w:szCs w:val="24"/>
          <w:lang w:val="ro-MD"/>
        </w:rPr>
        <w:t xml:space="preserve"> prevederil</w:t>
      </w:r>
      <w:r w:rsidR="00A97D17" w:rsidRPr="009E5B39">
        <w:rPr>
          <w:rFonts w:asciiTheme="majorHAnsi" w:eastAsia="Times New Roman" w:hAnsiTheme="majorHAnsi" w:cstheme="majorHAnsi"/>
          <w:bCs/>
          <w:i/>
          <w:iCs/>
          <w:sz w:val="24"/>
          <w:szCs w:val="24"/>
          <w:lang w:val="ro-MD"/>
        </w:rPr>
        <w:t>e</w:t>
      </w:r>
      <w:r w:rsidRPr="009E5B39">
        <w:rPr>
          <w:rFonts w:asciiTheme="majorHAnsi" w:eastAsia="Times New Roman" w:hAnsiTheme="majorHAnsi" w:cstheme="majorHAnsi"/>
          <w:bCs/>
          <w:i/>
          <w:iCs/>
          <w:sz w:val="24"/>
          <w:szCs w:val="24"/>
          <w:lang w:val="ro-MD"/>
        </w:rPr>
        <w:t xml:space="preserve"> art.1 din Legea nr.720 din 02.02.1996, TDS pentru infrastructura drumurilor publice de interes raional (municipal) au fost utiliza</w:t>
      </w:r>
      <w:r w:rsidR="00A97D17" w:rsidRPr="009E5B39">
        <w:rPr>
          <w:rFonts w:asciiTheme="majorHAnsi" w:eastAsia="Times New Roman" w:hAnsiTheme="majorHAnsi" w:cstheme="majorHAnsi"/>
          <w:bCs/>
          <w:i/>
          <w:iCs/>
          <w:sz w:val="24"/>
          <w:szCs w:val="24"/>
          <w:lang w:val="ro-MD"/>
        </w:rPr>
        <w:t xml:space="preserve">te </w:t>
      </w:r>
      <w:r w:rsidRPr="009E5B39">
        <w:rPr>
          <w:rFonts w:asciiTheme="majorHAnsi" w:eastAsia="Times New Roman" w:hAnsiTheme="majorHAnsi" w:cstheme="majorHAnsi"/>
          <w:bCs/>
          <w:i/>
          <w:iCs/>
          <w:sz w:val="24"/>
          <w:szCs w:val="24"/>
          <w:lang w:val="ro-MD"/>
        </w:rPr>
        <w:t xml:space="preserve">pentru infrastructura drumurilor publice de interes local </w:t>
      </w:r>
      <w:r w:rsidRPr="009E5B39">
        <w:rPr>
          <w:rFonts w:asciiTheme="majorHAnsi" w:eastAsia="Calibri" w:hAnsiTheme="majorHAnsi" w:cstheme="majorHAnsi"/>
          <w:i/>
          <w:sz w:val="24"/>
          <w:szCs w:val="24"/>
          <w:lang w:val="ro-MD"/>
        </w:rPr>
        <w:t>(pct.4.2.1.);</w:t>
      </w:r>
    </w:p>
    <w:p w14:paraId="17172441" w14:textId="7BFDFBCC"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eastAsia="Times New Roman" w:hAnsiTheme="majorHAnsi" w:cstheme="majorHAnsi"/>
          <w:bCs/>
          <w:i/>
          <w:iCs/>
          <w:sz w:val="24"/>
          <w:szCs w:val="24"/>
          <w:lang w:val="ro-MD"/>
        </w:rPr>
        <w:t>APL a mun. Chișinău</w:t>
      </w:r>
      <w:r w:rsidR="00A97D17" w:rsidRPr="009E5B39">
        <w:rPr>
          <w:rFonts w:asciiTheme="majorHAnsi" w:eastAsia="Times New Roman" w:hAnsiTheme="majorHAnsi" w:cstheme="majorHAnsi"/>
          <w:bCs/>
          <w:i/>
          <w:iCs/>
          <w:sz w:val="24"/>
          <w:szCs w:val="24"/>
          <w:lang w:val="ro-MD"/>
        </w:rPr>
        <w:t>,</w:t>
      </w:r>
      <w:r w:rsidRPr="009E5B39">
        <w:rPr>
          <w:rFonts w:asciiTheme="majorHAnsi" w:eastAsia="Times New Roman" w:hAnsiTheme="majorHAnsi" w:cstheme="majorHAnsi"/>
          <w:i/>
          <w:sz w:val="24"/>
          <w:szCs w:val="24"/>
          <w:lang w:val="ro-MD"/>
        </w:rPr>
        <w:t xml:space="preserve"> î</w:t>
      </w:r>
      <w:r w:rsidRPr="009E5B39">
        <w:rPr>
          <w:rFonts w:asciiTheme="majorHAnsi" w:eastAsia="Times New Roman" w:hAnsiTheme="majorHAnsi" w:cstheme="majorHAnsi"/>
          <w:bCs/>
          <w:i/>
          <w:iCs/>
          <w:sz w:val="24"/>
          <w:szCs w:val="24"/>
          <w:lang w:val="ro-MD"/>
        </w:rPr>
        <w:t xml:space="preserve">n </w:t>
      </w:r>
      <w:r w:rsidR="00A97D17" w:rsidRPr="009E5B39">
        <w:rPr>
          <w:rFonts w:asciiTheme="majorHAnsi" w:eastAsia="Times New Roman" w:hAnsiTheme="majorHAnsi" w:cstheme="majorHAnsi"/>
          <w:bCs/>
          <w:i/>
          <w:iCs/>
          <w:sz w:val="24"/>
          <w:szCs w:val="24"/>
          <w:lang w:val="ro-MD"/>
        </w:rPr>
        <w:t>anii</w:t>
      </w:r>
      <w:r w:rsidRPr="009E5B39">
        <w:rPr>
          <w:rFonts w:asciiTheme="majorHAnsi" w:eastAsia="Times New Roman" w:hAnsiTheme="majorHAnsi" w:cstheme="majorHAnsi"/>
          <w:bCs/>
          <w:i/>
          <w:iCs/>
          <w:sz w:val="24"/>
          <w:szCs w:val="24"/>
          <w:lang w:val="ro-MD"/>
        </w:rPr>
        <w:t xml:space="preserve"> 2018-2020</w:t>
      </w:r>
      <w:r w:rsidR="00492440" w:rsidRPr="009E5B39">
        <w:rPr>
          <w:rFonts w:asciiTheme="majorHAnsi" w:eastAsia="Times New Roman" w:hAnsiTheme="majorHAnsi" w:cstheme="majorHAnsi"/>
          <w:bCs/>
          <w:i/>
          <w:iCs/>
          <w:sz w:val="24"/>
          <w:szCs w:val="24"/>
          <w:lang w:val="ro-MD"/>
        </w:rPr>
        <w:t>,</w:t>
      </w:r>
      <w:r w:rsidRPr="009E5B39">
        <w:rPr>
          <w:rFonts w:asciiTheme="majorHAnsi" w:eastAsia="Times New Roman" w:hAnsiTheme="majorHAnsi" w:cstheme="majorHAnsi"/>
          <w:bCs/>
          <w:i/>
          <w:iCs/>
          <w:sz w:val="24"/>
          <w:szCs w:val="24"/>
          <w:lang w:val="ro-MD"/>
        </w:rPr>
        <w:t xml:space="preserve"> a utilizat </w:t>
      </w:r>
      <w:r w:rsidR="001B58CD" w:rsidRPr="009E5B39">
        <w:rPr>
          <w:rFonts w:asciiTheme="majorHAnsi" w:eastAsia="Times New Roman" w:hAnsiTheme="majorHAnsi" w:cstheme="majorHAnsi"/>
          <w:bCs/>
          <w:i/>
          <w:iCs/>
          <w:sz w:val="24"/>
          <w:szCs w:val="24"/>
          <w:lang w:val="ro-MD"/>
        </w:rPr>
        <w:t xml:space="preserve">nu după </w:t>
      </w:r>
      <w:r w:rsidRPr="009E5B39">
        <w:rPr>
          <w:rFonts w:asciiTheme="majorHAnsi" w:eastAsia="Times New Roman" w:hAnsiTheme="majorHAnsi" w:cstheme="majorHAnsi"/>
          <w:bCs/>
          <w:i/>
          <w:iCs/>
          <w:sz w:val="24"/>
          <w:szCs w:val="24"/>
          <w:lang w:val="ro-MD"/>
        </w:rPr>
        <w:t>destinație TDS pentru infrastructura drumurilor în sumă totală de 31</w:t>
      </w:r>
      <w:r w:rsidR="00C62586" w:rsidRPr="009E5B39">
        <w:rPr>
          <w:rFonts w:asciiTheme="majorHAnsi" w:eastAsia="Times New Roman" w:hAnsiTheme="majorHAnsi" w:cstheme="majorHAnsi"/>
          <w:bCs/>
          <w:i/>
          <w:iCs/>
          <w:sz w:val="24"/>
          <w:szCs w:val="24"/>
          <w:lang w:val="ro-MD"/>
        </w:rPr>
        <w:t>,</w:t>
      </w:r>
      <w:r w:rsidRPr="009E5B39">
        <w:rPr>
          <w:rFonts w:asciiTheme="majorHAnsi" w:eastAsia="Times New Roman" w:hAnsiTheme="majorHAnsi" w:cstheme="majorHAnsi"/>
          <w:bCs/>
          <w:i/>
          <w:iCs/>
          <w:sz w:val="24"/>
          <w:szCs w:val="24"/>
          <w:lang w:val="ro-MD"/>
        </w:rPr>
        <w:t>7</w:t>
      </w:r>
      <w:r w:rsidR="00C62586" w:rsidRPr="009E5B39">
        <w:rPr>
          <w:rFonts w:asciiTheme="majorHAnsi" w:eastAsia="Times New Roman" w:hAnsiTheme="majorHAnsi" w:cstheme="majorHAnsi"/>
          <w:bCs/>
          <w:i/>
          <w:iCs/>
          <w:sz w:val="24"/>
          <w:szCs w:val="24"/>
          <w:lang w:val="ro-MD"/>
        </w:rPr>
        <w:t>8</w:t>
      </w:r>
      <w:r w:rsidRPr="009E5B39">
        <w:rPr>
          <w:rFonts w:asciiTheme="majorHAnsi" w:eastAsia="Times New Roman" w:hAnsiTheme="majorHAnsi" w:cstheme="majorHAnsi"/>
          <w:bCs/>
          <w:i/>
          <w:iCs/>
          <w:sz w:val="24"/>
          <w:szCs w:val="24"/>
          <w:lang w:val="ro-MD"/>
        </w:rPr>
        <w:t xml:space="preserve"> mi</w:t>
      </w:r>
      <w:r w:rsidR="00C62586" w:rsidRPr="009E5B39">
        <w:rPr>
          <w:rFonts w:asciiTheme="majorHAnsi" w:eastAsia="Times New Roman" w:hAnsiTheme="majorHAnsi" w:cstheme="majorHAnsi"/>
          <w:bCs/>
          <w:i/>
          <w:iCs/>
          <w:sz w:val="24"/>
          <w:szCs w:val="24"/>
          <w:lang w:val="ro-MD"/>
        </w:rPr>
        <w:t>l</w:t>
      </w:r>
      <w:r w:rsidR="00492440" w:rsidRPr="009E5B39">
        <w:rPr>
          <w:rFonts w:asciiTheme="majorHAnsi" w:eastAsia="Times New Roman" w:hAnsiTheme="majorHAnsi" w:cstheme="majorHAnsi"/>
          <w:bCs/>
          <w:i/>
          <w:iCs/>
          <w:sz w:val="24"/>
          <w:szCs w:val="24"/>
          <w:lang w:val="ro-MD"/>
        </w:rPr>
        <w:t>.</w:t>
      </w:r>
      <w:r w:rsidRPr="009E5B39">
        <w:rPr>
          <w:rFonts w:asciiTheme="majorHAnsi" w:eastAsia="Times New Roman" w:hAnsiTheme="majorHAnsi" w:cstheme="majorHAnsi"/>
          <w:bCs/>
          <w:i/>
          <w:iCs/>
          <w:sz w:val="24"/>
          <w:szCs w:val="24"/>
          <w:lang w:val="ro-MD"/>
        </w:rPr>
        <w:t xml:space="preserve"> lei, </w:t>
      </w:r>
      <w:r w:rsidR="00492440" w:rsidRPr="009E5B39">
        <w:rPr>
          <w:rFonts w:asciiTheme="majorHAnsi" w:eastAsia="Times New Roman" w:hAnsiTheme="majorHAnsi" w:cstheme="majorHAnsi"/>
          <w:bCs/>
          <w:i/>
          <w:iCs/>
          <w:sz w:val="24"/>
          <w:szCs w:val="24"/>
          <w:lang w:val="ro-MD"/>
        </w:rPr>
        <w:t xml:space="preserve">ceea ce </w:t>
      </w:r>
      <w:r w:rsidRPr="009E5B39">
        <w:rPr>
          <w:rFonts w:asciiTheme="majorHAnsi" w:eastAsia="Times New Roman" w:hAnsiTheme="majorHAnsi" w:cstheme="majorHAnsi"/>
          <w:bCs/>
          <w:i/>
          <w:iCs/>
          <w:sz w:val="24"/>
          <w:szCs w:val="24"/>
          <w:lang w:val="ro-MD"/>
        </w:rPr>
        <w:t>c</w:t>
      </w:r>
      <w:r w:rsidRPr="009E5B39">
        <w:rPr>
          <w:rFonts w:asciiTheme="majorHAnsi" w:eastAsia="Times New Roman" w:hAnsiTheme="majorHAnsi" w:cstheme="majorHAnsi"/>
          <w:i/>
          <w:sz w:val="24"/>
          <w:szCs w:val="24"/>
          <w:lang w:val="ro-MD"/>
        </w:rPr>
        <w:t>ontra</w:t>
      </w:r>
      <w:r w:rsidR="00492440" w:rsidRPr="009E5B39">
        <w:rPr>
          <w:rFonts w:asciiTheme="majorHAnsi" w:eastAsia="Times New Roman" w:hAnsiTheme="majorHAnsi" w:cstheme="majorHAnsi"/>
          <w:i/>
          <w:sz w:val="24"/>
          <w:szCs w:val="24"/>
          <w:lang w:val="ro-MD"/>
        </w:rPr>
        <w:t>vine</w:t>
      </w:r>
      <w:r w:rsidRPr="009E5B39">
        <w:rPr>
          <w:rFonts w:asciiTheme="majorHAnsi" w:eastAsia="Times New Roman" w:hAnsiTheme="majorHAnsi" w:cstheme="majorHAnsi"/>
          <w:i/>
          <w:sz w:val="24"/>
          <w:szCs w:val="24"/>
          <w:lang w:val="ro-MD"/>
        </w:rPr>
        <w:t xml:space="preserve"> prevederilor cadrului normativ</w:t>
      </w:r>
      <w:r w:rsidRPr="009E5B39">
        <w:rPr>
          <w:rFonts w:asciiTheme="majorHAnsi" w:hAnsiTheme="majorHAnsi" w:cstheme="majorHAnsi"/>
          <w:sz w:val="24"/>
          <w:szCs w:val="24"/>
          <w:vertAlign w:val="superscript"/>
          <w:lang w:val="ro-MD"/>
        </w:rPr>
        <w:footnoteReference w:id="7"/>
      </w:r>
      <w:r w:rsidRPr="009E5B39">
        <w:rPr>
          <w:rFonts w:asciiTheme="majorHAnsi" w:eastAsia="Calibri" w:hAnsiTheme="majorHAnsi" w:cstheme="majorHAnsi"/>
          <w:i/>
          <w:sz w:val="24"/>
          <w:szCs w:val="24"/>
          <w:lang w:val="ro-MD"/>
        </w:rPr>
        <w:t xml:space="preserve"> (pct.4.2.1.);</w:t>
      </w:r>
    </w:p>
    <w:p w14:paraId="6DD68A08" w14:textId="62F5E9E3" w:rsidR="008A480D" w:rsidRPr="009E5B39" w:rsidRDefault="00492440"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Neclaritatea</w:t>
      </w:r>
      <w:r w:rsidR="008A480D" w:rsidRPr="009E5B39">
        <w:rPr>
          <w:rFonts w:asciiTheme="majorHAnsi" w:hAnsiTheme="majorHAnsi" w:cstheme="majorHAnsi"/>
          <w:i/>
          <w:sz w:val="24"/>
          <w:szCs w:val="24"/>
          <w:lang w:val="ro-MD"/>
        </w:rPr>
        <w:t xml:space="preserve"> ce ține de competențele și atribuțiile concrete ale instituțiilor din subordinea APL </w:t>
      </w:r>
      <w:r w:rsidR="00A60171" w:rsidRPr="009E5B39">
        <w:rPr>
          <w:rFonts w:asciiTheme="majorHAnsi" w:hAnsiTheme="majorHAnsi" w:cstheme="majorHAnsi"/>
          <w:i/>
          <w:sz w:val="24"/>
          <w:szCs w:val="24"/>
          <w:lang w:val="ro-MD"/>
        </w:rPr>
        <w:t xml:space="preserve">a </w:t>
      </w:r>
      <w:r w:rsidR="008A480D" w:rsidRPr="009E5B39">
        <w:rPr>
          <w:rFonts w:asciiTheme="majorHAnsi" w:hAnsiTheme="majorHAnsi" w:cstheme="majorHAnsi"/>
          <w:i/>
          <w:sz w:val="24"/>
          <w:szCs w:val="24"/>
          <w:lang w:val="ro-MD"/>
        </w:rPr>
        <w:t xml:space="preserve">mun. Chișinău </w:t>
      </w:r>
      <w:r w:rsidR="00BB5509" w:rsidRPr="009E5B39">
        <w:rPr>
          <w:rFonts w:asciiTheme="majorHAnsi" w:hAnsiTheme="majorHAnsi" w:cstheme="majorHAnsi"/>
          <w:i/>
          <w:sz w:val="24"/>
          <w:szCs w:val="24"/>
          <w:lang w:val="ro-MD"/>
        </w:rPr>
        <w:t>privind</w:t>
      </w:r>
      <w:r w:rsidR="008A480D" w:rsidRPr="009E5B39">
        <w:rPr>
          <w:rFonts w:asciiTheme="majorHAnsi" w:hAnsiTheme="majorHAnsi" w:cstheme="majorHAnsi"/>
          <w:i/>
          <w:sz w:val="24"/>
          <w:szCs w:val="24"/>
          <w:lang w:val="ro-MD"/>
        </w:rPr>
        <w:t xml:space="preserve"> ținer</w:t>
      </w:r>
      <w:r w:rsidRPr="009E5B39">
        <w:rPr>
          <w:rFonts w:asciiTheme="majorHAnsi" w:hAnsiTheme="majorHAnsi" w:cstheme="majorHAnsi"/>
          <w:i/>
          <w:sz w:val="24"/>
          <w:szCs w:val="24"/>
          <w:lang w:val="ro-MD"/>
        </w:rPr>
        <w:t>ea</w:t>
      </w:r>
      <w:r w:rsidR="008A480D" w:rsidRPr="009E5B39">
        <w:rPr>
          <w:rFonts w:asciiTheme="majorHAnsi" w:hAnsiTheme="majorHAnsi" w:cstheme="majorHAnsi"/>
          <w:i/>
          <w:sz w:val="24"/>
          <w:szCs w:val="24"/>
          <w:lang w:val="ro-MD"/>
        </w:rPr>
        <w:t xml:space="preserve"> evidenței patrimoniului public și a cheltuielilor pentru reparația acestuia generează planificarea și raportarea eronată a cheltuielilor, precum și evidența neveridică  a patrimoniului public </w:t>
      </w:r>
      <w:r w:rsidR="008A480D" w:rsidRPr="009E5B39">
        <w:rPr>
          <w:rFonts w:asciiTheme="majorHAnsi" w:eastAsia="Calibri" w:hAnsiTheme="majorHAnsi" w:cstheme="majorHAnsi"/>
          <w:i/>
          <w:sz w:val="24"/>
          <w:szCs w:val="24"/>
          <w:lang w:val="ro-MD"/>
        </w:rPr>
        <w:t>(pct.4.2.2.);</w:t>
      </w:r>
      <w:r w:rsidR="008A480D" w:rsidRPr="009E5B39">
        <w:rPr>
          <w:rFonts w:asciiTheme="majorHAnsi" w:hAnsiTheme="majorHAnsi" w:cstheme="majorHAnsi"/>
          <w:b/>
          <w:i/>
          <w:sz w:val="24"/>
          <w:szCs w:val="24"/>
          <w:lang w:val="ro-MD"/>
        </w:rPr>
        <w:tab/>
      </w:r>
    </w:p>
    <w:p w14:paraId="5A7A4C7E" w14:textId="4C53BCAA"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eastAsia="Calibri" w:hAnsiTheme="majorHAnsi" w:cstheme="majorHAnsi"/>
          <w:i/>
          <w:sz w:val="24"/>
          <w:szCs w:val="24"/>
          <w:lang w:val="ro-MD"/>
        </w:rPr>
        <w:t xml:space="preserve">CMC nu a decis asupra lucrărilor de întreținere a infrastructurii căilor de comunicații, serviciu delegat ÎM Regia „ExDrupo”, pe obiect, volum, tipul de lucrări pentru care sunt alocate mijloace financiare, </w:t>
      </w:r>
      <w:r w:rsidRPr="009E5B39">
        <w:rPr>
          <w:rFonts w:asciiTheme="majorHAnsi" w:hAnsiTheme="majorHAnsi" w:cstheme="majorHAnsi"/>
          <w:i/>
          <w:sz w:val="24"/>
          <w:szCs w:val="24"/>
          <w:lang w:val="ro-MD"/>
        </w:rPr>
        <w:t xml:space="preserve">suma alocată pentru fiecare obiectiv și sursa de finanțare (venituri proprii sau TDS), acestea fiind lăsate la discreția autorității executive, </w:t>
      </w:r>
      <w:r w:rsidR="00BB5509" w:rsidRPr="009E5B39">
        <w:rPr>
          <w:rFonts w:asciiTheme="majorHAnsi" w:hAnsiTheme="majorHAnsi" w:cstheme="majorHAnsi"/>
          <w:i/>
          <w:sz w:val="24"/>
          <w:szCs w:val="24"/>
          <w:lang w:val="ro-MD"/>
        </w:rPr>
        <w:t xml:space="preserve">fapt </w:t>
      </w:r>
      <w:r w:rsidRPr="009E5B39">
        <w:rPr>
          <w:rFonts w:asciiTheme="majorHAnsi" w:hAnsiTheme="majorHAnsi" w:cstheme="majorHAnsi"/>
          <w:i/>
          <w:sz w:val="24"/>
          <w:szCs w:val="24"/>
          <w:lang w:val="ro-MD"/>
        </w:rPr>
        <w:t xml:space="preserve">ce denotă neîndeplinirea competențelor prevăzute de cadrul normativ. </w:t>
      </w:r>
      <w:r w:rsidRPr="009E5B39">
        <w:rPr>
          <w:rFonts w:asciiTheme="majorHAnsi" w:eastAsia="Calibri" w:hAnsiTheme="majorHAnsi" w:cstheme="majorHAnsi"/>
          <w:i/>
          <w:sz w:val="24"/>
          <w:szCs w:val="24"/>
          <w:lang w:val="ro-MD"/>
        </w:rPr>
        <w:t xml:space="preserve">Cu depășirea competențelor, autoritatea executivă a mun. Chișinău, </w:t>
      </w:r>
      <w:r w:rsidRPr="009E5B39">
        <w:rPr>
          <w:rFonts w:asciiTheme="majorHAnsi" w:hAnsiTheme="majorHAnsi" w:cstheme="majorHAnsi"/>
          <w:i/>
          <w:sz w:val="24"/>
          <w:szCs w:val="24"/>
          <w:lang w:val="ro-MD"/>
        </w:rPr>
        <w:t>î</w:t>
      </w:r>
      <w:r w:rsidRPr="009E5B39">
        <w:rPr>
          <w:rFonts w:asciiTheme="majorHAnsi" w:eastAsia="Calibri" w:hAnsiTheme="majorHAnsi" w:cstheme="majorHAnsi"/>
          <w:i/>
          <w:sz w:val="24"/>
          <w:szCs w:val="24"/>
          <w:lang w:val="ro-MD"/>
        </w:rPr>
        <w:t xml:space="preserve">n </w:t>
      </w:r>
      <w:r w:rsidR="00BB5509" w:rsidRPr="009E5B39">
        <w:rPr>
          <w:rFonts w:asciiTheme="majorHAnsi" w:eastAsia="Calibri" w:hAnsiTheme="majorHAnsi" w:cstheme="majorHAnsi"/>
          <w:i/>
          <w:sz w:val="24"/>
          <w:szCs w:val="24"/>
          <w:lang w:val="ro-MD"/>
        </w:rPr>
        <w:t xml:space="preserve">anii </w:t>
      </w:r>
      <w:r w:rsidRPr="009E5B39">
        <w:rPr>
          <w:rFonts w:asciiTheme="majorHAnsi" w:eastAsia="Calibri" w:hAnsiTheme="majorHAnsi" w:cstheme="majorHAnsi"/>
          <w:i/>
          <w:sz w:val="24"/>
          <w:szCs w:val="24"/>
          <w:lang w:val="ro-MD"/>
        </w:rPr>
        <w:t>2018-2020, a dispus</w:t>
      </w:r>
      <w:r w:rsidRPr="009E5B39">
        <w:rPr>
          <w:rFonts w:asciiTheme="majorHAnsi" w:hAnsiTheme="majorHAnsi" w:cstheme="majorHAnsi"/>
          <w:i/>
          <w:sz w:val="24"/>
          <w:szCs w:val="24"/>
          <w:lang w:val="ro-MD"/>
        </w:rPr>
        <w:t xml:space="preserve"> </w:t>
      </w:r>
      <w:r w:rsidRPr="009E5B39">
        <w:rPr>
          <w:rFonts w:asciiTheme="majorHAnsi" w:eastAsia="Calibri" w:hAnsiTheme="majorHAnsi" w:cstheme="majorHAnsi"/>
          <w:i/>
          <w:sz w:val="24"/>
          <w:szCs w:val="24"/>
          <w:lang w:val="ro-MD"/>
        </w:rPr>
        <w:t>executarea și achitarea cheltuielilor ce țin de întreținerea și reparația drumurilor publice de interes local din UAT de nivelul I din suburbii, ceea ce a generat cheltuieli suplimentare în sumă totală de circa 16</w:t>
      </w:r>
      <w:r w:rsidR="00C62586" w:rsidRPr="009E5B39">
        <w:rPr>
          <w:rFonts w:asciiTheme="majorHAnsi" w:eastAsia="Calibri" w:hAnsiTheme="majorHAnsi" w:cstheme="majorHAnsi"/>
          <w:i/>
          <w:sz w:val="24"/>
          <w:szCs w:val="24"/>
          <w:lang w:val="ro-MD"/>
        </w:rPr>
        <w:t>,</w:t>
      </w:r>
      <w:r w:rsidRPr="009E5B39">
        <w:rPr>
          <w:rFonts w:asciiTheme="majorHAnsi" w:eastAsia="Calibri" w:hAnsiTheme="majorHAnsi" w:cstheme="majorHAnsi"/>
          <w:i/>
          <w:sz w:val="24"/>
          <w:szCs w:val="24"/>
          <w:lang w:val="ro-MD"/>
        </w:rPr>
        <w:t>77 mi</w:t>
      </w:r>
      <w:r w:rsidR="00C62586" w:rsidRPr="009E5B39">
        <w:rPr>
          <w:rFonts w:asciiTheme="majorHAnsi" w:eastAsia="Calibri" w:hAnsiTheme="majorHAnsi" w:cstheme="majorHAnsi"/>
          <w:i/>
          <w:sz w:val="24"/>
          <w:szCs w:val="24"/>
          <w:lang w:val="ro-MD"/>
        </w:rPr>
        <w:t>l</w:t>
      </w:r>
      <w:r w:rsidR="00513339" w:rsidRPr="009E5B39">
        <w:rPr>
          <w:rFonts w:asciiTheme="majorHAnsi" w:eastAsia="Calibri" w:hAnsiTheme="majorHAnsi" w:cstheme="majorHAnsi"/>
          <w:i/>
          <w:sz w:val="24"/>
          <w:szCs w:val="24"/>
          <w:lang w:val="ro-MD"/>
        </w:rPr>
        <w:t>.</w:t>
      </w:r>
      <w:r w:rsidRPr="009E5B39">
        <w:rPr>
          <w:rFonts w:asciiTheme="majorHAnsi" w:eastAsia="Calibri" w:hAnsiTheme="majorHAnsi" w:cstheme="majorHAnsi"/>
          <w:i/>
          <w:sz w:val="24"/>
          <w:szCs w:val="24"/>
          <w:lang w:val="ro-MD"/>
        </w:rPr>
        <w:t xml:space="preserve"> lei, pe când pentru reparația drumurilor publice de interes raional/municipal au fost executate lucrări în valoare de numai 2</w:t>
      </w:r>
      <w:r w:rsidR="00C62586" w:rsidRPr="009E5B39">
        <w:rPr>
          <w:rFonts w:asciiTheme="majorHAnsi" w:eastAsia="Calibri" w:hAnsiTheme="majorHAnsi" w:cstheme="majorHAnsi"/>
          <w:i/>
          <w:sz w:val="24"/>
          <w:szCs w:val="24"/>
          <w:lang w:val="ro-MD"/>
        </w:rPr>
        <w:t>,</w:t>
      </w:r>
      <w:r w:rsidRPr="009E5B39">
        <w:rPr>
          <w:rFonts w:asciiTheme="majorHAnsi" w:eastAsia="Calibri" w:hAnsiTheme="majorHAnsi" w:cstheme="majorHAnsi"/>
          <w:i/>
          <w:sz w:val="24"/>
          <w:szCs w:val="24"/>
          <w:lang w:val="ro-MD"/>
        </w:rPr>
        <w:t>59 mi</w:t>
      </w:r>
      <w:r w:rsidR="00C62586" w:rsidRPr="009E5B39">
        <w:rPr>
          <w:rFonts w:asciiTheme="majorHAnsi" w:eastAsia="Calibri" w:hAnsiTheme="majorHAnsi" w:cstheme="majorHAnsi"/>
          <w:i/>
          <w:sz w:val="24"/>
          <w:szCs w:val="24"/>
          <w:lang w:val="ro-MD"/>
        </w:rPr>
        <w:t>l</w:t>
      </w:r>
      <w:r w:rsidR="00513339" w:rsidRPr="009E5B39">
        <w:rPr>
          <w:rFonts w:asciiTheme="majorHAnsi" w:eastAsia="Calibri" w:hAnsiTheme="majorHAnsi" w:cstheme="majorHAnsi"/>
          <w:i/>
          <w:sz w:val="24"/>
          <w:szCs w:val="24"/>
          <w:lang w:val="ro-MD"/>
        </w:rPr>
        <w:t>.</w:t>
      </w:r>
      <w:r w:rsidRPr="009E5B39">
        <w:rPr>
          <w:rFonts w:asciiTheme="majorHAnsi" w:eastAsia="Calibri" w:hAnsiTheme="majorHAnsi" w:cstheme="majorHAnsi"/>
          <w:i/>
          <w:sz w:val="24"/>
          <w:szCs w:val="24"/>
          <w:lang w:val="ro-MD"/>
        </w:rPr>
        <w:t xml:space="preserve"> lei (pct.4.2.3.);</w:t>
      </w:r>
    </w:p>
    <w:p w14:paraId="20D553B8" w14:textId="59B1B6F8" w:rsidR="008A480D" w:rsidRPr="009E5B39" w:rsidRDefault="001E4BCB"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eastAsia="Calibri" w:hAnsiTheme="majorHAnsi" w:cstheme="majorHAnsi"/>
          <w:i/>
          <w:sz w:val="24"/>
          <w:szCs w:val="24"/>
          <w:lang w:val="ro-MD"/>
        </w:rPr>
        <w:t>P</w:t>
      </w:r>
      <w:r w:rsidR="008A480D" w:rsidRPr="009E5B39">
        <w:rPr>
          <w:rFonts w:asciiTheme="majorHAnsi" w:eastAsia="Calibri" w:hAnsiTheme="majorHAnsi" w:cstheme="majorHAnsi"/>
          <w:i/>
          <w:sz w:val="24"/>
          <w:szCs w:val="24"/>
          <w:lang w:val="ro-MD"/>
        </w:rPr>
        <w:t xml:space="preserve">rimarul general al mun. Chișinău </w:t>
      </w:r>
      <w:r w:rsidR="00FE2D8D" w:rsidRPr="009E5B39">
        <w:rPr>
          <w:rFonts w:asciiTheme="majorHAnsi" w:eastAsia="Calibri" w:hAnsiTheme="majorHAnsi" w:cstheme="majorHAnsi"/>
          <w:i/>
          <w:sz w:val="24"/>
          <w:szCs w:val="24"/>
          <w:lang w:val="ro-MD"/>
        </w:rPr>
        <w:t xml:space="preserve">a </w:t>
      </w:r>
      <w:r w:rsidR="008A480D" w:rsidRPr="009E5B39">
        <w:rPr>
          <w:rFonts w:asciiTheme="majorHAnsi" w:eastAsia="Calibri" w:hAnsiTheme="majorHAnsi" w:cstheme="majorHAnsi"/>
          <w:i/>
          <w:sz w:val="24"/>
          <w:szCs w:val="24"/>
          <w:lang w:val="ro-MD"/>
        </w:rPr>
        <w:t>dispu</w:t>
      </w:r>
      <w:r w:rsidR="00FE2D8D" w:rsidRPr="009E5B39">
        <w:rPr>
          <w:rFonts w:asciiTheme="majorHAnsi" w:eastAsia="Calibri" w:hAnsiTheme="majorHAnsi" w:cstheme="majorHAnsi"/>
          <w:i/>
          <w:sz w:val="24"/>
          <w:szCs w:val="24"/>
          <w:lang w:val="ro-MD"/>
        </w:rPr>
        <w:t xml:space="preserve">s </w:t>
      </w:r>
      <w:r w:rsidR="008A480D" w:rsidRPr="009E5B39">
        <w:rPr>
          <w:rFonts w:asciiTheme="majorHAnsi" w:eastAsia="Calibri" w:hAnsiTheme="majorHAnsi" w:cstheme="majorHAnsi"/>
          <w:i/>
          <w:sz w:val="24"/>
          <w:szCs w:val="24"/>
          <w:lang w:val="ro-MD"/>
        </w:rPr>
        <w:t>redistribuirea alocațiilor aprobate de către CMC pentru reparația capitală pe obiective concrete (la grupa de conturi 31)</w:t>
      </w:r>
      <w:r w:rsidR="00667F0B" w:rsidRPr="009E5B39">
        <w:rPr>
          <w:rFonts w:asciiTheme="majorHAnsi" w:eastAsia="Calibri" w:hAnsiTheme="majorHAnsi" w:cstheme="majorHAnsi"/>
          <w:i/>
          <w:sz w:val="24"/>
          <w:szCs w:val="24"/>
          <w:lang w:val="ro-MD"/>
        </w:rPr>
        <w:t>,</w:t>
      </w:r>
      <w:r w:rsidR="008A480D" w:rsidRPr="009E5B39">
        <w:rPr>
          <w:rFonts w:asciiTheme="majorHAnsi" w:eastAsia="Calibri" w:hAnsiTheme="majorHAnsi" w:cstheme="majorHAnsi"/>
          <w:i/>
          <w:sz w:val="24"/>
          <w:szCs w:val="24"/>
          <w:lang w:val="ro-MD"/>
        </w:rPr>
        <w:t xml:space="preserve"> pentru cheltuieli curente (la grupa de conturi 222) și de la instituție bugetară la ÎM DCC,</w:t>
      </w:r>
      <w:r w:rsidR="00667F0B" w:rsidRPr="009E5B39">
        <w:rPr>
          <w:rFonts w:asciiTheme="majorHAnsi" w:eastAsia="Calibri" w:hAnsiTheme="majorHAnsi" w:cstheme="majorHAnsi"/>
          <w:i/>
          <w:sz w:val="24"/>
          <w:szCs w:val="24"/>
          <w:lang w:val="ro-MD"/>
        </w:rPr>
        <w:t xml:space="preserve"> ceea</w:t>
      </w:r>
      <w:r w:rsidR="008A480D" w:rsidRPr="009E5B39">
        <w:rPr>
          <w:rFonts w:asciiTheme="majorHAnsi" w:eastAsia="Calibri" w:hAnsiTheme="majorHAnsi" w:cstheme="majorHAnsi"/>
          <w:i/>
          <w:sz w:val="24"/>
          <w:szCs w:val="24"/>
          <w:lang w:val="ro-MD"/>
        </w:rPr>
        <w:t xml:space="preserve"> ce contravine prevederilor art.26 alin.(1) lit. a) din Legea nr.397 din 16.10.2003</w:t>
      </w:r>
      <w:r w:rsidR="008A480D" w:rsidRPr="009E5B39">
        <w:rPr>
          <w:rFonts w:asciiTheme="majorHAnsi" w:hAnsiTheme="majorHAnsi" w:cstheme="majorHAnsi"/>
          <w:i/>
          <w:sz w:val="24"/>
          <w:szCs w:val="24"/>
          <w:lang w:val="ro-MD"/>
        </w:rPr>
        <w:t xml:space="preserve"> (</w:t>
      </w:r>
      <w:r w:rsidR="008A480D" w:rsidRPr="009E5B39">
        <w:rPr>
          <w:rFonts w:asciiTheme="majorHAnsi" w:eastAsia="Calibri" w:hAnsiTheme="majorHAnsi" w:cstheme="majorHAnsi"/>
          <w:i/>
          <w:sz w:val="24"/>
          <w:szCs w:val="24"/>
          <w:lang w:val="ro-MD"/>
        </w:rPr>
        <w:t>pct.4.2.</w:t>
      </w:r>
      <w:r w:rsidR="004D75E0" w:rsidRPr="009E5B39">
        <w:rPr>
          <w:rFonts w:asciiTheme="majorHAnsi" w:eastAsia="Calibri" w:hAnsiTheme="majorHAnsi" w:cstheme="majorHAnsi"/>
          <w:i/>
          <w:sz w:val="24"/>
          <w:szCs w:val="24"/>
          <w:lang w:val="ro-MD"/>
        </w:rPr>
        <w:t>4</w:t>
      </w:r>
      <w:r w:rsidR="008A480D" w:rsidRPr="009E5B39">
        <w:rPr>
          <w:rFonts w:asciiTheme="majorHAnsi" w:eastAsia="Calibri" w:hAnsiTheme="majorHAnsi" w:cstheme="majorHAnsi"/>
          <w:i/>
          <w:sz w:val="24"/>
          <w:szCs w:val="24"/>
          <w:lang w:val="ro-MD"/>
        </w:rPr>
        <w:t>.);</w:t>
      </w:r>
    </w:p>
    <w:p w14:paraId="32F97A6F" w14:textId="11C53DA9"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CMC</w:t>
      </w:r>
      <w:r w:rsidR="00667F0B"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prin preluarea rețelelor de iluminat stradal de la APL de nivelul I din suburbii, suportă cheltuieli suplimentare din bugetul municipal pentru iluminatul public, precum și pentru întreținerea acestora, care numai în perioada </w:t>
      </w:r>
      <w:r w:rsidR="008E29E0" w:rsidRPr="009E5B39">
        <w:rPr>
          <w:rFonts w:asciiTheme="majorHAnsi" w:hAnsiTheme="majorHAnsi" w:cstheme="majorHAnsi"/>
          <w:i/>
          <w:sz w:val="24"/>
          <w:szCs w:val="24"/>
          <w:lang w:val="ro-MD"/>
        </w:rPr>
        <w:t xml:space="preserve">anilor </w:t>
      </w:r>
      <w:r w:rsidRPr="009E5B39">
        <w:rPr>
          <w:rFonts w:asciiTheme="majorHAnsi" w:hAnsiTheme="majorHAnsi" w:cstheme="majorHAnsi"/>
          <w:i/>
          <w:sz w:val="24"/>
          <w:szCs w:val="24"/>
          <w:lang w:val="ro-MD"/>
        </w:rPr>
        <w:t>2018-2020 au însumat 50</w:t>
      </w:r>
      <w:r w:rsidR="00C62586"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9</w:t>
      </w:r>
      <w:r w:rsidR="00C62586" w:rsidRPr="009E5B39">
        <w:rPr>
          <w:rFonts w:asciiTheme="majorHAnsi" w:hAnsiTheme="majorHAnsi" w:cstheme="majorHAnsi"/>
          <w:i/>
          <w:sz w:val="24"/>
          <w:szCs w:val="24"/>
          <w:lang w:val="ro-MD"/>
        </w:rPr>
        <w:t>1</w:t>
      </w:r>
      <w:r w:rsidRPr="009E5B39">
        <w:rPr>
          <w:rFonts w:asciiTheme="majorHAnsi" w:hAnsiTheme="majorHAnsi" w:cstheme="majorHAnsi"/>
          <w:i/>
          <w:sz w:val="24"/>
          <w:szCs w:val="24"/>
          <w:lang w:val="ro-MD"/>
        </w:rPr>
        <w:t xml:space="preserve"> mi</w:t>
      </w:r>
      <w:r w:rsidR="00C62586" w:rsidRPr="009E5B39">
        <w:rPr>
          <w:rFonts w:asciiTheme="majorHAnsi" w:hAnsiTheme="majorHAnsi" w:cstheme="majorHAnsi"/>
          <w:i/>
          <w:sz w:val="24"/>
          <w:szCs w:val="24"/>
          <w:lang w:val="ro-MD"/>
        </w:rPr>
        <w:t>l</w:t>
      </w:r>
      <w:r w:rsidR="008E29E0"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lei</w:t>
      </w:r>
      <w:r w:rsidRPr="009E5B39">
        <w:rPr>
          <w:rFonts w:asciiTheme="majorHAnsi" w:hAnsiTheme="majorHAnsi" w:cstheme="majorHAnsi"/>
          <w:i/>
          <w:sz w:val="24"/>
          <w:szCs w:val="24"/>
          <w:vertAlign w:val="superscript"/>
          <w:lang w:val="ro-MD"/>
        </w:rPr>
        <w:t xml:space="preserve"> </w:t>
      </w:r>
      <w:r w:rsidRPr="009E5B39">
        <w:rPr>
          <w:rFonts w:asciiTheme="majorHAnsi" w:hAnsiTheme="majorHAnsi" w:cstheme="majorHAnsi"/>
          <w:i/>
          <w:sz w:val="24"/>
          <w:szCs w:val="24"/>
          <w:lang w:val="ro-MD"/>
        </w:rPr>
        <w:t>și</w:t>
      </w:r>
      <w:r w:rsidR="008E29E0"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respectiv</w:t>
      </w:r>
      <w:r w:rsidR="008E29E0"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6</w:t>
      </w:r>
      <w:r w:rsidR="00C62586"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89 mi</w:t>
      </w:r>
      <w:r w:rsidR="00C62586" w:rsidRPr="009E5B39">
        <w:rPr>
          <w:rFonts w:asciiTheme="majorHAnsi" w:hAnsiTheme="majorHAnsi" w:cstheme="majorHAnsi"/>
          <w:i/>
          <w:sz w:val="24"/>
          <w:szCs w:val="24"/>
          <w:lang w:val="ro-MD"/>
        </w:rPr>
        <w:t>l</w:t>
      </w:r>
      <w:r w:rsidR="008E29E0"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lei  (</w:t>
      </w:r>
      <w:r w:rsidRPr="009E5B39">
        <w:rPr>
          <w:rFonts w:asciiTheme="majorHAnsi" w:eastAsia="Calibri" w:hAnsiTheme="majorHAnsi" w:cstheme="majorHAnsi"/>
          <w:i/>
          <w:sz w:val="24"/>
          <w:szCs w:val="24"/>
          <w:lang w:val="ro-MD"/>
        </w:rPr>
        <w:t>pct.4.2.</w:t>
      </w:r>
      <w:r w:rsidR="004D75E0" w:rsidRPr="009E5B39">
        <w:rPr>
          <w:rFonts w:asciiTheme="majorHAnsi" w:eastAsia="Calibri" w:hAnsiTheme="majorHAnsi" w:cstheme="majorHAnsi"/>
          <w:i/>
          <w:sz w:val="24"/>
          <w:szCs w:val="24"/>
          <w:lang w:val="ro-MD"/>
        </w:rPr>
        <w:t>5</w:t>
      </w:r>
      <w:r w:rsidRPr="009E5B39">
        <w:rPr>
          <w:rFonts w:asciiTheme="majorHAnsi" w:eastAsia="Calibri" w:hAnsiTheme="majorHAnsi" w:cstheme="majorHAnsi"/>
          <w:i/>
          <w:sz w:val="24"/>
          <w:szCs w:val="24"/>
          <w:lang w:val="ro-MD"/>
        </w:rPr>
        <w:t>.);</w:t>
      </w:r>
    </w:p>
    <w:p w14:paraId="27DABDD5" w14:textId="56DB2FA5"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 xml:space="preserve">Lipsa unui control adecvat din partea persoanelor responsabile din cadrul DGTPCC și  DGLCA </w:t>
      </w:r>
      <w:r w:rsidR="00E06363" w:rsidRPr="009E5B39">
        <w:rPr>
          <w:rFonts w:asciiTheme="majorHAnsi" w:hAnsiTheme="majorHAnsi" w:cstheme="majorHAnsi"/>
          <w:i/>
          <w:sz w:val="24"/>
          <w:szCs w:val="24"/>
          <w:lang w:val="ro-MD"/>
        </w:rPr>
        <w:t>privind</w:t>
      </w:r>
      <w:r w:rsidRPr="009E5B39">
        <w:rPr>
          <w:rFonts w:asciiTheme="majorHAnsi" w:hAnsiTheme="majorHAnsi" w:cstheme="majorHAnsi"/>
          <w:i/>
          <w:sz w:val="24"/>
          <w:szCs w:val="24"/>
          <w:lang w:val="ro-MD"/>
        </w:rPr>
        <w:t xml:space="preserve"> recepționarea serviciilor prestate de către ÎM creează riscul c</w:t>
      </w:r>
      <w:r w:rsidR="00E06363" w:rsidRPr="009E5B39">
        <w:rPr>
          <w:rFonts w:asciiTheme="majorHAnsi" w:hAnsiTheme="majorHAnsi" w:cstheme="majorHAnsi"/>
          <w:i/>
          <w:sz w:val="24"/>
          <w:szCs w:val="24"/>
          <w:lang w:val="ro-MD"/>
        </w:rPr>
        <w:t>a</w:t>
      </w:r>
      <w:r w:rsidRPr="009E5B39">
        <w:rPr>
          <w:rFonts w:asciiTheme="majorHAnsi" w:hAnsiTheme="majorHAnsi" w:cstheme="majorHAnsi"/>
          <w:i/>
          <w:sz w:val="24"/>
          <w:szCs w:val="24"/>
          <w:lang w:val="ro-MD"/>
        </w:rPr>
        <w:t xml:space="preserve"> din bugetul municipal s</w:t>
      </w:r>
      <w:r w:rsidR="00E06363" w:rsidRPr="009E5B39">
        <w:rPr>
          <w:rFonts w:asciiTheme="majorHAnsi" w:hAnsiTheme="majorHAnsi" w:cstheme="majorHAnsi"/>
          <w:i/>
          <w:sz w:val="24"/>
          <w:szCs w:val="24"/>
          <w:lang w:val="ro-MD"/>
        </w:rPr>
        <w:t>ă fie</w:t>
      </w:r>
      <w:r w:rsidRPr="009E5B39">
        <w:rPr>
          <w:rFonts w:asciiTheme="majorHAnsi" w:hAnsiTheme="majorHAnsi" w:cstheme="majorHAnsi"/>
          <w:i/>
          <w:sz w:val="24"/>
          <w:szCs w:val="24"/>
          <w:lang w:val="ro-MD"/>
        </w:rPr>
        <w:t xml:space="preserve"> suportate cheltuieli pentru serviciile de întreținere a obiectivelor de semafoare și de salubrizare la care nu au fost executate careva lucrări</w:t>
      </w:r>
      <w:r w:rsidRPr="009E5B39">
        <w:rPr>
          <w:rFonts w:asciiTheme="majorHAnsi" w:hAnsiTheme="majorHAnsi" w:cstheme="majorHAnsi"/>
          <w:b/>
          <w:i/>
          <w:sz w:val="24"/>
          <w:szCs w:val="24"/>
          <w:lang w:val="ro-MD"/>
        </w:rPr>
        <w:t xml:space="preserve"> </w:t>
      </w:r>
      <w:r w:rsidRPr="009E5B39">
        <w:rPr>
          <w:rFonts w:asciiTheme="majorHAnsi" w:hAnsiTheme="majorHAnsi" w:cstheme="majorHAnsi"/>
          <w:i/>
          <w:sz w:val="24"/>
          <w:szCs w:val="24"/>
          <w:lang w:val="ro-MD"/>
        </w:rPr>
        <w:t>(</w:t>
      </w:r>
      <w:r w:rsidRPr="009E5B39">
        <w:rPr>
          <w:rFonts w:asciiTheme="majorHAnsi" w:eastAsia="Calibri" w:hAnsiTheme="majorHAnsi" w:cstheme="majorHAnsi"/>
          <w:i/>
          <w:sz w:val="24"/>
          <w:szCs w:val="24"/>
          <w:lang w:val="ro-MD"/>
        </w:rPr>
        <w:t>pct.4.2.</w:t>
      </w:r>
      <w:r w:rsidR="004D75E0" w:rsidRPr="009E5B39">
        <w:rPr>
          <w:rFonts w:asciiTheme="majorHAnsi" w:eastAsia="Calibri" w:hAnsiTheme="majorHAnsi" w:cstheme="majorHAnsi"/>
          <w:i/>
          <w:sz w:val="24"/>
          <w:szCs w:val="24"/>
          <w:lang w:val="ro-MD"/>
        </w:rPr>
        <w:t>6</w:t>
      </w:r>
      <w:r w:rsidRPr="009E5B39">
        <w:rPr>
          <w:rFonts w:asciiTheme="majorHAnsi" w:eastAsia="Calibri" w:hAnsiTheme="majorHAnsi" w:cstheme="majorHAnsi"/>
          <w:i/>
          <w:sz w:val="24"/>
          <w:szCs w:val="24"/>
          <w:lang w:val="ro-MD"/>
        </w:rPr>
        <w:t>.);</w:t>
      </w:r>
    </w:p>
    <w:p w14:paraId="0DB14F20" w14:textId="21D2884B"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 xml:space="preserve">APL nu a elaborat și </w:t>
      </w:r>
      <w:r w:rsidR="00E06363" w:rsidRPr="009E5B39">
        <w:rPr>
          <w:rFonts w:asciiTheme="majorHAnsi" w:hAnsiTheme="majorHAnsi" w:cstheme="majorHAnsi"/>
          <w:i/>
          <w:sz w:val="24"/>
          <w:szCs w:val="24"/>
          <w:lang w:val="ro-MD"/>
        </w:rPr>
        <w:t xml:space="preserve">nu a </w:t>
      </w:r>
      <w:r w:rsidRPr="009E5B39">
        <w:rPr>
          <w:rFonts w:asciiTheme="majorHAnsi" w:hAnsiTheme="majorHAnsi" w:cstheme="majorHAnsi"/>
          <w:i/>
          <w:sz w:val="24"/>
          <w:szCs w:val="24"/>
          <w:lang w:val="ro-MD"/>
        </w:rPr>
        <w:t xml:space="preserve">propus spre aprobare CMC reglementări ce țin de evaluarea, evidența și utilizarea/realizarea/casarea materialelor obținute în urma: demontării elementelor de construcție a infrastructurii tehnico - edilitare a drumurilor, </w:t>
      </w:r>
      <w:r w:rsidR="00A60171" w:rsidRPr="009E5B39">
        <w:rPr>
          <w:rFonts w:asciiTheme="majorHAnsi" w:hAnsiTheme="majorHAnsi" w:cstheme="majorHAnsi"/>
          <w:i/>
          <w:sz w:val="24"/>
          <w:szCs w:val="24"/>
          <w:lang w:val="ro-MD"/>
        </w:rPr>
        <w:t xml:space="preserve">rețelelor de </w:t>
      </w:r>
      <w:r w:rsidRPr="009E5B39">
        <w:rPr>
          <w:rFonts w:asciiTheme="majorHAnsi" w:hAnsiTheme="majorHAnsi" w:cstheme="majorHAnsi"/>
          <w:i/>
          <w:sz w:val="24"/>
          <w:szCs w:val="24"/>
          <w:lang w:val="ro-MD"/>
        </w:rPr>
        <w:t xml:space="preserve">iluminat stradal și a obiectivelor de semafoare; tăierii și defrișării arborilor și arbuștilor din spațiile verzi ale mun. Chișinău, creând riscul </w:t>
      </w:r>
      <w:r w:rsidR="00E06363" w:rsidRPr="009E5B39">
        <w:rPr>
          <w:rFonts w:asciiTheme="majorHAnsi" w:hAnsiTheme="majorHAnsi" w:cstheme="majorHAnsi"/>
          <w:i/>
          <w:sz w:val="24"/>
          <w:szCs w:val="24"/>
          <w:lang w:val="ro-MD"/>
        </w:rPr>
        <w:t xml:space="preserve">de </w:t>
      </w:r>
      <w:r w:rsidRPr="009E5B39">
        <w:rPr>
          <w:rFonts w:asciiTheme="majorHAnsi" w:hAnsiTheme="majorHAnsi" w:cstheme="majorHAnsi"/>
          <w:i/>
          <w:sz w:val="24"/>
          <w:szCs w:val="24"/>
          <w:lang w:val="ro-MD"/>
        </w:rPr>
        <w:t>utiliz</w:t>
      </w:r>
      <w:r w:rsidR="00E06363" w:rsidRPr="009E5B39">
        <w:rPr>
          <w:rFonts w:asciiTheme="majorHAnsi" w:hAnsiTheme="majorHAnsi" w:cstheme="majorHAnsi"/>
          <w:i/>
          <w:sz w:val="24"/>
          <w:szCs w:val="24"/>
          <w:lang w:val="ro-MD"/>
        </w:rPr>
        <w:t>are a</w:t>
      </w:r>
      <w:r w:rsidRPr="009E5B39">
        <w:rPr>
          <w:rFonts w:asciiTheme="majorHAnsi" w:hAnsiTheme="majorHAnsi" w:cstheme="majorHAnsi"/>
          <w:i/>
          <w:sz w:val="24"/>
          <w:szCs w:val="24"/>
          <w:lang w:val="ro-MD"/>
        </w:rPr>
        <w:t xml:space="preserve"> acestora de către angajați pentru obținerea unor beneficii personale. </w:t>
      </w:r>
      <w:r w:rsidR="00E06363" w:rsidRPr="009E5B39">
        <w:rPr>
          <w:rFonts w:asciiTheme="majorHAnsi" w:hAnsiTheme="majorHAnsi" w:cstheme="majorHAnsi"/>
          <w:i/>
          <w:sz w:val="24"/>
          <w:szCs w:val="24"/>
          <w:lang w:val="ro-MD"/>
        </w:rPr>
        <w:t>E</w:t>
      </w:r>
      <w:r w:rsidRPr="009E5B39">
        <w:rPr>
          <w:rFonts w:asciiTheme="majorHAnsi" w:hAnsiTheme="majorHAnsi" w:cstheme="majorHAnsi"/>
          <w:i/>
          <w:sz w:val="24"/>
          <w:szCs w:val="24"/>
          <w:lang w:val="ro-MD"/>
        </w:rPr>
        <w:t xml:space="preserve">liberarea </w:t>
      </w:r>
      <w:r w:rsidR="006A05FB" w:rsidRPr="009E5B39">
        <w:rPr>
          <w:rFonts w:asciiTheme="majorHAnsi" w:hAnsiTheme="majorHAnsi" w:cstheme="majorHAnsi"/>
          <w:i/>
          <w:sz w:val="24"/>
          <w:szCs w:val="24"/>
          <w:lang w:val="ro-MD"/>
        </w:rPr>
        <w:t xml:space="preserve">anual per angajat al ÎM AGSV </w:t>
      </w:r>
      <w:r w:rsidRPr="009E5B39">
        <w:rPr>
          <w:rFonts w:asciiTheme="majorHAnsi" w:hAnsiTheme="majorHAnsi" w:cstheme="majorHAnsi"/>
          <w:i/>
          <w:sz w:val="24"/>
          <w:szCs w:val="24"/>
          <w:lang w:val="ro-MD"/>
        </w:rPr>
        <w:t>a câte 15 m</w:t>
      </w:r>
      <w:r w:rsidRPr="009E5B39">
        <w:rPr>
          <w:rFonts w:asciiTheme="majorHAnsi" w:hAnsiTheme="majorHAnsi" w:cstheme="majorHAnsi"/>
          <w:i/>
          <w:sz w:val="24"/>
          <w:szCs w:val="24"/>
          <w:vertAlign w:val="superscript"/>
          <w:lang w:val="ro-MD"/>
        </w:rPr>
        <w:t>3</w:t>
      </w:r>
      <w:r w:rsidRPr="009E5B39">
        <w:rPr>
          <w:rFonts w:asciiTheme="majorHAnsi" w:hAnsiTheme="majorHAnsi" w:cstheme="majorHAnsi"/>
          <w:i/>
          <w:sz w:val="24"/>
          <w:szCs w:val="24"/>
          <w:lang w:val="ro-MD"/>
        </w:rPr>
        <w:t xml:space="preserve"> </w:t>
      </w:r>
      <w:r w:rsidR="006A05FB" w:rsidRPr="009E5B39">
        <w:rPr>
          <w:rFonts w:asciiTheme="majorHAnsi" w:hAnsiTheme="majorHAnsi" w:cstheme="majorHAnsi"/>
          <w:i/>
          <w:sz w:val="24"/>
          <w:szCs w:val="24"/>
          <w:lang w:val="ro-MD"/>
        </w:rPr>
        <w:t xml:space="preserve">de lemne </w:t>
      </w:r>
      <w:r w:rsidRPr="009E5B39">
        <w:rPr>
          <w:rFonts w:asciiTheme="majorHAnsi" w:hAnsiTheme="majorHAnsi" w:cstheme="majorHAnsi"/>
          <w:i/>
          <w:sz w:val="24"/>
          <w:szCs w:val="24"/>
          <w:lang w:val="ro-MD"/>
        </w:rPr>
        <w:t>nu este fundamentată din punct de vedere social-economic, pe motiv că familiilor social-vulnerabile, ale căror locuințe se încălzesc cu lemne, li se eliberează, în baza dispoziției primarului general, ajutor pentru sezonul rece, sub formă de lemne de foc în volum a câte 3m</w:t>
      </w:r>
      <w:r w:rsidRPr="009E5B39">
        <w:rPr>
          <w:rFonts w:asciiTheme="majorHAnsi" w:hAnsiTheme="majorHAnsi" w:cstheme="majorHAnsi"/>
          <w:i/>
          <w:sz w:val="24"/>
          <w:szCs w:val="24"/>
          <w:vertAlign w:val="superscript"/>
          <w:lang w:val="ro-MD"/>
        </w:rPr>
        <w:t>3</w:t>
      </w:r>
      <w:r w:rsidRPr="009E5B39">
        <w:rPr>
          <w:rFonts w:asciiTheme="majorHAnsi" w:hAnsiTheme="majorHAnsi" w:cstheme="majorHAnsi"/>
          <w:i/>
          <w:sz w:val="24"/>
          <w:szCs w:val="24"/>
          <w:lang w:val="ro-MD"/>
        </w:rPr>
        <w:t xml:space="preserve"> per familie</w:t>
      </w:r>
      <w:r w:rsidR="00780E8C" w:rsidRPr="009E5B39">
        <w:rPr>
          <w:rFonts w:asciiTheme="majorHAnsi" w:hAnsiTheme="majorHAnsi" w:cstheme="majorHAnsi"/>
          <w:i/>
          <w:sz w:val="24"/>
          <w:szCs w:val="24"/>
          <w:lang w:val="ro-MD"/>
        </w:rPr>
        <w:t xml:space="preserve"> </w:t>
      </w:r>
      <w:r w:rsidRPr="009E5B39">
        <w:rPr>
          <w:rFonts w:asciiTheme="majorHAnsi" w:hAnsiTheme="majorHAnsi" w:cstheme="majorHAnsi"/>
          <w:i/>
          <w:sz w:val="24"/>
          <w:szCs w:val="24"/>
          <w:lang w:val="ro-MD"/>
        </w:rPr>
        <w:t>(</w:t>
      </w:r>
      <w:r w:rsidRPr="009E5B39">
        <w:rPr>
          <w:rFonts w:asciiTheme="majorHAnsi" w:eastAsia="Calibri" w:hAnsiTheme="majorHAnsi" w:cstheme="majorHAnsi"/>
          <w:i/>
          <w:sz w:val="24"/>
          <w:szCs w:val="24"/>
          <w:lang w:val="ro-MD"/>
        </w:rPr>
        <w:t>pct.4.2.</w:t>
      </w:r>
      <w:r w:rsidR="004D75E0" w:rsidRPr="009E5B39">
        <w:rPr>
          <w:rFonts w:asciiTheme="majorHAnsi" w:eastAsia="Calibri" w:hAnsiTheme="majorHAnsi" w:cstheme="majorHAnsi"/>
          <w:i/>
          <w:sz w:val="24"/>
          <w:szCs w:val="24"/>
          <w:lang w:val="ro-MD"/>
        </w:rPr>
        <w:t>7</w:t>
      </w:r>
      <w:r w:rsidRPr="009E5B39">
        <w:rPr>
          <w:rFonts w:asciiTheme="majorHAnsi" w:eastAsia="Calibri" w:hAnsiTheme="majorHAnsi" w:cstheme="majorHAnsi"/>
          <w:i/>
          <w:sz w:val="24"/>
          <w:szCs w:val="24"/>
          <w:lang w:val="ro-MD"/>
        </w:rPr>
        <w:t>.);</w:t>
      </w:r>
    </w:p>
    <w:p w14:paraId="663541AF" w14:textId="24C37259"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 xml:space="preserve">DGLCA nu dispune de reglementări interne cu privire la modalitatea de procurare, eliberare și casare a materialelor transmise cu titlu gratuit ÎM fondate pentru prestarea serviciilor publice de către acestea, ceea ce creează riscul de fraudă ori </w:t>
      </w:r>
      <w:r w:rsidR="00780E8C" w:rsidRPr="009E5B39">
        <w:rPr>
          <w:rFonts w:asciiTheme="majorHAnsi" w:hAnsiTheme="majorHAnsi" w:cstheme="majorHAnsi"/>
          <w:i/>
          <w:sz w:val="24"/>
          <w:szCs w:val="24"/>
          <w:lang w:val="ro-MD"/>
        </w:rPr>
        <w:t xml:space="preserve">de </w:t>
      </w:r>
      <w:r w:rsidRPr="009E5B39">
        <w:rPr>
          <w:rFonts w:asciiTheme="majorHAnsi" w:hAnsiTheme="majorHAnsi" w:cstheme="majorHAnsi"/>
          <w:i/>
          <w:sz w:val="24"/>
          <w:szCs w:val="24"/>
          <w:lang w:val="ro-MD"/>
        </w:rPr>
        <w:t>utilizare de către ÎM a materialelor primite cu titlu gratuit și în alte scopuri (</w:t>
      </w:r>
      <w:r w:rsidRPr="009E5B39">
        <w:rPr>
          <w:rFonts w:asciiTheme="majorHAnsi" w:eastAsia="Calibri" w:hAnsiTheme="majorHAnsi" w:cstheme="majorHAnsi"/>
          <w:i/>
          <w:sz w:val="24"/>
          <w:szCs w:val="24"/>
          <w:lang w:val="ro-MD"/>
        </w:rPr>
        <w:t>pct.4.2.</w:t>
      </w:r>
      <w:r w:rsidR="004D75E0" w:rsidRPr="009E5B39">
        <w:rPr>
          <w:rFonts w:asciiTheme="majorHAnsi" w:eastAsia="Calibri" w:hAnsiTheme="majorHAnsi" w:cstheme="majorHAnsi"/>
          <w:i/>
          <w:sz w:val="24"/>
          <w:szCs w:val="24"/>
          <w:lang w:val="ro-MD"/>
        </w:rPr>
        <w:t>8</w:t>
      </w:r>
      <w:r w:rsidRPr="009E5B39">
        <w:rPr>
          <w:rFonts w:asciiTheme="majorHAnsi" w:eastAsia="Calibri" w:hAnsiTheme="majorHAnsi" w:cstheme="majorHAnsi"/>
          <w:i/>
          <w:sz w:val="24"/>
          <w:szCs w:val="24"/>
          <w:lang w:val="ro-MD"/>
        </w:rPr>
        <w:t>.);</w:t>
      </w:r>
    </w:p>
    <w:p w14:paraId="2425C638" w14:textId="5FBCA4A2"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eastAsia="Times New Roman" w:hAnsiTheme="majorHAnsi" w:cstheme="majorHAnsi"/>
          <w:i/>
          <w:sz w:val="24"/>
          <w:szCs w:val="24"/>
          <w:lang w:val="ro-MD" w:bidi="bo-CN"/>
        </w:rPr>
        <w:t xml:space="preserve">În lipsa unor reglementări clare, care ar explica modalitatea de selectare a obiectivelor privatizate la care urmează a fi executate lucrări de reparație curentă/capitală/renovare, din sursele bugetului municipal; </w:t>
      </w:r>
      <w:r w:rsidR="00653984" w:rsidRPr="009E5B39">
        <w:rPr>
          <w:rFonts w:asciiTheme="majorHAnsi" w:eastAsia="Times New Roman" w:hAnsiTheme="majorHAnsi" w:cstheme="majorHAnsi"/>
          <w:i/>
          <w:sz w:val="24"/>
          <w:szCs w:val="24"/>
          <w:lang w:val="ro-MD" w:bidi="bo-CN"/>
        </w:rPr>
        <w:t xml:space="preserve">criteriilor </w:t>
      </w:r>
      <w:r w:rsidRPr="009E5B39">
        <w:rPr>
          <w:rFonts w:asciiTheme="majorHAnsi" w:eastAsia="Times New Roman" w:hAnsiTheme="majorHAnsi" w:cstheme="majorHAnsi"/>
          <w:i/>
          <w:sz w:val="24"/>
          <w:szCs w:val="24"/>
          <w:lang w:val="ro-MD" w:bidi="bo-CN"/>
        </w:rPr>
        <w:t>de selectare a beneficiarilor; cuantumul</w:t>
      </w:r>
      <w:r w:rsidR="009C124D" w:rsidRPr="009E5B39">
        <w:rPr>
          <w:rFonts w:asciiTheme="majorHAnsi" w:eastAsia="Times New Roman" w:hAnsiTheme="majorHAnsi" w:cstheme="majorHAnsi"/>
          <w:i/>
          <w:sz w:val="24"/>
          <w:szCs w:val="24"/>
          <w:lang w:val="ro-MD" w:bidi="bo-CN"/>
        </w:rPr>
        <w:t>ui</w:t>
      </w:r>
      <w:r w:rsidRPr="009E5B39">
        <w:rPr>
          <w:rFonts w:asciiTheme="majorHAnsi" w:eastAsia="Times New Roman" w:hAnsiTheme="majorHAnsi" w:cstheme="majorHAnsi"/>
          <w:i/>
          <w:sz w:val="24"/>
          <w:szCs w:val="24"/>
          <w:lang w:val="ro-MD" w:bidi="bo-CN"/>
        </w:rPr>
        <w:t xml:space="preserve"> maximal al cheltuielilor suportate din bugetul municipal și calific</w:t>
      </w:r>
      <w:r w:rsidR="009C124D" w:rsidRPr="009E5B39">
        <w:rPr>
          <w:rFonts w:asciiTheme="majorHAnsi" w:eastAsia="Times New Roman" w:hAnsiTheme="majorHAnsi" w:cstheme="majorHAnsi"/>
          <w:i/>
          <w:sz w:val="24"/>
          <w:szCs w:val="24"/>
          <w:lang w:val="ro-MD" w:bidi="bo-CN"/>
        </w:rPr>
        <w:t>ării</w:t>
      </w:r>
      <w:r w:rsidRPr="009E5B39">
        <w:rPr>
          <w:rFonts w:asciiTheme="majorHAnsi" w:eastAsia="Times New Roman" w:hAnsiTheme="majorHAnsi" w:cstheme="majorHAnsi"/>
          <w:i/>
          <w:sz w:val="24"/>
          <w:szCs w:val="24"/>
          <w:lang w:val="ro-MD" w:bidi="bo-CN"/>
        </w:rPr>
        <w:t xml:space="preserve"> conform</w:t>
      </w:r>
      <w:r w:rsidR="009C124D" w:rsidRPr="009E5B39">
        <w:rPr>
          <w:rFonts w:asciiTheme="majorHAnsi" w:eastAsia="Times New Roman" w:hAnsiTheme="majorHAnsi" w:cstheme="majorHAnsi"/>
          <w:i/>
          <w:sz w:val="24"/>
          <w:szCs w:val="24"/>
          <w:lang w:val="ro-MD" w:bidi="bo-CN"/>
        </w:rPr>
        <w:t>e</w:t>
      </w:r>
      <w:r w:rsidRPr="009E5B39">
        <w:rPr>
          <w:rFonts w:asciiTheme="majorHAnsi" w:eastAsia="Times New Roman" w:hAnsiTheme="majorHAnsi" w:cstheme="majorHAnsi"/>
          <w:i/>
          <w:sz w:val="24"/>
          <w:szCs w:val="24"/>
          <w:lang w:val="ro-MD" w:bidi="bo-CN"/>
        </w:rPr>
        <w:t xml:space="preserve"> a cheltuielilor executate (reparații curente, reparații capitale, ajutor social, etc.), DGLCA contractează și achită servicii de reparație curentă și capital</w:t>
      </w:r>
      <w:r w:rsidR="009C124D" w:rsidRPr="009E5B39">
        <w:rPr>
          <w:rFonts w:asciiTheme="majorHAnsi" w:eastAsia="Times New Roman" w:hAnsiTheme="majorHAnsi" w:cstheme="majorHAnsi"/>
          <w:i/>
          <w:sz w:val="24"/>
          <w:szCs w:val="24"/>
          <w:lang w:val="ro-MD" w:bidi="bo-CN"/>
        </w:rPr>
        <w:t>ă</w:t>
      </w:r>
      <w:r w:rsidRPr="009E5B39">
        <w:rPr>
          <w:rFonts w:asciiTheme="majorHAnsi" w:eastAsia="Times New Roman" w:hAnsiTheme="majorHAnsi" w:cstheme="majorHAnsi"/>
          <w:i/>
          <w:sz w:val="24"/>
          <w:szCs w:val="24"/>
          <w:lang w:val="ro-MD" w:bidi="bo-CN"/>
        </w:rPr>
        <w:t xml:space="preserve"> a bunurilor imobile care nu constituie proprietate publică a UAT mun. Chișinău. Numai în anul 2020 aceste cheltuieli au </w:t>
      </w:r>
      <w:r w:rsidR="009C124D" w:rsidRPr="009E5B39">
        <w:rPr>
          <w:rFonts w:asciiTheme="majorHAnsi" w:eastAsia="Times New Roman" w:hAnsiTheme="majorHAnsi" w:cstheme="majorHAnsi"/>
          <w:i/>
          <w:sz w:val="24"/>
          <w:szCs w:val="24"/>
          <w:lang w:val="ro-MD" w:bidi="bo-CN"/>
        </w:rPr>
        <w:t>însumat</w:t>
      </w:r>
      <w:r w:rsidRPr="009E5B39">
        <w:rPr>
          <w:rFonts w:asciiTheme="majorHAnsi" w:eastAsia="Times New Roman" w:hAnsiTheme="majorHAnsi" w:cstheme="majorHAnsi"/>
          <w:i/>
          <w:sz w:val="24"/>
          <w:szCs w:val="24"/>
          <w:lang w:val="ro-MD" w:bidi="bo-CN"/>
        </w:rPr>
        <w:t xml:space="preserve"> 2</w:t>
      </w:r>
      <w:r w:rsidR="00C62586" w:rsidRPr="009E5B39">
        <w:rPr>
          <w:rFonts w:asciiTheme="majorHAnsi" w:eastAsia="Times New Roman" w:hAnsiTheme="majorHAnsi" w:cstheme="majorHAnsi"/>
          <w:i/>
          <w:sz w:val="24"/>
          <w:szCs w:val="24"/>
          <w:lang w:val="ro-MD" w:bidi="bo-CN"/>
        </w:rPr>
        <w:t>,</w:t>
      </w:r>
      <w:r w:rsidRPr="009E5B39">
        <w:rPr>
          <w:rFonts w:asciiTheme="majorHAnsi" w:eastAsia="Times New Roman" w:hAnsiTheme="majorHAnsi" w:cstheme="majorHAnsi"/>
          <w:i/>
          <w:sz w:val="24"/>
          <w:szCs w:val="24"/>
          <w:lang w:val="ro-MD" w:bidi="bo-CN"/>
        </w:rPr>
        <w:t>29 mi</w:t>
      </w:r>
      <w:r w:rsidR="00C62586" w:rsidRPr="009E5B39">
        <w:rPr>
          <w:rFonts w:asciiTheme="majorHAnsi" w:eastAsia="Times New Roman" w:hAnsiTheme="majorHAnsi" w:cstheme="majorHAnsi"/>
          <w:i/>
          <w:sz w:val="24"/>
          <w:szCs w:val="24"/>
          <w:lang w:val="ro-MD" w:bidi="bo-CN"/>
        </w:rPr>
        <w:t>l</w:t>
      </w:r>
      <w:r w:rsidR="009C124D" w:rsidRPr="009E5B39">
        <w:rPr>
          <w:rFonts w:asciiTheme="majorHAnsi" w:eastAsia="Times New Roman" w:hAnsiTheme="majorHAnsi" w:cstheme="majorHAnsi"/>
          <w:i/>
          <w:sz w:val="24"/>
          <w:szCs w:val="24"/>
          <w:lang w:val="ro-MD" w:bidi="bo-CN"/>
        </w:rPr>
        <w:t>.</w:t>
      </w:r>
      <w:r w:rsidRPr="009E5B39">
        <w:rPr>
          <w:rFonts w:asciiTheme="majorHAnsi" w:eastAsia="Times New Roman" w:hAnsiTheme="majorHAnsi" w:cstheme="majorHAnsi"/>
          <w:i/>
          <w:sz w:val="24"/>
          <w:szCs w:val="24"/>
          <w:lang w:val="ro-MD" w:bidi="bo-CN"/>
        </w:rPr>
        <w:t>lei. La finisarea lucrărilor executate nu sunt întocmite acte de transmitere a lucrărilor executate beneficiarului (proprietarului apartamentului reparat, administratorului blocului de locuit, etc.), astfel ne</w:t>
      </w:r>
      <w:r w:rsidR="009C124D" w:rsidRPr="009E5B39">
        <w:rPr>
          <w:rFonts w:asciiTheme="majorHAnsi" w:eastAsia="Times New Roman" w:hAnsiTheme="majorHAnsi" w:cstheme="majorHAnsi"/>
          <w:i/>
          <w:sz w:val="24"/>
          <w:szCs w:val="24"/>
          <w:lang w:val="ro-MD" w:bidi="bo-CN"/>
        </w:rPr>
        <w:t>cunoscându-se</w:t>
      </w:r>
      <w:r w:rsidRPr="009E5B39">
        <w:rPr>
          <w:rFonts w:asciiTheme="majorHAnsi" w:eastAsia="Times New Roman" w:hAnsiTheme="majorHAnsi" w:cstheme="majorHAnsi"/>
          <w:i/>
          <w:sz w:val="24"/>
          <w:szCs w:val="24"/>
          <w:lang w:val="ro-MD" w:bidi="bo-CN"/>
        </w:rPr>
        <w:t xml:space="preserve"> cui i </w:t>
      </w:r>
      <w:r w:rsidR="004318BB" w:rsidRPr="009E5B39">
        <w:rPr>
          <w:rFonts w:asciiTheme="majorHAnsi" w:eastAsia="Times New Roman" w:hAnsiTheme="majorHAnsi" w:cstheme="majorHAnsi"/>
          <w:i/>
          <w:sz w:val="24"/>
          <w:szCs w:val="24"/>
          <w:lang w:val="ro-MD" w:bidi="bo-CN"/>
        </w:rPr>
        <w:t xml:space="preserve">      </w:t>
      </w:r>
      <w:r w:rsidRPr="009E5B39">
        <w:rPr>
          <w:rFonts w:asciiTheme="majorHAnsi" w:eastAsia="Times New Roman" w:hAnsiTheme="majorHAnsi" w:cstheme="majorHAnsi"/>
          <w:i/>
          <w:sz w:val="24"/>
          <w:szCs w:val="24"/>
          <w:lang w:val="ro-MD" w:bidi="bo-CN"/>
        </w:rPr>
        <w:t xml:space="preserve">s-au prestat serviciile menționate și din ce categorie de beneficiari face parte (în cazul persoanelor defavorizate). Totodată, nu sunt </w:t>
      </w:r>
      <w:r w:rsidR="004318BB" w:rsidRPr="009E5B39">
        <w:rPr>
          <w:rFonts w:asciiTheme="majorHAnsi" w:eastAsia="Times New Roman" w:hAnsiTheme="majorHAnsi" w:cstheme="majorHAnsi"/>
          <w:i/>
          <w:sz w:val="24"/>
          <w:szCs w:val="24"/>
          <w:lang w:val="ro-MD" w:bidi="bo-CN"/>
        </w:rPr>
        <w:t xml:space="preserve">clare </w:t>
      </w:r>
      <w:r w:rsidRPr="009E5B39">
        <w:rPr>
          <w:rFonts w:asciiTheme="majorHAnsi" w:eastAsia="Times New Roman" w:hAnsiTheme="majorHAnsi" w:cstheme="majorHAnsi"/>
          <w:i/>
          <w:sz w:val="24"/>
          <w:szCs w:val="24"/>
          <w:lang w:val="ro-MD" w:bidi="bo-CN"/>
        </w:rPr>
        <w:t xml:space="preserve">obligațiunile ÎMGFL-urilor referitor la reparațiile în blocurile locative. Toate acestea creează riscul de utilizare neregulamentară a </w:t>
      </w:r>
      <w:r w:rsidR="006A05FB" w:rsidRPr="009E5B39">
        <w:rPr>
          <w:rFonts w:asciiTheme="majorHAnsi" w:eastAsia="Times New Roman" w:hAnsiTheme="majorHAnsi" w:cstheme="majorHAnsi"/>
          <w:i/>
          <w:sz w:val="24"/>
          <w:szCs w:val="24"/>
          <w:lang w:val="ro-MD" w:bidi="bo-CN"/>
        </w:rPr>
        <w:t xml:space="preserve">mijloacelor </w:t>
      </w:r>
      <w:r w:rsidRPr="009E5B39">
        <w:rPr>
          <w:rFonts w:asciiTheme="majorHAnsi" w:eastAsia="Times New Roman" w:hAnsiTheme="majorHAnsi" w:cstheme="majorHAnsi"/>
          <w:i/>
          <w:sz w:val="24"/>
          <w:szCs w:val="24"/>
          <w:lang w:val="ro-MD" w:bidi="bo-CN"/>
        </w:rPr>
        <w:t xml:space="preserve">din bugetul municipal </w:t>
      </w:r>
      <w:r w:rsidRPr="009E5B39">
        <w:rPr>
          <w:rFonts w:asciiTheme="majorHAnsi" w:hAnsiTheme="majorHAnsi" w:cstheme="majorHAnsi"/>
          <w:i/>
          <w:sz w:val="24"/>
          <w:szCs w:val="24"/>
          <w:lang w:val="ro-MD"/>
        </w:rPr>
        <w:t>(</w:t>
      </w:r>
      <w:r w:rsidRPr="009E5B39">
        <w:rPr>
          <w:rFonts w:asciiTheme="majorHAnsi" w:eastAsia="Calibri" w:hAnsiTheme="majorHAnsi" w:cstheme="majorHAnsi"/>
          <w:i/>
          <w:sz w:val="24"/>
          <w:szCs w:val="24"/>
          <w:lang w:val="ro-MD"/>
        </w:rPr>
        <w:t>pct.4.2.</w:t>
      </w:r>
      <w:r w:rsidR="004D75E0" w:rsidRPr="009E5B39">
        <w:rPr>
          <w:rFonts w:asciiTheme="majorHAnsi" w:eastAsia="Calibri" w:hAnsiTheme="majorHAnsi" w:cstheme="majorHAnsi"/>
          <w:i/>
          <w:sz w:val="24"/>
          <w:szCs w:val="24"/>
          <w:lang w:val="ro-MD"/>
        </w:rPr>
        <w:t>9</w:t>
      </w:r>
      <w:r w:rsidRPr="009E5B39">
        <w:rPr>
          <w:rFonts w:asciiTheme="majorHAnsi" w:eastAsia="Calibri" w:hAnsiTheme="majorHAnsi" w:cstheme="majorHAnsi"/>
          <w:i/>
          <w:sz w:val="24"/>
          <w:szCs w:val="24"/>
          <w:lang w:val="ro-MD"/>
        </w:rPr>
        <w:t>.);</w:t>
      </w:r>
    </w:p>
    <w:p w14:paraId="73DB8647" w14:textId="6304C4CC" w:rsidR="004D3847" w:rsidRPr="009E5B39" w:rsidRDefault="008A480D">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 xml:space="preserve">APL </w:t>
      </w:r>
      <w:r w:rsidR="00FB3E2D" w:rsidRPr="009E5B39">
        <w:rPr>
          <w:rFonts w:asciiTheme="majorHAnsi" w:hAnsiTheme="majorHAnsi" w:cstheme="majorHAnsi"/>
          <w:i/>
          <w:sz w:val="24"/>
          <w:szCs w:val="24"/>
          <w:lang w:val="ro-MD"/>
        </w:rPr>
        <w:t xml:space="preserve">a </w:t>
      </w:r>
      <w:r w:rsidRPr="009E5B39">
        <w:rPr>
          <w:rFonts w:asciiTheme="majorHAnsi" w:hAnsiTheme="majorHAnsi" w:cstheme="majorHAnsi"/>
          <w:i/>
          <w:sz w:val="24"/>
          <w:szCs w:val="24"/>
          <w:lang w:val="ro-MD"/>
        </w:rPr>
        <w:t xml:space="preserve">mun. Chișinău a </w:t>
      </w:r>
      <w:r w:rsidR="00BF1C31" w:rsidRPr="009E5B39">
        <w:rPr>
          <w:rFonts w:asciiTheme="majorHAnsi" w:hAnsiTheme="majorHAnsi" w:cstheme="majorHAnsi"/>
          <w:i/>
          <w:sz w:val="24"/>
          <w:szCs w:val="24"/>
          <w:lang w:val="ro-MD"/>
        </w:rPr>
        <w:t>suportat cheltuieli în sumă totală de 10,54 mil</w:t>
      </w:r>
      <w:r w:rsidR="004318BB" w:rsidRPr="009E5B39">
        <w:rPr>
          <w:rFonts w:asciiTheme="majorHAnsi" w:hAnsiTheme="majorHAnsi" w:cstheme="majorHAnsi"/>
          <w:i/>
          <w:sz w:val="24"/>
          <w:szCs w:val="24"/>
          <w:lang w:val="ro-MD"/>
        </w:rPr>
        <w:t>.</w:t>
      </w:r>
      <w:r w:rsidR="00BF1C31" w:rsidRPr="009E5B39">
        <w:rPr>
          <w:rFonts w:asciiTheme="majorHAnsi" w:hAnsiTheme="majorHAnsi" w:cstheme="majorHAnsi"/>
          <w:i/>
          <w:sz w:val="24"/>
          <w:szCs w:val="24"/>
          <w:lang w:val="ro-MD"/>
        </w:rPr>
        <w:t xml:space="preserve"> lei ca urmare a nerestituirii de către</w:t>
      </w:r>
      <w:r w:rsidRPr="009E5B39">
        <w:rPr>
          <w:rFonts w:asciiTheme="majorHAnsi" w:hAnsiTheme="majorHAnsi" w:cstheme="majorHAnsi"/>
          <w:i/>
          <w:sz w:val="24"/>
          <w:szCs w:val="24"/>
          <w:lang w:val="ro-MD"/>
        </w:rPr>
        <w:t xml:space="preserve"> ÎM GFL-uri </w:t>
      </w:r>
      <w:r w:rsidR="00BF1C31" w:rsidRPr="009E5B39">
        <w:rPr>
          <w:rFonts w:asciiTheme="majorHAnsi" w:hAnsiTheme="majorHAnsi" w:cstheme="majorHAnsi"/>
          <w:i/>
          <w:sz w:val="24"/>
          <w:szCs w:val="24"/>
          <w:lang w:val="ro-MD"/>
        </w:rPr>
        <w:t>a împrumuturilor contractate de acestea</w:t>
      </w:r>
      <w:r w:rsidR="004318BB" w:rsidRPr="009E5B39">
        <w:rPr>
          <w:rFonts w:asciiTheme="majorHAnsi" w:hAnsiTheme="majorHAnsi" w:cstheme="majorHAnsi"/>
          <w:i/>
          <w:sz w:val="24"/>
          <w:szCs w:val="24"/>
          <w:lang w:val="ro-MD"/>
        </w:rPr>
        <w:t>,</w:t>
      </w:r>
      <w:r w:rsidR="00BF1C31" w:rsidRPr="009E5B39">
        <w:rPr>
          <w:rFonts w:asciiTheme="majorHAnsi" w:hAnsiTheme="majorHAnsi" w:cstheme="majorHAnsi"/>
          <w:i/>
          <w:sz w:val="24"/>
          <w:szCs w:val="24"/>
          <w:lang w:val="ro-MD"/>
        </w:rPr>
        <w:t xml:space="preserve"> garantate de către CMC </w:t>
      </w:r>
      <w:r w:rsidR="004D3847" w:rsidRPr="009E5B39">
        <w:rPr>
          <w:rFonts w:asciiTheme="majorHAnsi" w:hAnsiTheme="majorHAnsi" w:cstheme="majorHAnsi"/>
          <w:i/>
          <w:sz w:val="24"/>
          <w:szCs w:val="24"/>
          <w:lang w:val="ro-MD"/>
        </w:rPr>
        <w:t>(</w:t>
      </w:r>
      <w:r w:rsidR="004D3847" w:rsidRPr="009E5B39">
        <w:rPr>
          <w:rFonts w:asciiTheme="majorHAnsi" w:eastAsia="Calibri" w:hAnsiTheme="majorHAnsi" w:cstheme="majorHAnsi"/>
          <w:i/>
          <w:sz w:val="24"/>
          <w:szCs w:val="24"/>
          <w:lang w:val="ro-MD"/>
        </w:rPr>
        <w:t>pct.4.2.</w:t>
      </w:r>
      <w:r w:rsidR="004D75E0" w:rsidRPr="009E5B39">
        <w:rPr>
          <w:rFonts w:asciiTheme="majorHAnsi" w:eastAsia="Calibri" w:hAnsiTheme="majorHAnsi" w:cstheme="majorHAnsi"/>
          <w:i/>
          <w:sz w:val="24"/>
          <w:szCs w:val="24"/>
          <w:lang w:val="ro-MD"/>
        </w:rPr>
        <w:t>10</w:t>
      </w:r>
      <w:r w:rsidR="004D3847" w:rsidRPr="009E5B39">
        <w:rPr>
          <w:rFonts w:asciiTheme="majorHAnsi" w:eastAsia="Calibri" w:hAnsiTheme="majorHAnsi" w:cstheme="majorHAnsi"/>
          <w:i/>
          <w:sz w:val="24"/>
          <w:szCs w:val="24"/>
          <w:lang w:val="ro-MD"/>
        </w:rPr>
        <w:t>.)</w:t>
      </w:r>
      <w:r w:rsidR="004318BB" w:rsidRPr="009E5B39">
        <w:rPr>
          <w:rFonts w:asciiTheme="majorHAnsi" w:hAnsiTheme="majorHAnsi" w:cstheme="majorHAnsi"/>
          <w:i/>
          <w:sz w:val="24"/>
          <w:szCs w:val="24"/>
          <w:lang w:val="ro-MD"/>
        </w:rPr>
        <w:t>;</w:t>
      </w:r>
      <w:r w:rsidRPr="009E5B39">
        <w:rPr>
          <w:rFonts w:asciiTheme="majorHAnsi" w:hAnsiTheme="majorHAnsi" w:cstheme="majorHAnsi"/>
          <w:bCs/>
          <w:i/>
          <w:sz w:val="24"/>
          <w:szCs w:val="24"/>
          <w:shd w:val="clear" w:color="auto" w:fill="FFFFFF"/>
          <w:lang w:val="ro-MD"/>
        </w:rPr>
        <w:t xml:space="preserve"> </w:t>
      </w:r>
    </w:p>
    <w:p w14:paraId="58321E8B" w14:textId="48FEC02B"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bCs/>
          <w:i/>
          <w:sz w:val="24"/>
          <w:szCs w:val="24"/>
          <w:shd w:val="clear" w:color="auto" w:fill="FFFFFF"/>
          <w:lang w:val="ro-MD"/>
        </w:rPr>
        <w:t>Primăria mun. Chișinău a suportat cheltuieli ineficiente în sumă totală de 5</w:t>
      </w:r>
      <w:r w:rsidR="00C62586" w:rsidRPr="009E5B39">
        <w:rPr>
          <w:rFonts w:asciiTheme="majorHAnsi" w:hAnsiTheme="majorHAnsi" w:cstheme="majorHAnsi"/>
          <w:bCs/>
          <w:i/>
          <w:sz w:val="24"/>
          <w:szCs w:val="24"/>
          <w:shd w:val="clear" w:color="auto" w:fill="FFFFFF"/>
          <w:lang w:val="ro-MD"/>
        </w:rPr>
        <w:t>,</w:t>
      </w:r>
      <w:r w:rsidRPr="009E5B39">
        <w:rPr>
          <w:rFonts w:asciiTheme="majorHAnsi" w:hAnsiTheme="majorHAnsi" w:cstheme="majorHAnsi"/>
          <w:bCs/>
          <w:i/>
          <w:sz w:val="24"/>
          <w:szCs w:val="24"/>
          <w:shd w:val="clear" w:color="auto" w:fill="FFFFFF"/>
          <w:lang w:val="ro-MD"/>
        </w:rPr>
        <w:t>67 mi</w:t>
      </w:r>
      <w:r w:rsidR="00C62586" w:rsidRPr="009E5B39">
        <w:rPr>
          <w:rFonts w:asciiTheme="majorHAnsi" w:hAnsiTheme="majorHAnsi" w:cstheme="majorHAnsi"/>
          <w:bCs/>
          <w:i/>
          <w:sz w:val="24"/>
          <w:szCs w:val="24"/>
          <w:shd w:val="clear" w:color="auto" w:fill="FFFFFF"/>
          <w:lang w:val="ro-MD"/>
        </w:rPr>
        <w:t>l</w:t>
      </w:r>
      <w:r w:rsidR="004318BB" w:rsidRPr="009E5B39">
        <w:rPr>
          <w:rFonts w:asciiTheme="majorHAnsi" w:hAnsiTheme="majorHAnsi" w:cstheme="majorHAnsi"/>
          <w:bCs/>
          <w:i/>
          <w:sz w:val="24"/>
          <w:szCs w:val="24"/>
          <w:shd w:val="clear" w:color="auto" w:fill="FFFFFF"/>
          <w:lang w:val="ro-MD"/>
        </w:rPr>
        <w:t>.</w:t>
      </w:r>
      <w:r w:rsidRPr="009E5B39">
        <w:rPr>
          <w:rFonts w:asciiTheme="majorHAnsi" w:hAnsiTheme="majorHAnsi" w:cstheme="majorHAnsi"/>
          <w:bCs/>
          <w:i/>
          <w:sz w:val="24"/>
          <w:szCs w:val="24"/>
          <w:shd w:val="clear" w:color="auto" w:fill="FFFFFF"/>
          <w:lang w:val="ro-MD"/>
        </w:rPr>
        <w:t xml:space="preserve"> lei (sau 287,40 mii </w:t>
      </w:r>
      <w:r w:rsidR="00FB3E2D" w:rsidRPr="009E5B39">
        <w:rPr>
          <w:rFonts w:asciiTheme="majorHAnsi" w:hAnsiTheme="majorHAnsi" w:cstheme="majorHAnsi"/>
          <w:bCs/>
          <w:i/>
          <w:sz w:val="24"/>
          <w:szCs w:val="24"/>
          <w:shd w:val="clear" w:color="auto" w:fill="FFFFFF"/>
          <w:lang w:val="ro-MD"/>
        </w:rPr>
        <w:t>e</w:t>
      </w:r>
      <w:r w:rsidRPr="009E5B39">
        <w:rPr>
          <w:rFonts w:asciiTheme="majorHAnsi" w:hAnsiTheme="majorHAnsi" w:cstheme="majorHAnsi"/>
          <w:bCs/>
          <w:i/>
          <w:sz w:val="24"/>
          <w:szCs w:val="24"/>
          <w:shd w:val="clear" w:color="auto" w:fill="FFFFFF"/>
          <w:lang w:val="ro-MD"/>
        </w:rPr>
        <w:t xml:space="preserve">uro), echivalentul comisioanelor achitate pentru nedebursarea </w:t>
      </w:r>
      <w:r w:rsidR="00373ED5" w:rsidRPr="009E5B39">
        <w:rPr>
          <w:rFonts w:asciiTheme="majorHAnsi" w:hAnsiTheme="majorHAnsi" w:cstheme="majorHAnsi"/>
          <w:bCs/>
          <w:i/>
          <w:sz w:val="24"/>
          <w:szCs w:val="24"/>
          <w:shd w:val="clear" w:color="auto" w:fill="FFFFFF"/>
          <w:lang w:val="ro-MD"/>
        </w:rPr>
        <w:t>în termenul prevăzut în contract</w:t>
      </w:r>
      <w:r w:rsidR="00373ED5" w:rsidRPr="009E5B39">
        <w:rPr>
          <w:rFonts w:asciiTheme="majorHAnsi" w:hAnsiTheme="majorHAnsi" w:cstheme="majorHAnsi"/>
          <w:i/>
          <w:sz w:val="24"/>
          <w:szCs w:val="24"/>
          <w:shd w:val="clear" w:color="auto" w:fill="FFFFFF"/>
          <w:lang w:val="ro-MD"/>
        </w:rPr>
        <w:t xml:space="preserve"> a </w:t>
      </w:r>
      <w:r w:rsidRPr="009E5B39">
        <w:rPr>
          <w:rFonts w:asciiTheme="majorHAnsi" w:hAnsiTheme="majorHAnsi" w:cstheme="majorHAnsi"/>
          <w:bCs/>
          <w:i/>
          <w:sz w:val="24"/>
          <w:szCs w:val="24"/>
          <w:shd w:val="clear" w:color="auto" w:fill="FFFFFF"/>
          <w:lang w:val="ro-MD"/>
        </w:rPr>
        <w:t xml:space="preserve">sumei creditelor </w:t>
      </w:r>
      <w:r w:rsidR="00041490" w:rsidRPr="009E5B39">
        <w:rPr>
          <w:rFonts w:asciiTheme="majorHAnsi" w:hAnsiTheme="majorHAnsi" w:cstheme="majorHAnsi"/>
          <w:bCs/>
          <w:i/>
          <w:sz w:val="24"/>
          <w:szCs w:val="24"/>
          <w:shd w:val="clear" w:color="auto" w:fill="FFFFFF"/>
          <w:lang w:val="ro-MD"/>
        </w:rPr>
        <w:t>contractate de la</w:t>
      </w:r>
      <w:r w:rsidR="004318BB" w:rsidRPr="009E5B39">
        <w:rPr>
          <w:rFonts w:asciiTheme="majorHAnsi" w:hAnsiTheme="majorHAnsi" w:cstheme="majorHAnsi"/>
          <w:bCs/>
          <w:i/>
          <w:sz w:val="24"/>
          <w:szCs w:val="24"/>
          <w:shd w:val="clear" w:color="auto" w:fill="FFFFFF"/>
          <w:lang w:val="ro-MD"/>
        </w:rPr>
        <w:t xml:space="preserve"> </w:t>
      </w:r>
      <w:r w:rsidRPr="009E5B39">
        <w:rPr>
          <w:rFonts w:asciiTheme="majorHAnsi" w:hAnsiTheme="majorHAnsi" w:cstheme="majorHAnsi"/>
          <w:bCs/>
          <w:i/>
          <w:sz w:val="24"/>
          <w:szCs w:val="24"/>
          <w:shd w:val="clear" w:color="auto" w:fill="FFFFFF"/>
          <w:lang w:val="ro-MD"/>
        </w:rPr>
        <w:t xml:space="preserve">BEI și BERD pentru </w:t>
      </w:r>
      <w:r w:rsidRPr="009E5B39">
        <w:rPr>
          <w:rFonts w:asciiTheme="majorHAnsi" w:hAnsiTheme="majorHAnsi" w:cstheme="majorHAnsi"/>
          <w:i/>
          <w:sz w:val="24"/>
          <w:szCs w:val="24"/>
          <w:shd w:val="clear" w:color="auto" w:fill="FFFFFF"/>
          <w:lang w:val="ro-MD"/>
        </w:rPr>
        <w:t xml:space="preserve">implementarea </w:t>
      </w:r>
      <w:r w:rsidR="00D24DCF" w:rsidRPr="009E5B39">
        <w:rPr>
          <w:rFonts w:asciiTheme="majorHAnsi" w:hAnsiTheme="majorHAnsi" w:cstheme="majorHAnsi"/>
          <w:i/>
          <w:sz w:val="24"/>
          <w:szCs w:val="24"/>
          <w:shd w:val="clear" w:color="auto" w:fill="FFFFFF"/>
          <w:lang w:val="ro-MD"/>
        </w:rPr>
        <w:t>P</w:t>
      </w:r>
      <w:r w:rsidRPr="009E5B39">
        <w:rPr>
          <w:rFonts w:asciiTheme="majorHAnsi" w:hAnsiTheme="majorHAnsi" w:cstheme="majorHAnsi"/>
          <w:i/>
          <w:sz w:val="24"/>
          <w:szCs w:val="24"/>
          <w:shd w:val="clear" w:color="auto" w:fill="FFFFFF"/>
          <w:lang w:val="ro-MD"/>
        </w:rPr>
        <w:t>roiectului de eficiență energetică și izolare termică a clădirilor publice și a blocurilor locative din mun. Chișinău,</w:t>
      </w:r>
      <w:r w:rsidRPr="009E5B39">
        <w:rPr>
          <w:rFonts w:asciiTheme="majorHAnsi" w:hAnsiTheme="majorHAnsi" w:cstheme="majorHAnsi"/>
          <w:bCs/>
          <w:i/>
          <w:sz w:val="24"/>
          <w:szCs w:val="24"/>
          <w:shd w:val="clear" w:color="auto" w:fill="FFFFFF"/>
          <w:lang w:val="ro-MD"/>
        </w:rPr>
        <w:t xml:space="preserve"> </w:t>
      </w:r>
      <w:r w:rsidRPr="009E5B39">
        <w:rPr>
          <w:rFonts w:asciiTheme="majorHAnsi" w:hAnsiTheme="majorHAnsi" w:cstheme="majorHAnsi"/>
          <w:i/>
          <w:sz w:val="24"/>
          <w:szCs w:val="24"/>
          <w:shd w:val="clear" w:color="auto" w:fill="FFFFFF"/>
          <w:lang w:val="ro-MD"/>
        </w:rPr>
        <w:t xml:space="preserve"> </w:t>
      </w:r>
      <w:r w:rsidR="00373ED5" w:rsidRPr="009E5B39">
        <w:rPr>
          <w:rFonts w:asciiTheme="majorHAnsi" w:hAnsiTheme="majorHAnsi" w:cstheme="majorHAnsi"/>
          <w:i/>
          <w:sz w:val="24"/>
          <w:szCs w:val="24"/>
          <w:shd w:val="clear" w:color="auto" w:fill="FFFFFF"/>
          <w:lang w:val="ro-MD"/>
        </w:rPr>
        <w:t xml:space="preserve">al cărui </w:t>
      </w:r>
      <w:r w:rsidRPr="009E5B39">
        <w:rPr>
          <w:rFonts w:asciiTheme="majorHAnsi" w:hAnsiTheme="majorHAnsi" w:cstheme="majorHAnsi"/>
          <w:i/>
          <w:sz w:val="24"/>
          <w:szCs w:val="24"/>
          <w:shd w:val="clear" w:color="auto" w:fill="FFFFFF"/>
          <w:lang w:val="ro-MD"/>
        </w:rPr>
        <w:t>beneficiar</w:t>
      </w:r>
      <w:r w:rsidR="00373ED5" w:rsidRPr="009E5B39">
        <w:rPr>
          <w:rFonts w:asciiTheme="majorHAnsi" w:hAnsiTheme="majorHAnsi" w:cstheme="majorHAnsi"/>
          <w:i/>
          <w:sz w:val="24"/>
          <w:szCs w:val="24"/>
          <w:shd w:val="clear" w:color="auto" w:fill="FFFFFF"/>
          <w:lang w:val="ro-MD"/>
        </w:rPr>
        <w:t xml:space="preserve"> </w:t>
      </w:r>
      <w:r w:rsidRPr="009E5B39">
        <w:rPr>
          <w:rFonts w:asciiTheme="majorHAnsi" w:hAnsiTheme="majorHAnsi" w:cstheme="majorHAnsi"/>
          <w:i/>
          <w:sz w:val="24"/>
          <w:szCs w:val="24"/>
          <w:shd w:val="clear" w:color="auto" w:fill="FFFFFF"/>
          <w:lang w:val="ro-MD"/>
        </w:rPr>
        <w:t xml:space="preserve">este DGLCA </w:t>
      </w:r>
      <w:r w:rsidRPr="009E5B39">
        <w:rPr>
          <w:rFonts w:asciiTheme="majorHAnsi" w:hAnsiTheme="majorHAnsi" w:cstheme="majorHAnsi"/>
          <w:i/>
          <w:sz w:val="24"/>
          <w:szCs w:val="24"/>
          <w:lang w:val="ro-MD"/>
        </w:rPr>
        <w:t>(</w:t>
      </w:r>
      <w:r w:rsidRPr="009E5B39">
        <w:rPr>
          <w:rFonts w:asciiTheme="majorHAnsi" w:eastAsia="Calibri" w:hAnsiTheme="majorHAnsi" w:cstheme="majorHAnsi"/>
          <w:i/>
          <w:sz w:val="24"/>
          <w:szCs w:val="24"/>
          <w:lang w:val="ro-MD"/>
        </w:rPr>
        <w:t>pct.4.2.</w:t>
      </w:r>
      <w:r w:rsidR="004D75E0" w:rsidRPr="009E5B39">
        <w:rPr>
          <w:rFonts w:asciiTheme="majorHAnsi" w:eastAsia="Calibri" w:hAnsiTheme="majorHAnsi" w:cstheme="majorHAnsi"/>
          <w:i/>
          <w:sz w:val="24"/>
          <w:szCs w:val="24"/>
          <w:lang w:val="ro-MD"/>
        </w:rPr>
        <w:t>10</w:t>
      </w:r>
      <w:r w:rsidRPr="009E5B39">
        <w:rPr>
          <w:rFonts w:asciiTheme="majorHAnsi" w:eastAsia="Calibri" w:hAnsiTheme="majorHAnsi" w:cstheme="majorHAnsi"/>
          <w:i/>
          <w:sz w:val="24"/>
          <w:szCs w:val="24"/>
          <w:lang w:val="ro-MD"/>
        </w:rPr>
        <w:t>.);</w:t>
      </w:r>
    </w:p>
    <w:p w14:paraId="15CAB049" w14:textId="0C9C49B4"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 xml:space="preserve">APL nu a asigurat </w:t>
      </w:r>
      <w:r w:rsidR="006A05FB" w:rsidRPr="009E5B39">
        <w:rPr>
          <w:rFonts w:asciiTheme="majorHAnsi" w:hAnsiTheme="majorHAnsi" w:cstheme="majorHAnsi"/>
          <w:i/>
          <w:sz w:val="24"/>
          <w:szCs w:val="24"/>
          <w:lang w:val="ro-MD"/>
        </w:rPr>
        <w:t>evaluarea volumului efectiv de muncă</w:t>
      </w:r>
      <w:r w:rsidR="006A05FB" w:rsidRPr="009E5B39">
        <w:rPr>
          <w:rFonts w:asciiTheme="majorHAnsi" w:hAnsiTheme="majorHAnsi" w:cstheme="majorHAnsi"/>
          <w:b/>
          <w:sz w:val="24"/>
          <w:szCs w:val="24"/>
          <w:lang w:val="ro-MD"/>
        </w:rPr>
        <w:t xml:space="preserve"> </w:t>
      </w:r>
      <w:r w:rsidR="006A05FB" w:rsidRPr="009E5B39">
        <w:rPr>
          <w:rFonts w:asciiTheme="majorHAnsi" w:hAnsiTheme="majorHAnsi" w:cstheme="majorHAnsi"/>
          <w:i/>
          <w:sz w:val="24"/>
          <w:szCs w:val="24"/>
          <w:lang w:val="ro-MD"/>
        </w:rPr>
        <w:t xml:space="preserve">și </w:t>
      </w:r>
      <w:r w:rsidRPr="009E5B39">
        <w:rPr>
          <w:rFonts w:asciiTheme="majorHAnsi" w:hAnsiTheme="majorHAnsi" w:cstheme="majorHAnsi"/>
          <w:i/>
          <w:sz w:val="24"/>
          <w:szCs w:val="24"/>
          <w:lang w:val="ro-MD"/>
        </w:rPr>
        <w:t>revizuire</w:t>
      </w:r>
      <w:r w:rsidR="004D3847" w:rsidRPr="009E5B39">
        <w:rPr>
          <w:rFonts w:asciiTheme="majorHAnsi" w:hAnsiTheme="majorHAnsi" w:cstheme="majorHAnsi"/>
          <w:i/>
          <w:sz w:val="24"/>
          <w:szCs w:val="24"/>
          <w:lang w:val="ro-MD"/>
        </w:rPr>
        <w:t>a</w:t>
      </w:r>
      <w:r w:rsidRPr="009E5B39">
        <w:rPr>
          <w:rFonts w:asciiTheme="majorHAnsi" w:hAnsiTheme="majorHAnsi" w:cstheme="majorHAnsi"/>
          <w:i/>
          <w:sz w:val="24"/>
          <w:szCs w:val="24"/>
          <w:lang w:val="ro-MD"/>
        </w:rPr>
        <w:t xml:space="preserve"> organigramei/structurii aparatului Primăriei și autorităților/entităților din subordine</w:t>
      </w:r>
      <w:r w:rsidR="003E1C03"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w:t>
      </w:r>
      <w:r w:rsidR="003E1C03" w:rsidRPr="009E5B39">
        <w:rPr>
          <w:rFonts w:asciiTheme="majorHAnsi" w:hAnsiTheme="majorHAnsi" w:cstheme="majorHAnsi"/>
          <w:i/>
          <w:sz w:val="24"/>
          <w:szCs w:val="24"/>
          <w:lang w:val="ro-MD"/>
        </w:rPr>
        <w:t>pe</w:t>
      </w:r>
      <w:r w:rsidRPr="009E5B39">
        <w:rPr>
          <w:rFonts w:asciiTheme="majorHAnsi" w:hAnsiTheme="majorHAnsi" w:cstheme="majorHAnsi"/>
          <w:i/>
          <w:sz w:val="24"/>
          <w:szCs w:val="24"/>
          <w:lang w:val="ro-MD"/>
        </w:rPr>
        <w:t>ntru optimizarea funcțiilor, excluderea suprapuner</w:t>
      </w:r>
      <w:r w:rsidR="003E1C03" w:rsidRPr="009E5B39">
        <w:rPr>
          <w:rFonts w:asciiTheme="majorHAnsi" w:hAnsiTheme="majorHAnsi" w:cstheme="majorHAnsi"/>
          <w:i/>
          <w:sz w:val="24"/>
          <w:szCs w:val="24"/>
          <w:lang w:val="ro-MD"/>
        </w:rPr>
        <w:t>ii</w:t>
      </w:r>
      <w:r w:rsidRPr="009E5B39">
        <w:rPr>
          <w:rFonts w:asciiTheme="majorHAnsi" w:hAnsiTheme="majorHAnsi" w:cstheme="majorHAnsi"/>
          <w:i/>
          <w:sz w:val="24"/>
          <w:szCs w:val="24"/>
          <w:lang w:val="ro-MD"/>
        </w:rPr>
        <w:t>/</w:t>
      </w:r>
      <w:r w:rsidR="007D0E72" w:rsidRPr="009E5B39">
        <w:rPr>
          <w:rFonts w:asciiTheme="majorHAnsi" w:hAnsiTheme="majorHAnsi" w:cstheme="majorHAnsi"/>
          <w:i/>
          <w:sz w:val="24"/>
          <w:szCs w:val="24"/>
          <w:lang w:val="ro-MD"/>
        </w:rPr>
        <w:t xml:space="preserve"> </w:t>
      </w:r>
      <w:r w:rsidRPr="009E5B39">
        <w:rPr>
          <w:rFonts w:asciiTheme="majorHAnsi" w:hAnsiTheme="majorHAnsi" w:cstheme="majorHAnsi"/>
          <w:i/>
          <w:sz w:val="24"/>
          <w:szCs w:val="24"/>
          <w:lang w:val="ro-MD"/>
        </w:rPr>
        <w:t>dublărilor de competențe (</w:t>
      </w:r>
      <w:r w:rsidRPr="009E5B39">
        <w:rPr>
          <w:rFonts w:asciiTheme="majorHAnsi" w:eastAsia="Calibri" w:hAnsiTheme="majorHAnsi" w:cstheme="majorHAnsi"/>
          <w:i/>
          <w:sz w:val="24"/>
          <w:szCs w:val="24"/>
          <w:lang w:val="ro-MD"/>
        </w:rPr>
        <w:t>pct. 4.2.</w:t>
      </w:r>
      <w:r w:rsidR="004D75E0" w:rsidRPr="009E5B39">
        <w:rPr>
          <w:rFonts w:asciiTheme="majorHAnsi" w:eastAsia="Calibri" w:hAnsiTheme="majorHAnsi" w:cstheme="majorHAnsi"/>
          <w:i/>
          <w:sz w:val="24"/>
          <w:szCs w:val="24"/>
          <w:lang w:val="ro-MD"/>
        </w:rPr>
        <w:t>11</w:t>
      </w:r>
      <w:r w:rsidR="003E1C03" w:rsidRPr="009E5B39">
        <w:rPr>
          <w:rFonts w:asciiTheme="majorHAnsi" w:eastAsia="Calibri" w:hAnsiTheme="majorHAnsi" w:cstheme="majorHAnsi"/>
          <w:i/>
          <w:sz w:val="24"/>
          <w:szCs w:val="24"/>
          <w:lang w:val="ro-MD"/>
        </w:rPr>
        <w:t>.</w:t>
      </w:r>
      <w:r w:rsidRPr="009E5B39">
        <w:rPr>
          <w:rFonts w:asciiTheme="majorHAnsi" w:eastAsia="Calibri" w:hAnsiTheme="majorHAnsi" w:cstheme="majorHAnsi"/>
          <w:i/>
          <w:sz w:val="24"/>
          <w:szCs w:val="24"/>
          <w:lang w:val="ro-MD"/>
        </w:rPr>
        <w:t>);</w:t>
      </w:r>
    </w:p>
    <w:p w14:paraId="1BD9A8AE" w14:textId="62C42893"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eastAsia="Calibri" w:hAnsiTheme="majorHAnsi" w:cstheme="majorHAnsi"/>
          <w:b/>
          <w:i/>
          <w:sz w:val="24"/>
          <w:szCs w:val="24"/>
          <w:lang w:val="ro-MD"/>
        </w:rPr>
        <w:t xml:space="preserve"> </w:t>
      </w:r>
      <w:r w:rsidRPr="009E5B39">
        <w:rPr>
          <w:rFonts w:asciiTheme="majorHAnsi" w:eastAsia="Calibri" w:hAnsiTheme="majorHAnsi" w:cstheme="majorHAnsi"/>
          <w:i/>
          <w:sz w:val="24"/>
          <w:szCs w:val="24"/>
          <w:lang w:val="ro-MD"/>
        </w:rPr>
        <w:t xml:space="preserve">CMC </w:t>
      </w:r>
      <w:r w:rsidR="003E1C03" w:rsidRPr="009E5B39">
        <w:rPr>
          <w:rFonts w:asciiTheme="majorHAnsi" w:eastAsia="Calibri" w:hAnsiTheme="majorHAnsi" w:cstheme="majorHAnsi"/>
          <w:i/>
          <w:sz w:val="24"/>
          <w:szCs w:val="24"/>
          <w:lang w:val="ro-MD"/>
        </w:rPr>
        <w:t xml:space="preserve">a </w:t>
      </w:r>
      <w:r w:rsidRPr="009E5B39">
        <w:rPr>
          <w:rFonts w:asciiTheme="majorHAnsi" w:eastAsia="Calibri" w:hAnsiTheme="majorHAnsi" w:cstheme="majorHAnsi"/>
          <w:i/>
          <w:sz w:val="24"/>
          <w:szCs w:val="24"/>
          <w:lang w:val="ro-MD"/>
        </w:rPr>
        <w:t>aprob</w:t>
      </w:r>
      <w:r w:rsidR="003E1C03" w:rsidRPr="009E5B39">
        <w:rPr>
          <w:rFonts w:asciiTheme="majorHAnsi" w:eastAsia="Calibri" w:hAnsiTheme="majorHAnsi" w:cstheme="majorHAnsi"/>
          <w:i/>
          <w:sz w:val="24"/>
          <w:szCs w:val="24"/>
          <w:lang w:val="ro-MD"/>
        </w:rPr>
        <w:t>at</w:t>
      </w:r>
      <w:r w:rsidRPr="009E5B39">
        <w:rPr>
          <w:rFonts w:asciiTheme="majorHAnsi" w:eastAsia="Calibri" w:hAnsiTheme="majorHAnsi" w:cstheme="majorHAnsi"/>
          <w:i/>
          <w:sz w:val="24"/>
          <w:szCs w:val="24"/>
          <w:lang w:val="ro-MD"/>
        </w:rPr>
        <w:t xml:space="preserve"> unele Decizii care nu corespund cadrului legal existent, nu pot fi aplicate și nici nu au fost notificate de </w:t>
      </w:r>
      <w:r w:rsidR="003E1C03" w:rsidRPr="009E5B39">
        <w:rPr>
          <w:rFonts w:asciiTheme="majorHAnsi" w:eastAsia="Calibri" w:hAnsiTheme="majorHAnsi" w:cstheme="majorHAnsi"/>
          <w:i/>
          <w:sz w:val="24"/>
          <w:szCs w:val="24"/>
          <w:lang w:val="ro-MD"/>
        </w:rPr>
        <w:t xml:space="preserve">către </w:t>
      </w:r>
      <w:r w:rsidRPr="009E5B39">
        <w:rPr>
          <w:rFonts w:asciiTheme="majorHAnsi" w:eastAsia="Calibri" w:hAnsiTheme="majorHAnsi" w:cstheme="majorHAnsi"/>
          <w:i/>
          <w:sz w:val="24"/>
          <w:szCs w:val="24"/>
          <w:lang w:val="ro-MD"/>
        </w:rPr>
        <w:t>O</w:t>
      </w:r>
      <w:r w:rsidR="003E1C03" w:rsidRPr="009E5B39">
        <w:rPr>
          <w:rFonts w:asciiTheme="majorHAnsi" w:eastAsia="Calibri" w:hAnsiTheme="majorHAnsi" w:cstheme="majorHAnsi"/>
          <w:i/>
          <w:sz w:val="24"/>
          <w:szCs w:val="24"/>
          <w:lang w:val="ro-MD"/>
        </w:rPr>
        <w:t xml:space="preserve">ficiul </w:t>
      </w:r>
      <w:r w:rsidR="00187E64" w:rsidRPr="009E5B39">
        <w:rPr>
          <w:rFonts w:asciiTheme="majorHAnsi" w:eastAsia="Calibri" w:hAnsiTheme="majorHAnsi" w:cstheme="majorHAnsi"/>
          <w:i/>
          <w:sz w:val="24"/>
          <w:szCs w:val="24"/>
          <w:lang w:val="ro-MD"/>
        </w:rPr>
        <w:t>teritorial Chișinău</w:t>
      </w:r>
      <w:r w:rsidRPr="009E5B39">
        <w:rPr>
          <w:rFonts w:asciiTheme="majorHAnsi" w:eastAsia="Calibri" w:hAnsiTheme="majorHAnsi" w:cstheme="majorHAnsi"/>
          <w:i/>
          <w:sz w:val="24"/>
          <w:szCs w:val="24"/>
          <w:lang w:val="ro-MD"/>
        </w:rPr>
        <w:t xml:space="preserve"> al Cancelariei de Stat</w:t>
      </w:r>
      <w:r w:rsidRPr="009E5B39">
        <w:rPr>
          <w:rFonts w:asciiTheme="majorHAnsi" w:eastAsia="Calibri" w:hAnsiTheme="majorHAnsi" w:cstheme="majorHAnsi"/>
          <w:b/>
          <w:i/>
          <w:sz w:val="24"/>
          <w:szCs w:val="24"/>
          <w:lang w:val="ro-MD"/>
        </w:rPr>
        <w:t xml:space="preserve"> </w:t>
      </w:r>
      <w:r w:rsidRPr="009E5B39">
        <w:rPr>
          <w:rFonts w:asciiTheme="majorHAnsi" w:hAnsiTheme="majorHAnsi" w:cstheme="majorHAnsi"/>
          <w:i/>
          <w:sz w:val="24"/>
          <w:szCs w:val="24"/>
          <w:lang w:val="ro-MD"/>
        </w:rPr>
        <w:t>(</w:t>
      </w:r>
      <w:r w:rsidRPr="009E5B39">
        <w:rPr>
          <w:rFonts w:asciiTheme="majorHAnsi" w:eastAsia="Calibri" w:hAnsiTheme="majorHAnsi" w:cstheme="majorHAnsi"/>
          <w:i/>
          <w:sz w:val="24"/>
          <w:szCs w:val="24"/>
          <w:lang w:val="ro-MD"/>
        </w:rPr>
        <w:t>pct.4.2.</w:t>
      </w:r>
      <w:r w:rsidR="004D75E0" w:rsidRPr="009E5B39">
        <w:rPr>
          <w:rFonts w:asciiTheme="majorHAnsi" w:eastAsia="Calibri" w:hAnsiTheme="majorHAnsi" w:cstheme="majorHAnsi"/>
          <w:i/>
          <w:sz w:val="24"/>
          <w:szCs w:val="24"/>
          <w:lang w:val="ro-MD"/>
        </w:rPr>
        <w:t>12</w:t>
      </w:r>
      <w:r w:rsidRPr="009E5B39">
        <w:rPr>
          <w:rFonts w:asciiTheme="majorHAnsi" w:eastAsia="Calibri" w:hAnsiTheme="majorHAnsi" w:cstheme="majorHAnsi"/>
          <w:i/>
          <w:sz w:val="24"/>
          <w:szCs w:val="24"/>
          <w:lang w:val="ro-MD"/>
        </w:rPr>
        <w:t>.);</w:t>
      </w:r>
    </w:p>
    <w:p w14:paraId="0828CB9E" w14:textId="1A55735C"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bCs/>
          <w:i/>
          <w:sz w:val="24"/>
          <w:szCs w:val="24"/>
          <w:lang w:val="ro-MD" w:eastAsia="ro-RO"/>
        </w:rPr>
        <w:t xml:space="preserve">Autoritățile contractante și grupurile de lucru continuă să manifeste o atitudine nepotrivită față de funcționalitatea sistemului de achiziții publice, respectiv, administrarea procesului de achiziții se efectuează contrar cerințelor normative, iar gestiunea fondurilor publice este defectuoasă; </w:t>
      </w:r>
      <w:r w:rsidRPr="009E5B39">
        <w:rPr>
          <w:rFonts w:asciiTheme="majorHAnsi" w:eastAsia="Calibri" w:hAnsiTheme="majorHAnsi" w:cstheme="majorHAnsi"/>
          <w:i/>
          <w:sz w:val="24"/>
          <w:szCs w:val="24"/>
          <w:lang w:val="ro-MD"/>
        </w:rPr>
        <w:t>n</w:t>
      </w:r>
      <w:r w:rsidR="00187E64" w:rsidRPr="009E5B39">
        <w:rPr>
          <w:rFonts w:asciiTheme="majorHAnsi" w:eastAsia="Calibri" w:hAnsiTheme="majorHAnsi" w:cstheme="majorHAnsi"/>
          <w:i/>
          <w:sz w:val="24"/>
          <w:szCs w:val="24"/>
          <w:lang w:val="ro-MD"/>
        </w:rPr>
        <w:t>u se respectă</w:t>
      </w:r>
      <w:r w:rsidRPr="009E5B39">
        <w:rPr>
          <w:rFonts w:asciiTheme="majorHAnsi" w:eastAsia="Calibri" w:hAnsiTheme="majorHAnsi" w:cstheme="majorHAnsi"/>
          <w:i/>
          <w:sz w:val="24"/>
          <w:szCs w:val="24"/>
          <w:lang w:val="ro-MD"/>
        </w:rPr>
        <w:t xml:space="preserve"> </w:t>
      </w:r>
      <w:r w:rsidR="004D3847" w:rsidRPr="009E5B39">
        <w:rPr>
          <w:rFonts w:asciiTheme="majorHAnsi" w:eastAsia="Calibri" w:hAnsiTheme="majorHAnsi" w:cstheme="majorHAnsi"/>
          <w:i/>
          <w:sz w:val="24"/>
          <w:szCs w:val="24"/>
          <w:lang w:val="ro-MD"/>
        </w:rPr>
        <w:t>normel</w:t>
      </w:r>
      <w:r w:rsidR="00187E64" w:rsidRPr="009E5B39">
        <w:rPr>
          <w:rFonts w:asciiTheme="majorHAnsi" w:eastAsia="Calibri" w:hAnsiTheme="majorHAnsi" w:cstheme="majorHAnsi"/>
          <w:i/>
          <w:sz w:val="24"/>
          <w:szCs w:val="24"/>
          <w:lang w:val="ro-MD"/>
        </w:rPr>
        <w:t>e</w:t>
      </w:r>
      <w:r w:rsidR="004D3847" w:rsidRPr="009E5B39">
        <w:rPr>
          <w:rFonts w:asciiTheme="majorHAnsi" w:eastAsia="Calibri" w:hAnsiTheme="majorHAnsi" w:cstheme="majorHAnsi"/>
          <w:i/>
          <w:sz w:val="24"/>
          <w:szCs w:val="24"/>
          <w:lang w:val="ro-MD"/>
        </w:rPr>
        <w:t xml:space="preserve"> </w:t>
      </w:r>
      <w:r w:rsidRPr="009E5B39">
        <w:rPr>
          <w:rFonts w:asciiTheme="majorHAnsi" w:eastAsia="Calibri" w:hAnsiTheme="majorHAnsi" w:cstheme="majorHAnsi"/>
          <w:i/>
          <w:sz w:val="24"/>
          <w:szCs w:val="24"/>
          <w:lang w:val="ro-MD"/>
        </w:rPr>
        <w:t>legale</w:t>
      </w:r>
      <w:r w:rsidRPr="009E5B39">
        <w:rPr>
          <w:rFonts w:asciiTheme="majorHAnsi" w:hAnsiTheme="majorHAnsi" w:cstheme="majorHAnsi"/>
          <w:sz w:val="24"/>
          <w:szCs w:val="24"/>
          <w:vertAlign w:val="superscript"/>
          <w:lang w:val="ro-MD"/>
        </w:rPr>
        <w:footnoteReference w:id="8"/>
      </w:r>
      <w:r w:rsidRPr="009E5B39">
        <w:rPr>
          <w:rFonts w:asciiTheme="majorHAnsi" w:hAnsiTheme="majorHAnsi" w:cstheme="majorHAnsi"/>
          <w:i/>
          <w:sz w:val="24"/>
          <w:szCs w:val="24"/>
          <w:lang w:val="ro-MD"/>
        </w:rPr>
        <w:t xml:space="preserve"> </w:t>
      </w:r>
      <w:r w:rsidRPr="009E5B39">
        <w:rPr>
          <w:rFonts w:asciiTheme="majorHAnsi" w:eastAsia="Calibri" w:hAnsiTheme="majorHAnsi" w:cstheme="majorHAnsi"/>
          <w:i/>
          <w:sz w:val="24"/>
          <w:szCs w:val="24"/>
          <w:lang w:val="ro-MD"/>
        </w:rPr>
        <w:t>de monitorizare și de asigurare a</w:t>
      </w:r>
      <w:r w:rsidRPr="009E5B39">
        <w:rPr>
          <w:rFonts w:asciiTheme="majorHAnsi" w:hAnsiTheme="majorHAnsi" w:cstheme="majorHAnsi"/>
          <w:i/>
          <w:sz w:val="24"/>
          <w:szCs w:val="24"/>
          <w:lang w:val="ro-MD"/>
        </w:rPr>
        <w:t xml:space="preserve"> executării contractelor de achiziții publice în termenele și condițiile prevăzute de acestea; lucrăril</w:t>
      </w:r>
      <w:r w:rsidR="00187E64" w:rsidRPr="009E5B39">
        <w:rPr>
          <w:rFonts w:asciiTheme="majorHAnsi" w:hAnsiTheme="majorHAnsi" w:cstheme="majorHAnsi"/>
          <w:i/>
          <w:sz w:val="24"/>
          <w:szCs w:val="24"/>
          <w:lang w:val="ro-MD"/>
        </w:rPr>
        <w:t>e se execută</w:t>
      </w:r>
      <w:r w:rsidRPr="009E5B39">
        <w:rPr>
          <w:rFonts w:asciiTheme="majorHAnsi" w:hAnsiTheme="majorHAnsi" w:cstheme="majorHAnsi"/>
          <w:i/>
          <w:sz w:val="24"/>
          <w:szCs w:val="24"/>
          <w:lang w:val="ro-MD"/>
        </w:rPr>
        <w:t xml:space="preserve"> </w:t>
      </w:r>
      <w:r w:rsidRPr="009E5B39">
        <w:rPr>
          <w:rFonts w:asciiTheme="majorHAnsi" w:eastAsia="Times New Roman" w:hAnsiTheme="majorHAnsi" w:cstheme="majorHAnsi"/>
          <w:i/>
          <w:sz w:val="24"/>
          <w:szCs w:val="24"/>
          <w:lang w:val="ro-MD" w:eastAsia="ru-RU"/>
        </w:rPr>
        <w:t>cu abateri de la proiect</w:t>
      </w:r>
      <w:r w:rsidRPr="009E5B39">
        <w:rPr>
          <w:rFonts w:asciiTheme="majorHAnsi" w:hAnsiTheme="majorHAnsi" w:cstheme="majorHAnsi"/>
          <w:bCs/>
          <w:i/>
          <w:sz w:val="24"/>
          <w:szCs w:val="24"/>
          <w:lang w:val="ro-MD" w:eastAsia="ro-RO"/>
        </w:rPr>
        <w:t>, etc.</w:t>
      </w:r>
      <w:r w:rsidRPr="009E5B39">
        <w:rPr>
          <w:rFonts w:asciiTheme="majorHAnsi" w:hAnsiTheme="majorHAnsi" w:cstheme="majorHAnsi"/>
          <w:bCs/>
          <w:i/>
          <w:iCs/>
          <w:sz w:val="24"/>
          <w:szCs w:val="24"/>
          <w:lang w:val="ro-MD"/>
        </w:rPr>
        <w:t xml:space="preserve">  </w:t>
      </w:r>
      <w:r w:rsidRPr="009E5B39">
        <w:rPr>
          <w:rFonts w:asciiTheme="majorHAnsi" w:hAnsiTheme="majorHAnsi" w:cstheme="majorHAnsi"/>
          <w:i/>
          <w:sz w:val="24"/>
          <w:szCs w:val="24"/>
          <w:lang w:val="ro-MD"/>
        </w:rPr>
        <w:t>(</w:t>
      </w:r>
      <w:r w:rsidRPr="009E5B39">
        <w:rPr>
          <w:rFonts w:asciiTheme="majorHAnsi" w:eastAsia="Calibri" w:hAnsiTheme="majorHAnsi" w:cstheme="majorHAnsi"/>
          <w:i/>
          <w:sz w:val="24"/>
          <w:szCs w:val="24"/>
          <w:lang w:val="ro-MD"/>
        </w:rPr>
        <w:t>pct.4.2.</w:t>
      </w:r>
      <w:r w:rsidR="004D75E0" w:rsidRPr="009E5B39">
        <w:rPr>
          <w:rFonts w:asciiTheme="majorHAnsi" w:eastAsia="Calibri" w:hAnsiTheme="majorHAnsi" w:cstheme="majorHAnsi"/>
          <w:i/>
          <w:sz w:val="24"/>
          <w:szCs w:val="24"/>
          <w:lang w:val="ro-MD"/>
        </w:rPr>
        <w:t>13.; pct.4.2.14. și pct.4.2.15</w:t>
      </w:r>
      <w:r w:rsidRPr="009E5B39">
        <w:rPr>
          <w:rFonts w:asciiTheme="majorHAnsi" w:eastAsia="Calibri" w:hAnsiTheme="majorHAnsi" w:cstheme="majorHAnsi"/>
          <w:i/>
          <w:sz w:val="24"/>
          <w:szCs w:val="24"/>
          <w:lang w:val="ro-MD"/>
        </w:rPr>
        <w:t>.</w:t>
      </w:r>
      <w:r w:rsidR="003E1C03" w:rsidRPr="009E5B39">
        <w:rPr>
          <w:rFonts w:asciiTheme="majorHAnsi" w:eastAsia="Calibri" w:hAnsiTheme="majorHAnsi" w:cstheme="majorHAnsi"/>
          <w:i/>
          <w:sz w:val="24"/>
          <w:szCs w:val="24"/>
          <w:lang w:val="ro-MD"/>
        </w:rPr>
        <w:t>);</w:t>
      </w:r>
      <w:r w:rsidRPr="009E5B39">
        <w:rPr>
          <w:rFonts w:asciiTheme="majorHAnsi" w:eastAsia="Calibri" w:hAnsiTheme="majorHAnsi" w:cstheme="majorHAnsi"/>
          <w:i/>
          <w:sz w:val="24"/>
          <w:szCs w:val="24"/>
          <w:lang w:val="ro-MD"/>
        </w:rPr>
        <w:t xml:space="preserve"> </w:t>
      </w:r>
    </w:p>
    <w:p w14:paraId="20182CEA" w14:textId="5B374FBC"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 xml:space="preserve">Preturile de sector au decis, au contractat și achitat serviciile de instalare a sistemului de supraveghere video în locurile publice din mun. Chișinău (scuaruri, parcuri, pasaje subterane de pietoni, havuzuri, etc.) fără ca aceste acțiuni să fie aprobate/coordonate cu CMC și </w:t>
      </w:r>
      <w:r w:rsidR="006D4C5F" w:rsidRPr="009E5B39">
        <w:rPr>
          <w:rFonts w:asciiTheme="majorHAnsi" w:hAnsiTheme="majorHAnsi" w:cstheme="majorHAnsi"/>
          <w:i/>
          <w:sz w:val="24"/>
          <w:szCs w:val="24"/>
          <w:lang w:val="ro-MD"/>
        </w:rPr>
        <w:t>P</w:t>
      </w:r>
      <w:r w:rsidRPr="009E5B39">
        <w:rPr>
          <w:rFonts w:asciiTheme="majorHAnsi" w:hAnsiTheme="majorHAnsi" w:cstheme="majorHAnsi"/>
          <w:i/>
          <w:sz w:val="24"/>
          <w:szCs w:val="24"/>
          <w:lang w:val="ro-MD"/>
        </w:rPr>
        <w:t xml:space="preserve">rimăria municipiului, precum și în lipsa unui acord cu Inspectoratul de Poliție. Pentru aceste cheltuieli nu au fost elaborate și aprobate programe bugetare și planificate alocații, fapt ce contravine prevederilor art.11 din Legea nr.181/2014, achitarea acestora fiind din contul cheltuielilor planificate și raportate pentru </w:t>
      </w:r>
      <w:r w:rsidR="00594C18" w:rsidRPr="009E5B39">
        <w:rPr>
          <w:rFonts w:asciiTheme="majorHAnsi" w:hAnsiTheme="majorHAnsi" w:cstheme="majorHAnsi"/>
          <w:i/>
          <w:sz w:val="24"/>
          <w:szCs w:val="24"/>
          <w:lang w:val="ro-MD"/>
        </w:rPr>
        <w:t>P</w:t>
      </w:r>
      <w:r w:rsidRPr="009E5B39">
        <w:rPr>
          <w:rFonts w:asciiTheme="majorHAnsi" w:hAnsiTheme="majorHAnsi" w:cstheme="majorHAnsi"/>
          <w:i/>
          <w:sz w:val="24"/>
          <w:szCs w:val="24"/>
          <w:lang w:val="ro-MD"/>
        </w:rPr>
        <w:t>rogram</w:t>
      </w:r>
      <w:r w:rsidR="00594C18" w:rsidRPr="009E5B39">
        <w:rPr>
          <w:rFonts w:asciiTheme="majorHAnsi" w:hAnsiTheme="majorHAnsi" w:cstheme="majorHAnsi"/>
          <w:i/>
          <w:sz w:val="24"/>
          <w:szCs w:val="24"/>
          <w:lang w:val="ro-MD"/>
        </w:rPr>
        <w:t>ul</w:t>
      </w:r>
      <w:r w:rsidRPr="009E5B39">
        <w:rPr>
          <w:rFonts w:asciiTheme="majorHAnsi" w:hAnsiTheme="majorHAnsi" w:cstheme="majorHAnsi"/>
          <w:i/>
          <w:sz w:val="24"/>
          <w:szCs w:val="24"/>
          <w:lang w:val="ro-MD"/>
        </w:rPr>
        <w:t xml:space="preserve"> „Dezvoltare și amenajare” (gr.0620). Neacordarea accesului la datele stocate, precum și netransmiterea unei copii de rezervă a acestora de către agenții economici creează riscul că serviciile contractate nu se </w:t>
      </w:r>
      <w:r w:rsidR="00594C18" w:rsidRPr="009E5B39">
        <w:rPr>
          <w:rFonts w:asciiTheme="majorHAnsi" w:hAnsiTheme="majorHAnsi" w:cstheme="majorHAnsi"/>
          <w:i/>
          <w:sz w:val="24"/>
          <w:szCs w:val="24"/>
          <w:lang w:val="ro-MD"/>
        </w:rPr>
        <w:t xml:space="preserve">vor </w:t>
      </w:r>
      <w:r w:rsidRPr="009E5B39">
        <w:rPr>
          <w:rFonts w:asciiTheme="majorHAnsi" w:hAnsiTheme="majorHAnsi" w:cstheme="majorHAnsi"/>
          <w:i/>
          <w:sz w:val="24"/>
          <w:szCs w:val="24"/>
          <w:lang w:val="ro-MD"/>
        </w:rPr>
        <w:t>materializ</w:t>
      </w:r>
      <w:r w:rsidR="00594C18" w:rsidRPr="009E5B39">
        <w:rPr>
          <w:rFonts w:asciiTheme="majorHAnsi" w:hAnsiTheme="majorHAnsi" w:cstheme="majorHAnsi"/>
          <w:i/>
          <w:sz w:val="24"/>
          <w:szCs w:val="24"/>
          <w:lang w:val="ro-MD"/>
        </w:rPr>
        <w:t>a</w:t>
      </w:r>
      <w:r w:rsidRPr="009E5B39">
        <w:rPr>
          <w:rFonts w:asciiTheme="majorHAnsi" w:hAnsiTheme="majorHAnsi" w:cstheme="majorHAnsi"/>
          <w:i/>
          <w:sz w:val="24"/>
          <w:szCs w:val="24"/>
          <w:lang w:val="ro-MD"/>
        </w:rPr>
        <w:t xml:space="preserve"> în realitate, fiind generate cheltuieli neregulamentare din bugetul municipal</w:t>
      </w:r>
      <w:r w:rsidRPr="009E5B39">
        <w:rPr>
          <w:rFonts w:asciiTheme="majorHAnsi" w:hAnsiTheme="majorHAnsi" w:cstheme="majorHAnsi"/>
          <w:b/>
          <w:i/>
          <w:sz w:val="24"/>
          <w:szCs w:val="24"/>
          <w:lang w:val="ro-MD"/>
        </w:rPr>
        <w:t xml:space="preserve"> </w:t>
      </w:r>
      <w:r w:rsidRPr="009E5B39">
        <w:rPr>
          <w:rFonts w:asciiTheme="majorHAnsi" w:hAnsiTheme="majorHAnsi" w:cstheme="majorHAnsi"/>
          <w:i/>
          <w:sz w:val="24"/>
          <w:szCs w:val="24"/>
          <w:lang w:val="ro-MD"/>
        </w:rPr>
        <w:t>(</w:t>
      </w:r>
      <w:r w:rsidRPr="009E5B39">
        <w:rPr>
          <w:rFonts w:asciiTheme="majorHAnsi" w:eastAsia="Calibri" w:hAnsiTheme="majorHAnsi" w:cstheme="majorHAnsi"/>
          <w:i/>
          <w:sz w:val="24"/>
          <w:szCs w:val="24"/>
          <w:lang w:val="ro-MD"/>
        </w:rPr>
        <w:t>pct.4.2.1</w:t>
      </w:r>
      <w:r w:rsidR="004D75E0" w:rsidRPr="009E5B39">
        <w:rPr>
          <w:rFonts w:asciiTheme="majorHAnsi" w:eastAsia="Calibri" w:hAnsiTheme="majorHAnsi" w:cstheme="majorHAnsi"/>
          <w:i/>
          <w:sz w:val="24"/>
          <w:szCs w:val="24"/>
          <w:lang w:val="ro-MD"/>
        </w:rPr>
        <w:t>6</w:t>
      </w:r>
      <w:r w:rsidRPr="009E5B39">
        <w:rPr>
          <w:rFonts w:asciiTheme="majorHAnsi" w:eastAsia="Calibri" w:hAnsiTheme="majorHAnsi" w:cstheme="majorHAnsi"/>
          <w:i/>
          <w:sz w:val="24"/>
          <w:szCs w:val="24"/>
          <w:lang w:val="ro-MD"/>
        </w:rPr>
        <w:t>.);</w:t>
      </w:r>
    </w:p>
    <w:p w14:paraId="5A7FCF8B" w14:textId="73FACBCA"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b/>
          <w:i/>
          <w:sz w:val="24"/>
          <w:szCs w:val="24"/>
          <w:lang w:val="ro-MD"/>
        </w:rPr>
        <w:t xml:space="preserve"> </w:t>
      </w:r>
      <w:r w:rsidRPr="009E5B39">
        <w:rPr>
          <w:rFonts w:asciiTheme="majorHAnsi" w:eastAsia="Calibri" w:hAnsiTheme="majorHAnsi" w:cstheme="majorHAnsi"/>
          <w:bCs/>
          <w:i/>
          <w:sz w:val="24"/>
          <w:szCs w:val="24"/>
          <w:lang w:val="ro-MD"/>
        </w:rPr>
        <w:t>Evacuarea/demolarea construcțiilor neautorizate din mun. Chișinău se efectu</w:t>
      </w:r>
      <w:r w:rsidR="00594C18" w:rsidRPr="009E5B39">
        <w:rPr>
          <w:rFonts w:asciiTheme="majorHAnsi" w:eastAsia="Calibri" w:hAnsiTheme="majorHAnsi" w:cstheme="majorHAnsi"/>
          <w:bCs/>
          <w:i/>
          <w:sz w:val="24"/>
          <w:szCs w:val="24"/>
          <w:lang w:val="ro-MD"/>
        </w:rPr>
        <w:t>e</w:t>
      </w:r>
      <w:r w:rsidRPr="009E5B39">
        <w:rPr>
          <w:rFonts w:asciiTheme="majorHAnsi" w:eastAsia="Calibri" w:hAnsiTheme="majorHAnsi" w:cstheme="majorHAnsi"/>
          <w:bCs/>
          <w:i/>
          <w:sz w:val="24"/>
          <w:szCs w:val="24"/>
          <w:lang w:val="ro-MD"/>
        </w:rPr>
        <w:t xml:space="preserve">ază cu abateri de la prevederile cadrului normativ, ceea ce creează premise pentru </w:t>
      </w:r>
      <w:r w:rsidR="00B01D08" w:rsidRPr="009E5B39">
        <w:rPr>
          <w:rFonts w:asciiTheme="majorHAnsi" w:eastAsia="Calibri" w:hAnsiTheme="majorHAnsi" w:cstheme="majorHAnsi"/>
          <w:bCs/>
          <w:i/>
          <w:sz w:val="24"/>
          <w:szCs w:val="24"/>
          <w:lang w:val="ro-MD"/>
        </w:rPr>
        <w:t xml:space="preserve">contestarea </w:t>
      </w:r>
      <w:r w:rsidRPr="009E5B39">
        <w:rPr>
          <w:rFonts w:asciiTheme="majorHAnsi" w:eastAsia="Calibri" w:hAnsiTheme="majorHAnsi" w:cstheme="majorHAnsi"/>
          <w:bCs/>
          <w:i/>
          <w:sz w:val="24"/>
          <w:szCs w:val="24"/>
          <w:lang w:val="ro-MD"/>
        </w:rPr>
        <w:t>în instanță a acestor acțiuni de către proprietarii bunurilor evacuate/demolate, precum și generează cheltuieli nerecuperabile din bugetul municipal</w:t>
      </w:r>
      <w:r w:rsidR="00594C18" w:rsidRPr="009E5B39">
        <w:rPr>
          <w:rFonts w:asciiTheme="majorHAnsi" w:eastAsia="Calibri" w:hAnsiTheme="majorHAnsi" w:cstheme="majorHAnsi"/>
          <w:bCs/>
          <w:i/>
          <w:sz w:val="24"/>
          <w:szCs w:val="24"/>
          <w:lang w:val="ro-MD"/>
        </w:rPr>
        <w:t>,</w:t>
      </w:r>
      <w:r w:rsidRPr="009E5B39">
        <w:rPr>
          <w:rFonts w:asciiTheme="majorHAnsi" w:eastAsia="Calibri" w:hAnsiTheme="majorHAnsi" w:cstheme="majorHAnsi"/>
          <w:bCs/>
          <w:i/>
          <w:sz w:val="24"/>
          <w:szCs w:val="24"/>
          <w:lang w:val="ro-MD"/>
        </w:rPr>
        <w:t xml:space="preserve"> care în perioada </w:t>
      </w:r>
      <w:r w:rsidR="00594C18" w:rsidRPr="009E5B39">
        <w:rPr>
          <w:rFonts w:asciiTheme="majorHAnsi" w:eastAsia="Calibri" w:hAnsiTheme="majorHAnsi" w:cstheme="majorHAnsi"/>
          <w:bCs/>
          <w:i/>
          <w:sz w:val="24"/>
          <w:szCs w:val="24"/>
          <w:lang w:val="ro-MD"/>
        </w:rPr>
        <w:t xml:space="preserve">anilor </w:t>
      </w:r>
      <w:r w:rsidRPr="009E5B39">
        <w:rPr>
          <w:rFonts w:asciiTheme="majorHAnsi" w:eastAsia="Calibri" w:hAnsiTheme="majorHAnsi" w:cstheme="majorHAnsi"/>
          <w:bCs/>
          <w:i/>
          <w:sz w:val="24"/>
          <w:szCs w:val="24"/>
          <w:lang w:val="ro-MD"/>
        </w:rPr>
        <w:t>2018-2020 au însumat circa 6</w:t>
      </w:r>
      <w:r w:rsidR="00C62586" w:rsidRPr="009E5B39">
        <w:rPr>
          <w:rFonts w:asciiTheme="majorHAnsi" w:eastAsia="Calibri" w:hAnsiTheme="majorHAnsi" w:cstheme="majorHAnsi"/>
          <w:bCs/>
          <w:i/>
          <w:sz w:val="24"/>
          <w:szCs w:val="24"/>
          <w:lang w:val="ro-MD"/>
        </w:rPr>
        <w:t>,</w:t>
      </w:r>
      <w:r w:rsidRPr="009E5B39">
        <w:rPr>
          <w:rFonts w:asciiTheme="majorHAnsi" w:eastAsia="Calibri" w:hAnsiTheme="majorHAnsi" w:cstheme="majorHAnsi"/>
          <w:bCs/>
          <w:i/>
          <w:sz w:val="24"/>
          <w:szCs w:val="24"/>
          <w:lang w:val="ro-MD"/>
        </w:rPr>
        <w:t>36 mi</w:t>
      </w:r>
      <w:r w:rsidR="00C62586" w:rsidRPr="009E5B39">
        <w:rPr>
          <w:rFonts w:asciiTheme="majorHAnsi" w:eastAsia="Calibri" w:hAnsiTheme="majorHAnsi" w:cstheme="majorHAnsi"/>
          <w:bCs/>
          <w:i/>
          <w:sz w:val="24"/>
          <w:szCs w:val="24"/>
          <w:lang w:val="ro-MD"/>
        </w:rPr>
        <w:t>l</w:t>
      </w:r>
      <w:r w:rsidR="00594C18" w:rsidRPr="009E5B39">
        <w:rPr>
          <w:rFonts w:asciiTheme="majorHAnsi" w:eastAsia="Calibri" w:hAnsiTheme="majorHAnsi" w:cstheme="majorHAnsi"/>
          <w:bCs/>
          <w:i/>
          <w:sz w:val="24"/>
          <w:szCs w:val="24"/>
          <w:lang w:val="ro-MD"/>
        </w:rPr>
        <w:t>.</w:t>
      </w:r>
      <w:r w:rsidRPr="009E5B39">
        <w:rPr>
          <w:rFonts w:asciiTheme="majorHAnsi" w:eastAsia="Calibri" w:hAnsiTheme="majorHAnsi" w:cstheme="majorHAnsi"/>
          <w:bCs/>
          <w:i/>
          <w:sz w:val="24"/>
          <w:szCs w:val="24"/>
          <w:lang w:val="ro-MD"/>
        </w:rPr>
        <w:t xml:space="preserve"> lei, sau 65,75 % din suma cheltuielilor suportate din bugetul municipal. </w:t>
      </w:r>
      <w:r w:rsidRPr="009E5B39">
        <w:rPr>
          <w:rFonts w:asciiTheme="majorHAnsi" w:eastAsia="Times New Roman" w:hAnsiTheme="majorHAnsi" w:cstheme="majorHAnsi"/>
          <w:i/>
          <w:sz w:val="24"/>
          <w:szCs w:val="24"/>
          <w:lang w:val="ro-MD"/>
        </w:rPr>
        <w:t xml:space="preserve">APL nu dispune de proceduri interne aferente procesului de evacuare/demolare/evidență/păstrare/recuperare a bunului și cheltuielilor suportate, precum și nu a stabilit care sunt acțiunile agentului constatator, în cazul depistării construcțiilor neautorizate abandonate </w:t>
      </w:r>
      <w:r w:rsidRPr="009E5B39">
        <w:rPr>
          <w:rFonts w:asciiTheme="majorHAnsi" w:hAnsiTheme="majorHAnsi" w:cstheme="majorHAnsi"/>
          <w:i/>
          <w:sz w:val="24"/>
          <w:szCs w:val="24"/>
          <w:lang w:val="ro-MD"/>
        </w:rPr>
        <w:t>(</w:t>
      </w:r>
      <w:r w:rsidRPr="009E5B39">
        <w:rPr>
          <w:rFonts w:asciiTheme="majorHAnsi" w:eastAsia="Calibri" w:hAnsiTheme="majorHAnsi" w:cstheme="majorHAnsi"/>
          <w:i/>
          <w:sz w:val="24"/>
          <w:szCs w:val="24"/>
          <w:lang w:val="ro-MD"/>
        </w:rPr>
        <w:t>pct.4.2.1</w:t>
      </w:r>
      <w:r w:rsidR="004D75E0" w:rsidRPr="009E5B39">
        <w:rPr>
          <w:rFonts w:asciiTheme="majorHAnsi" w:eastAsia="Calibri" w:hAnsiTheme="majorHAnsi" w:cstheme="majorHAnsi"/>
          <w:i/>
          <w:sz w:val="24"/>
          <w:szCs w:val="24"/>
          <w:lang w:val="ro-MD"/>
        </w:rPr>
        <w:t>7</w:t>
      </w:r>
      <w:r w:rsidRPr="009E5B39">
        <w:rPr>
          <w:rFonts w:asciiTheme="majorHAnsi" w:eastAsia="Calibri" w:hAnsiTheme="majorHAnsi" w:cstheme="majorHAnsi"/>
          <w:i/>
          <w:sz w:val="24"/>
          <w:szCs w:val="24"/>
          <w:lang w:val="ro-MD"/>
        </w:rPr>
        <w:t>.);</w:t>
      </w:r>
    </w:p>
    <w:p w14:paraId="762BD6ED" w14:textId="4728B50A" w:rsidR="008A480D" w:rsidRPr="009E5B39" w:rsidRDefault="008A480D"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i/>
          <w:sz w:val="24"/>
          <w:szCs w:val="24"/>
          <w:lang w:val="ro-MD"/>
        </w:rPr>
        <w:t>AAPL nu a</w:t>
      </w:r>
      <w:r w:rsidR="00E153F4" w:rsidRPr="009E5B39">
        <w:rPr>
          <w:rFonts w:asciiTheme="majorHAnsi" w:hAnsiTheme="majorHAnsi" w:cstheme="majorHAnsi"/>
          <w:i/>
          <w:sz w:val="24"/>
          <w:szCs w:val="24"/>
          <w:lang w:val="ro-MD"/>
        </w:rPr>
        <w:t>u</w:t>
      </w:r>
      <w:r w:rsidRPr="009E5B39">
        <w:rPr>
          <w:rFonts w:asciiTheme="majorHAnsi" w:hAnsiTheme="majorHAnsi" w:cstheme="majorHAnsi"/>
          <w:i/>
          <w:sz w:val="24"/>
          <w:szCs w:val="24"/>
          <w:lang w:val="ro-MD"/>
        </w:rPr>
        <w:t xml:space="preserve"> repartizat</w:t>
      </w:r>
      <w:r w:rsidR="00E153F4" w:rsidRPr="009E5B39">
        <w:rPr>
          <w:rFonts w:asciiTheme="majorHAnsi" w:hAnsiTheme="majorHAnsi" w:cstheme="majorHAnsi"/>
          <w:i/>
          <w:sz w:val="24"/>
          <w:szCs w:val="24"/>
          <w:lang w:val="ro-MD"/>
        </w:rPr>
        <w:t>e</w:t>
      </w:r>
      <w:r w:rsidRPr="009E5B39">
        <w:rPr>
          <w:rFonts w:asciiTheme="majorHAnsi" w:hAnsiTheme="majorHAnsi" w:cstheme="majorHAnsi"/>
          <w:i/>
          <w:sz w:val="24"/>
          <w:szCs w:val="24"/>
          <w:lang w:val="ro-MD"/>
        </w:rPr>
        <w:t xml:space="preserve"> competențele clare pentru instituțiile din subordine, iar fragmentarea responsabilităților pentru unul și același domeniu, precum și lipsa de comunicare între instituțiile din subordine generează iregularități în evidența și </w:t>
      </w:r>
      <w:r w:rsidR="00D817B0" w:rsidRPr="009E5B39">
        <w:rPr>
          <w:rFonts w:asciiTheme="majorHAnsi" w:hAnsiTheme="majorHAnsi" w:cstheme="majorHAnsi"/>
          <w:i/>
          <w:sz w:val="24"/>
          <w:szCs w:val="24"/>
          <w:lang w:val="ro-MD"/>
        </w:rPr>
        <w:t xml:space="preserve">la </w:t>
      </w:r>
      <w:r w:rsidRPr="009E5B39">
        <w:rPr>
          <w:rFonts w:asciiTheme="majorHAnsi" w:hAnsiTheme="majorHAnsi" w:cstheme="majorHAnsi"/>
          <w:i/>
          <w:sz w:val="24"/>
          <w:szCs w:val="24"/>
          <w:lang w:val="ro-MD"/>
        </w:rPr>
        <w:t xml:space="preserve">încasarea veniturilor în bugetul municipal, </w:t>
      </w:r>
      <w:r w:rsidR="00D817B0" w:rsidRPr="009E5B39">
        <w:rPr>
          <w:rFonts w:asciiTheme="majorHAnsi" w:hAnsiTheme="majorHAnsi" w:cstheme="majorHAnsi"/>
          <w:i/>
          <w:sz w:val="24"/>
          <w:szCs w:val="24"/>
          <w:lang w:val="ro-MD"/>
        </w:rPr>
        <w:t>precum</w:t>
      </w:r>
      <w:r w:rsidRPr="009E5B39">
        <w:rPr>
          <w:rFonts w:asciiTheme="majorHAnsi" w:hAnsiTheme="majorHAnsi" w:cstheme="majorHAnsi"/>
          <w:i/>
          <w:sz w:val="24"/>
          <w:szCs w:val="24"/>
          <w:lang w:val="ro-MD"/>
        </w:rPr>
        <w:t xml:space="preserve"> și la gestionarea patrimoniului UAT</w:t>
      </w:r>
      <w:r w:rsidRPr="009E5B39">
        <w:rPr>
          <w:rFonts w:asciiTheme="majorHAnsi" w:hAnsiTheme="majorHAnsi" w:cstheme="majorHAnsi"/>
          <w:b/>
          <w:sz w:val="24"/>
          <w:szCs w:val="24"/>
          <w:lang w:val="ro-MD"/>
        </w:rPr>
        <w:t xml:space="preserve"> </w:t>
      </w:r>
      <w:r w:rsidRPr="009E5B39">
        <w:rPr>
          <w:rFonts w:asciiTheme="majorHAnsi" w:hAnsiTheme="majorHAnsi" w:cstheme="majorHAnsi"/>
          <w:i/>
          <w:sz w:val="24"/>
          <w:szCs w:val="24"/>
          <w:lang w:val="ro-MD"/>
        </w:rPr>
        <w:t>(</w:t>
      </w:r>
      <w:r w:rsidRPr="009E5B39">
        <w:rPr>
          <w:rFonts w:asciiTheme="majorHAnsi" w:eastAsia="Calibri" w:hAnsiTheme="majorHAnsi" w:cstheme="majorHAnsi"/>
          <w:i/>
          <w:sz w:val="24"/>
          <w:szCs w:val="24"/>
          <w:lang w:val="ro-MD"/>
        </w:rPr>
        <w:t>pct.4.3.2.);</w:t>
      </w:r>
    </w:p>
    <w:p w14:paraId="0AE130D8" w14:textId="03B9E229" w:rsidR="008A480D" w:rsidRPr="009E5B39" w:rsidRDefault="00190EB0" w:rsidP="005333C2">
      <w:pPr>
        <w:pStyle w:val="ListParagraph"/>
        <w:numPr>
          <w:ilvl w:val="0"/>
          <w:numId w:val="4"/>
        </w:numPr>
        <w:spacing w:after="0" w:line="276" w:lineRule="auto"/>
        <w:ind w:left="0" w:right="-1" w:firstLine="360"/>
        <w:jc w:val="both"/>
        <w:rPr>
          <w:rFonts w:asciiTheme="majorHAnsi" w:eastAsia="Calibri" w:hAnsiTheme="majorHAnsi" w:cstheme="majorHAnsi"/>
          <w:sz w:val="24"/>
          <w:szCs w:val="24"/>
          <w:lang w:val="ro-MD"/>
        </w:rPr>
      </w:pPr>
      <w:r w:rsidRPr="009E5B39">
        <w:rPr>
          <w:rFonts w:asciiTheme="majorHAnsi" w:hAnsiTheme="majorHAnsi" w:cstheme="majorHAnsi"/>
          <w:bCs/>
          <w:i/>
          <w:sz w:val="24"/>
          <w:szCs w:val="24"/>
          <w:lang w:val="ro-MD"/>
        </w:rPr>
        <w:t xml:space="preserve">CMC nu a stabilit administratorii de venituri aferente gestionării patrimoniului municipal care se încasează în bugetul municipal, prin ce nu se asigură o evidență conformă a </w:t>
      </w:r>
      <w:r w:rsidRPr="009E5B39">
        <w:rPr>
          <w:rFonts w:asciiTheme="majorHAnsi" w:hAnsiTheme="majorHAnsi" w:cstheme="majorHAnsi"/>
          <w:i/>
          <w:sz w:val="24"/>
          <w:szCs w:val="24"/>
          <w:lang w:val="ro-MD"/>
        </w:rPr>
        <w:t>calculelor, achitărilor soldurilor inițiale și finale</w:t>
      </w:r>
      <w:r w:rsidRPr="009E5B39">
        <w:rPr>
          <w:rFonts w:asciiTheme="majorHAnsi" w:hAnsiTheme="majorHAnsi" w:cstheme="majorHAnsi"/>
          <w:bCs/>
          <w:i/>
          <w:sz w:val="24"/>
          <w:szCs w:val="24"/>
          <w:lang w:val="ro-MD"/>
        </w:rPr>
        <w:t xml:space="preserve"> ale creanțelor și datoriilor</w:t>
      </w:r>
      <w:r w:rsidR="00D817B0" w:rsidRPr="009E5B39">
        <w:rPr>
          <w:rFonts w:asciiTheme="majorHAnsi" w:hAnsiTheme="majorHAnsi" w:cstheme="majorHAnsi"/>
          <w:i/>
          <w:sz w:val="24"/>
          <w:szCs w:val="24"/>
          <w:lang w:val="ro-MD"/>
        </w:rPr>
        <w:t xml:space="preserve"> </w:t>
      </w:r>
      <w:r w:rsidR="008A480D" w:rsidRPr="009E5B39">
        <w:rPr>
          <w:rFonts w:asciiTheme="majorHAnsi" w:hAnsiTheme="majorHAnsi" w:cstheme="majorHAnsi"/>
          <w:i/>
          <w:sz w:val="24"/>
          <w:szCs w:val="24"/>
          <w:lang w:val="ro-MD"/>
        </w:rPr>
        <w:t>(</w:t>
      </w:r>
      <w:r w:rsidR="008A480D" w:rsidRPr="009E5B39">
        <w:rPr>
          <w:rFonts w:asciiTheme="majorHAnsi" w:eastAsia="Calibri" w:hAnsiTheme="majorHAnsi" w:cstheme="majorHAnsi"/>
          <w:i/>
          <w:sz w:val="24"/>
          <w:szCs w:val="24"/>
          <w:lang w:val="ro-MD"/>
        </w:rPr>
        <w:t>pct. 4.3.2.);</w:t>
      </w:r>
    </w:p>
    <w:p w14:paraId="2B845F06" w14:textId="3BCAC295" w:rsidR="00E63B45" w:rsidRPr="009E5B39" w:rsidRDefault="00E63B45" w:rsidP="003C5073">
      <w:pPr>
        <w:pStyle w:val="ListParagraph"/>
        <w:numPr>
          <w:ilvl w:val="0"/>
          <w:numId w:val="119"/>
        </w:numPr>
        <w:spacing w:after="0" w:line="276" w:lineRule="auto"/>
        <w:ind w:left="0" w:firstLine="426"/>
        <w:jc w:val="both"/>
        <w:rPr>
          <w:rFonts w:asciiTheme="majorHAnsi" w:hAnsiTheme="majorHAnsi" w:cstheme="majorHAnsi"/>
          <w:i/>
          <w:sz w:val="24"/>
          <w:szCs w:val="24"/>
          <w:lang w:val="ro-MD"/>
        </w:rPr>
      </w:pPr>
      <w:r w:rsidRPr="009E5B39">
        <w:rPr>
          <w:rFonts w:asciiTheme="majorHAnsi" w:eastAsia="Calibri" w:hAnsiTheme="majorHAnsi" w:cstheme="majorHAnsi"/>
          <w:i/>
          <w:sz w:val="24"/>
          <w:szCs w:val="24"/>
          <w:lang w:val="ro-MD"/>
        </w:rPr>
        <w:t xml:space="preserve"> Procesul de delimitare a proprietății publice municipale și de înregistrare a drepturilor în Registrul bunurilor imobile este în întârziere nejustificată și afectează buna gestiune și evidența bunurilor imobiliare, care se manifestă prin: i) </w:t>
      </w:r>
      <w:r w:rsidRPr="009E5B39">
        <w:rPr>
          <w:rFonts w:asciiTheme="majorHAnsi" w:hAnsiTheme="majorHAnsi" w:cstheme="majorHAnsi"/>
          <w:i/>
          <w:sz w:val="24"/>
          <w:szCs w:val="24"/>
          <w:lang w:val="ro-MD"/>
        </w:rPr>
        <w:t xml:space="preserve">neînregistrarea </w:t>
      </w:r>
      <w:r w:rsidR="00587752" w:rsidRPr="009E5B39">
        <w:rPr>
          <w:rFonts w:asciiTheme="majorHAnsi" w:hAnsiTheme="majorHAnsi" w:cstheme="majorHAnsi"/>
          <w:i/>
          <w:sz w:val="24"/>
          <w:szCs w:val="24"/>
          <w:lang w:val="ro-MD"/>
        </w:rPr>
        <w:t xml:space="preserve">în Registrul bunurilor imobile </w:t>
      </w:r>
      <w:r w:rsidRPr="009E5B39">
        <w:rPr>
          <w:rFonts w:asciiTheme="majorHAnsi" w:hAnsiTheme="majorHAnsi" w:cstheme="majorHAnsi"/>
          <w:i/>
          <w:sz w:val="24"/>
          <w:szCs w:val="24"/>
          <w:lang w:val="ro-MD"/>
        </w:rPr>
        <w:t xml:space="preserve">și/sau nedelimitarea a </w:t>
      </w:r>
      <w:r w:rsidRPr="009E5B39">
        <w:rPr>
          <w:rFonts w:asciiTheme="majorHAnsi" w:hAnsiTheme="majorHAnsi" w:cstheme="majorHAnsi"/>
          <w:bCs/>
          <w:i/>
          <w:sz w:val="24"/>
          <w:szCs w:val="24"/>
          <w:lang w:val="ro-MD"/>
        </w:rPr>
        <w:t>203 imobile</w:t>
      </w:r>
      <w:r w:rsidRPr="009E5B39">
        <w:rPr>
          <w:rFonts w:asciiTheme="majorHAnsi" w:hAnsiTheme="majorHAnsi" w:cstheme="majorHAnsi"/>
          <w:i/>
          <w:sz w:val="24"/>
          <w:szCs w:val="24"/>
          <w:lang w:val="ro-MD"/>
        </w:rPr>
        <w:t xml:space="preserve"> din gestiunea subdiviziunilor Primăriei mun. Chișinău, cu suprafața de </w:t>
      </w:r>
      <w:r w:rsidRPr="009E5B39">
        <w:rPr>
          <w:rFonts w:asciiTheme="majorHAnsi" w:hAnsiTheme="majorHAnsi" w:cstheme="majorHAnsi"/>
          <w:bCs/>
          <w:i/>
          <w:sz w:val="24"/>
          <w:szCs w:val="24"/>
          <w:lang w:val="ro-MD"/>
        </w:rPr>
        <w:t>105353,99 m</w:t>
      </w:r>
      <w:r w:rsidRPr="009E5B39">
        <w:rPr>
          <w:rFonts w:asciiTheme="majorHAnsi" w:hAnsiTheme="majorHAnsi" w:cstheme="majorHAnsi"/>
          <w:bCs/>
          <w:i/>
          <w:sz w:val="24"/>
          <w:szCs w:val="24"/>
          <w:vertAlign w:val="superscript"/>
          <w:lang w:val="ro-MD"/>
        </w:rPr>
        <w:t>2</w:t>
      </w:r>
      <w:r w:rsidRPr="009E5B39">
        <w:rPr>
          <w:rFonts w:asciiTheme="majorHAnsi" w:hAnsiTheme="majorHAnsi" w:cstheme="majorHAnsi"/>
          <w:i/>
          <w:sz w:val="24"/>
          <w:szCs w:val="24"/>
          <w:lang w:val="ro-MD"/>
        </w:rPr>
        <w:t xml:space="preserve"> , în valoare de </w:t>
      </w:r>
      <w:r w:rsidRPr="009E5B39">
        <w:rPr>
          <w:rFonts w:asciiTheme="majorHAnsi" w:hAnsiTheme="majorHAnsi" w:cstheme="majorHAnsi"/>
          <w:bCs/>
          <w:i/>
          <w:sz w:val="24"/>
          <w:szCs w:val="24"/>
          <w:lang w:val="ro-MD"/>
        </w:rPr>
        <w:t xml:space="preserve">381,16 mil. lei; ii) </w:t>
      </w:r>
      <w:r w:rsidRPr="009E5B39">
        <w:rPr>
          <w:rFonts w:asciiTheme="majorHAnsi" w:hAnsiTheme="majorHAnsi" w:cstheme="majorHAnsi"/>
          <w:i/>
          <w:sz w:val="24"/>
          <w:szCs w:val="24"/>
          <w:lang w:val="ro-MD"/>
        </w:rPr>
        <w:t xml:space="preserve">înregistrări neconforme în RBI; iii) ne asigurarea înregistrării dreptului de proprietate </w:t>
      </w:r>
      <w:r w:rsidR="00587752" w:rsidRPr="009E5B39">
        <w:rPr>
          <w:rFonts w:asciiTheme="majorHAnsi" w:hAnsiTheme="majorHAnsi" w:cstheme="majorHAnsi"/>
          <w:i/>
          <w:sz w:val="24"/>
          <w:szCs w:val="24"/>
          <w:lang w:val="ro-MD"/>
        </w:rPr>
        <w:t xml:space="preserve">municipală </w:t>
      </w:r>
      <w:r w:rsidRPr="009E5B39">
        <w:rPr>
          <w:rFonts w:asciiTheme="majorHAnsi" w:hAnsiTheme="majorHAnsi" w:cstheme="majorHAnsi"/>
          <w:i/>
          <w:sz w:val="24"/>
          <w:szCs w:val="24"/>
          <w:lang w:val="ro-MD"/>
        </w:rPr>
        <w:t xml:space="preserve">asupra bunurilor imobile; iv) gestionarea a </w:t>
      </w:r>
      <w:r w:rsidRPr="009E5B39">
        <w:rPr>
          <w:rFonts w:asciiTheme="majorHAnsi" w:hAnsiTheme="majorHAnsi" w:cstheme="majorHAnsi"/>
          <w:bCs/>
          <w:i/>
          <w:sz w:val="24"/>
          <w:szCs w:val="24"/>
          <w:lang w:val="ro-MD"/>
        </w:rPr>
        <w:t>92 de imobile</w:t>
      </w:r>
      <w:r w:rsidR="00587752" w:rsidRPr="009E5B39">
        <w:rPr>
          <w:rFonts w:asciiTheme="majorHAnsi" w:hAnsiTheme="majorHAnsi" w:cstheme="majorHAnsi"/>
          <w:bCs/>
          <w:i/>
          <w:sz w:val="24"/>
          <w:szCs w:val="24"/>
          <w:lang w:val="ro-MD"/>
        </w:rPr>
        <w:t xml:space="preserve"> municipale</w:t>
      </w:r>
      <w:r w:rsidRPr="009E5B39">
        <w:rPr>
          <w:rFonts w:asciiTheme="majorHAnsi" w:hAnsiTheme="majorHAnsi" w:cstheme="majorHAnsi"/>
          <w:bCs/>
          <w:i/>
          <w:sz w:val="24"/>
          <w:szCs w:val="24"/>
          <w:lang w:val="ro-MD"/>
        </w:rPr>
        <w:t>,</w:t>
      </w:r>
      <w:r w:rsidRPr="009E5B39">
        <w:rPr>
          <w:rFonts w:asciiTheme="majorHAnsi" w:hAnsiTheme="majorHAnsi" w:cstheme="majorHAnsi"/>
          <w:i/>
          <w:sz w:val="24"/>
          <w:szCs w:val="24"/>
          <w:lang w:val="ro-MD"/>
        </w:rPr>
        <w:t xml:space="preserve"> în valoare de </w:t>
      </w:r>
      <w:r w:rsidRPr="009E5B39">
        <w:rPr>
          <w:rFonts w:asciiTheme="majorHAnsi" w:hAnsiTheme="majorHAnsi" w:cstheme="majorHAnsi"/>
          <w:bCs/>
          <w:i/>
          <w:sz w:val="24"/>
          <w:szCs w:val="24"/>
          <w:lang w:val="ro-MD"/>
        </w:rPr>
        <w:t>153,53 mil. lei,</w:t>
      </w:r>
      <w:r w:rsidRPr="009E5B39">
        <w:rPr>
          <w:rFonts w:asciiTheme="majorHAnsi" w:hAnsiTheme="majorHAnsi" w:cstheme="majorHAnsi"/>
          <w:i/>
          <w:sz w:val="24"/>
          <w:szCs w:val="24"/>
          <w:lang w:val="ro-MD"/>
        </w:rPr>
        <w:t xml:space="preserve"> cu suprafața de </w:t>
      </w:r>
      <w:r w:rsidRPr="009E5B39">
        <w:rPr>
          <w:rFonts w:asciiTheme="majorHAnsi" w:hAnsiTheme="majorHAnsi" w:cstheme="majorHAnsi"/>
          <w:bCs/>
          <w:i/>
          <w:sz w:val="24"/>
          <w:szCs w:val="24"/>
          <w:lang w:val="ro-MD"/>
        </w:rPr>
        <w:t>68626,8 m</w:t>
      </w:r>
      <w:r w:rsidRPr="009E5B39">
        <w:rPr>
          <w:rFonts w:asciiTheme="majorHAnsi" w:hAnsiTheme="majorHAnsi" w:cstheme="majorHAnsi"/>
          <w:bCs/>
          <w:i/>
          <w:sz w:val="24"/>
          <w:szCs w:val="24"/>
          <w:vertAlign w:val="superscript"/>
          <w:lang w:val="ro-MD"/>
        </w:rPr>
        <w:t>2</w:t>
      </w:r>
      <w:r w:rsidRPr="009E5B39">
        <w:rPr>
          <w:rFonts w:asciiTheme="majorHAnsi" w:hAnsiTheme="majorHAnsi" w:cstheme="majorHAnsi"/>
          <w:i/>
          <w:sz w:val="24"/>
          <w:szCs w:val="24"/>
          <w:vertAlign w:val="superscript"/>
          <w:lang w:val="ro-MD"/>
        </w:rPr>
        <w:t xml:space="preserve"> </w:t>
      </w:r>
      <w:r w:rsidRPr="009E5B39">
        <w:rPr>
          <w:rFonts w:asciiTheme="majorHAnsi" w:hAnsiTheme="majorHAnsi" w:cstheme="majorHAnsi"/>
          <w:i/>
          <w:sz w:val="24"/>
          <w:szCs w:val="24"/>
          <w:lang w:val="ro-MD"/>
        </w:rPr>
        <w:t xml:space="preserve">, al căror proprietar este </w:t>
      </w:r>
      <w:r w:rsidR="00587752" w:rsidRPr="009E5B39">
        <w:rPr>
          <w:rFonts w:asciiTheme="majorHAnsi" w:hAnsiTheme="majorHAnsi" w:cstheme="majorHAnsi"/>
          <w:i/>
          <w:sz w:val="24"/>
          <w:szCs w:val="24"/>
          <w:lang w:val="ro-MD"/>
        </w:rPr>
        <w:t xml:space="preserve">înregistrat </w:t>
      </w:r>
      <w:r w:rsidR="0096687E" w:rsidRPr="009E5B39">
        <w:rPr>
          <w:rFonts w:asciiTheme="majorHAnsi" w:hAnsiTheme="majorHAnsi" w:cstheme="majorHAnsi"/>
          <w:i/>
          <w:sz w:val="24"/>
          <w:szCs w:val="24"/>
          <w:lang w:val="ro-MD"/>
        </w:rPr>
        <w:t xml:space="preserve">neregulamentar </w:t>
      </w:r>
      <w:r w:rsidR="00587752" w:rsidRPr="009E5B39">
        <w:rPr>
          <w:rFonts w:asciiTheme="majorHAnsi" w:hAnsiTheme="majorHAnsi" w:cstheme="majorHAnsi"/>
          <w:i/>
          <w:sz w:val="24"/>
          <w:szCs w:val="24"/>
          <w:lang w:val="ro-MD"/>
        </w:rPr>
        <w:t xml:space="preserve">– </w:t>
      </w:r>
      <w:r w:rsidRPr="009E5B39">
        <w:rPr>
          <w:rFonts w:asciiTheme="majorHAnsi" w:hAnsiTheme="majorHAnsi" w:cstheme="majorHAnsi"/>
          <w:i/>
          <w:sz w:val="24"/>
          <w:szCs w:val="24"/>
          <w:lang w:val="ro-MD"/>
        </w:rPr>
        <w:t>Republica Moldova, precum și situații inverse – când bunurile proprietate publică de stat neregulamentar au fost înregistrate ca proprietate publică locală a mun. Chișinău (pct. 4.3.1.);</w:t>
      </w:r>
    </w:p>
    <w:p w14:paraId="103E2893" w14:textId="442EA98E" w:rsidR="00E63B45" w:rsidRPr="009E5B39" w:rsidRDefault="00E63B45" w:rsidP="003C5073">
      <w:pPr>
        <w:numPr>
          <w:ilvl w:val="0"/>
          <w:numId w:val="119"/>
        </w:numPr>
        <w:spacing w:after="0"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 xml:space="preserve">  </w:t>
      </w:r>
      <w:r w:rsidR="00587752" w:rsidRPr="009E5B39">
        <w:rPr>
          <w:rFonts w:asciiTheme="majorHAnsi" w:hAnsiTheme="majorHAnsi" w:cstheme="majorHAnsi"/>
          <w:bCs/>
          <w:i/>
          <w:iCs/>
          <w:sz w:val="24"/>
          <w:szCs w:val="24"/>
          <w:lang w:val="ro-MD"/>
        </w:rPr>
        <w:t>E</w:t>
      </w:r>
      <w:r w:rsidRPr="009E5B39">
        <w:rPr>
          <w:rFonts w:asciiTheme="majorHAnsi" w:hAnsiTheme="majorHAnsi" w:cstheme="majorHAnsi"/>
          <w:bCs/>
          <w:i/>
          <w:iCs/>
          <w:sz w:val="24"/>
          <w:szCs w:val="24"/>
          <w:lang w:val="ro-MD"/>
        </w:rPr>
        <w:t>vidența defectuoasă  a bunurilor imobiliare proprietate publică a CMC și a veniturilor aferente gestiunii acestora</w:t>
      </w:r>
      <w:r w:rsidRPr="009E5B39">
        <w:rPr>
          <w:rFonts w:asciiTheme="majorHAnsi" w:hAnsiTheme="majorHAnsi" w:cstheme="majorHAnsi"/>
          <w:i/>
          <w:sz w:val="24"/>
          <w:szCs w:val="24"/>
          <w:lang w:val="ro-MD"/>
        </w:rPr>
        <w:t>, cum ar fi: i) lipsa unei evidențe contabil</w:t>
      </w:r>
      <w:r w:rsidR="00417CAB" w:rsidRPr="009E5B39">
        <w:rPr>
          <w:rFonts w:asciiTheme="majorHAnsi" w:hAnsiTheme="majorHAnsi" w:cstheme="majorHAnsi"/>
          <w:i/>
          <w:sz w:val="24"/>
          <w:szCs w:val="24"/>
          <w:lang w:val="ro-MD"/>
        </w:rPr>
        <w:t>e</w:t>
      </w:r>
      <w:r w:rsidRPr="009E5B39">
        <w:rPr>
          <w:rFonts w:asciiTheme="majorHAnsi" w:hAnsiTheme="majorHAnsi" w:cstheme="majorHAnsi"/>
          <w:i/>
          <w:sz w:val="24"/>
          <w:szCs w:val="24"/>
          <w:lang w:val="ro-MD"/>
        </w:rPr>
        <w:t xml:space="preserve"> exhaustiv</w:t>
      </w:r>
      <w:r w:rsidR="00417CAB" w:rsidRPr="009E5B39">
        <w:rPr>
          <w:rFonts w:asciiTheme="majorHAnsi" w:hAnsiTheme="majorHAnsi" w:cstheme="majorHAnsi"/>
          <w:i/>
          <w:sz w:val="24"/>
          <w:szCs w:val="24"/>
          <w:lang w:val="ro-MD"/>
        </w:rPr>
        <w:t>e</w:t>
      </w:r>
      <w:r w:rsidRPr="009E5B39">
        <w:rPr>
          <w:rFonts w:asciiTheme="majorHAnsi" w:hAnsiTheme="majorHAnsi" w:cstheme="majorHAnsi"/>
          <w:i/>
          <w:sz w:val="24"/>
          <w:szCs w:val="24"/>
          <w:lang w:val="ro-MD"/>
        </w:rPr>
        <w:t xml:space="preserve"> aferentă bunurilor imobile date în locațiune/comodat; ii) fondul de locuințe privatizat, în valoare de 4 513,4 mil. lei, până în prezent este reflectat în evidența contabilă a APL; iii) DGAURF nu informează Primăria mun. Chișinău despre necesitatea ajustării evidenței contabile a terenurilor ca urmare a comasării sau divizării lor, precum și a vânzării acestora; iv) Registrul bunurilor imobile proprietate a mun. Chișinău, completat în baza inventarierilor efectuate anual și aprobate prin Decizia CMC, nu este complet și veridic (pct.4.3.2.);</w:t>
      </w:r>
    </w:p>
    <w:p w14:paraId="3BA73624" w14:textId="7A780454"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eastAsia="Times New Roman" w:hAnsiTheme="majorHAnsi" w:cstheme="majorHAnsi"/>
          <w:i/>
          <w:sz w:val="24"/>
          <w:szCs w:val="24"/>
          <w:lang w:val="ro-MD" w:eastAsia="ru-RU"/>
        </w:rPr>
        <w:t xml:space="preserve">Procedura de evidență a tranzacțiilor aferente contractelor de arendă/folosință și de vânzare-cumpărare </w:t>
      </w:r>
      <w:r w:rsidR="00A94044" w:rsidRPr="009E5B39">
        <w:rPr>
          <w:rFonts w:asciiTheme="majorHAnsi" w:eastAsia="Times New Roman" w:hAnsiTheme="majorHAnsi" w:cstheme="majorHAnsi"/>
          <w:i/>
          <w:sz w:val="24"/>
          <w:szCs w:val="24"/>
          <w:lang w:val="ro-MD" w:eastAsia="ru-RU"/>
        </w:rPr>
        <w:t xml:space="preserve">a patrimoniului public </w:t>
      </w:r>
      <w:r w:rsidRPr="009E5B39">
        <w:rPr>
          <w:rFonts w:asciiTheme="majorHAnsi" w:eastAsia="Times New Roman" w:hAnsiTheme="majorHAnsi" w:cstheme="majorHAnsi"/>
          <w:i/>
          <w:sz w:val="24"/>
          <w:szCs w:val="24"/>
          <w:lang w:val="ro-MD" w:eastAsia="ru-RU"/>
        </w:rPr>
        <w:t xml:space="preserve">nu asigură controlul eficient asupra încasării depline și în termenele prevăzute de contract a veniturilor bugetare. </w:t>
      </w:r>
      <w:r w:rsidRPr="009E5B39">
        <w:rPr>
          <w:rFonts w:asciiTheme="majorHAnsi" w:hAnsiTheme="majorHAnsi" w:cstheme="majorHAnsi"/>
          <w:i/>
          <w:sz w:val="24"/>
          <w:szCs w:val="24"/>
          <w:lang w:val="ro-MD"/>
        </w:rPr>
        <w:t xml:space="preserve">AAPL ale mun. Chișinău nu au determinat regulamentar Direcțiile cărora le-au acordat atribuțiile de administrator de venituri aferente </w:t>
      </w:r>
      <w:r w:rsidRPr="009E5B39">
        <w:rPr>
          <w:rFonts w:asciiTheme="majorHAnsi" w:hAnsiTheme="majorHAnsi" w:cstheme="majorHAnsi"/>
          <w:bCs/>
          <w:i/>
          <w:sz w:val="24"/>
          <w:szCs w:val="24"/>
          <w:lang w:val="ro-MD"/>
        </w:rPr>
        <w:t xml:space="preserve">veniturilor din vânzarea și privatizarea terenurilor, privatizarea fondului de locuințe și a încăperilor nelocuibile, precum și </w:t>
      </w:r>
      <w:r w:rsidRPr="009E5B39">
        <w:rPr>
          <w:rFonts w:asciiTheme="majorHAnsi" w:hAnsiTheme="majorHAnsi" w:cstheme="majorHAnsi"/>
          <w:i/>
          <w:sz w:val="24"/>
          <w:szCs w:val="24"/>
          <w:lang w:val="ro-MD"/>
        </w:rPr>
        <w:t xml:space="preserve">din locațiunea bunurilor imobile, care urmează să asigure plenitudinea și veridicitatea  soldurilor inițiale și finale, calculelor și achitărilor aferente veniturilor </w:t>
      </w:r>
      <w:r w:rsidR="00A94044" w:rsidRPr="009E5B39">
        <w:rPr>
          <w:rFonts w:asciiTheme="majorHAnsi" w:hAnsiTheme="majorHAnsi" w:cstheme="majorHAnsi"/>
          <w:i/>
          <w:sz w:val="24"/>
          <w:szCs w:val="24"/>
          <w:lang w:val="ro-MD"/>
        </w:rPr>
        <w:t xml:space="preserve">respective </w:t>
      </w:r>
      <w:r w:rsidRPr="009E5B39">
        <w:rPr>
          <w:rFonts w:asciiTheme="majorHAnsi" w:hAnsiTheme="majorHAnsi" w:cstheme="majorHAnsi"/>
          <w:i/>
          <w:sz w:val="24"/>
          <w:szCs w:val="24"/>
          <w:lang w:val="ro-MD"/>
        </w:rPr>
        <w:t>(pct.4.3.3.);</w:t>
      </w:r>
    </w:p>
    <w:p w14:paraId="18D4D966" w14:textId="77777777"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Lipsa de comunicare/coordonare/verificare între subdiviziunile Primăriei mun. Chișinău și Direcțiile Generale ale CMC a datelor ce țin de una și aceeași tranzacție a condiționat: contabilizarea dublă a valorii terenurilor cu suprafața de 0,231 ha, în sumă de 6,71 mil. lei; majorarea neîntemeiată a valorii veniturilor din activele intrate cu titlu gratuit, concomitent fiind majorate și cheltuielile privind ieșirea acestora (pct. 4.3.3);</w:t>
      </w:r>
    </w:p>
    <w:p w14:paraId="38A4DB1F" w14:textId="77777777"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Lipsa evidenței și a controlului riguros din partea APL asupra relațiilor contractuale cu locatarii pasajului subteran de pietoni din intersecția str. Ismail cu bd. Ștefan cel Mare și Sfânt a condiționat neîncasarea în bugetul municipal a veniturilor pasibile încasării, în anii 2018-2020, din locațiunea spațiilor comerciale cu suprafața de numai 82,6 m</w:t>
      </w:r>
      <w:r w:rsidRPr="009E5B39">
        <w:rPr>
          <w:rFonts w:asciiTheme="majorHAnsi" w:hAnsiTheme="majorHAnsi" w:cstheme="majorHAnsi"/>
          <w:i/>
          <w:sz w:val="24"/>
          <w:szCs w:val="24"/>
          <w:vertAlign w:val="superscript"/>
          <w:lang w:val="ro-MD"/>
        </w:rPr>
        <w:t>2</w:t>
      </w:r>
      <w:r w:rsidRPr="009E5B39">
        <w:rPr>
          <w:rFonts w:asciiTheme="majorHAnsi" w:hAnsiTheme="majorHAnsi" w:cstheme="majorHAnsi"/>
          <w:i/>
          <w:sz w:val="24"/>
          <w:szCs w:val="24"/>
          <w:lang w:val="ro-MD"/>
        </w:rPr>
        <w:t xml:space="preserve"> (din totalul de 1447,2 m</w:t>
      </w:r>
      <w:r w:rsidRPr="009E5B39">
        <w:rPr>
          <w:rFonts w:asciiTheme="majorHAnsi" w:hAnsiTheme="majorHAnsi" w:cstheme="majorHAnsi"/>
          <w:i/>
          <w:sz w:val="24"/>
          <w:szCs w:val="24"/>
          <w:vertAlign w:val="superscript"/>
          <w:lang w:val="ro-MD"/>
        </w:rPr>
        <w:t>2</w:t>
      </w:r>
      <w:r w:rsidRPr="009E5B39">
        <w:rPr>
          <w:rFonts w:asciiTheme="majorHAnsi" w:hAnsiTheme="majorHAnsi" w:cstheme="majorHAnsi"/>
          <w:i/>
          <w:sz w:val="24"/>
          <w:szCs w:val="24"/>
          <w:lang w:val="ro-MD"/>
        </w:rPr>
        <w:t>), în sumă  de circa 6,57 mil. lei, precum și creează riscul de prejudiciere a bugetului municipal cu suma de circa 7,94 mil. lei. (pct.4.3.4);</w:t>
      </w:r>
    </w:p>
    <w:p w14:paraId="1D9B6AAA" w14:textId="1440B314"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eastAsia="Calibri" w:hAnsiTheme="majorHAnsi" w:cstheme="majorHAnsi"/>
          <w:i/>
          <w:sz w:val="24"/>
          <w:szCs w:val="24"/>
          <w:lang w:val="ro-MD"/>
        </w:rPr>
        <w:t>Procesele de vânzare-cumpărare și de privatizare a terenurilor sunt afectate de neregularități,  care determină riscuri asupra plenitudinii încasării veniturilor în bugetul municipal.</w:t>
      </w:r>
      <w:r w:rsidRPr="009E5B39">
        <w:rPr>
          <w:rFonts w:asciiTheme="majorHAnsi" w:hAnsiTheme="majorHAnsi" w:cstheme="majorHAnsi"/>
          <w:i/>
          <w:sz w:val="24"/>
          <w:szCs w:val="24"/>
          <w:lang w:val="ro-MD"/>
        </w:rPr>
        <w:t xml:space="preserve"> CMC a decis transmiterea dreptului de organizare și desfășurare a licitațiilor funciare cu strigare în mun. Chișinău către </w:t>
      </w:r>
      <w:r w:rsidR="00225AF2" w:rsidRPr="009E5B39">
        <w:rPr>
          <w:rFonts w:asciiTheme="majorHAnsi" w:hAnsiTheme="majorHAnsi" w:cstheme="majorHAnsi"/>
          <w:i/>
          <w:sz w:val="24"/>
          <w:szCs w:val="24"/>
          <w:lang w:val="ro-MD"/>
        </w:rPr>
        <w:t xml:space="preserve">un </w:t>
      </w:r>
      <w:r w:rsidRPr="009E5B39">
        <w:rPr>
          <w:rFonts w:asciiTheme="majorHAnsi" w:hAnsiTheme="majorHAnsi" w:cstheme="majorHAnsi"/>
          <w:i/>
          <w:sz w:val="24"/>
          <w:szCs w:val="24"/>
          <w:lang w:val="ro-MD"/>
        </w:rPr>
        <w:t>SRL, fiind încheiat contractul de prestări servicii nr.36 din 16.10.2018. La organizarea și desfășurarea licitațiilor de vânzare-cumpărare a pământului în mun. Chișinău prin intermediul SRL</w:t>
      </w:r>
      <w:r w:rsidR="00225AF2" w:rsidRPr="009E5B39">
        <w:rPr>
          <w:rFonts w:asciiTheme="majorHAnsi" w:hAnsiTheme="majorHAnsi" w:cstheme="majorHAnsi"/>
          <w:i/>
          <w:sz w:val="24"/>
          <w:szCs w:val="24"/>
          <w:lang w:val="ro-MD"/>
        </w:rPr>
        <w:t>-ului</w:t>
      </w:r>
      <w:r w:rsidRPr="009E5B39">
        <w:rPr>
          <w:rFonts w:asciiTheme="majorHAnsi" w:hAnsiTheme="majorHAnsi" w:cstheme="majorHAnsi"/>
          <w:i/>
          <w:sz w:val="24"/>
          <w:szCs w:val="24"/>
          <w:lang w:val="ro-MD"/>
        </w:rPr>
        <w:t xml:space="preserve"> s-au atestat mai multe neclarități, ce țin de: 1) modalitatea de determinare a prețului inițial al terenului scos la licitație; 2) numărul participanților care au concurat pentru adjudecarea terenului; 3) pașii licitației, care ar demonstra că negocierile în cadrul licitației au avut loc; 4) neclarități privind onorariul prestatorului serviciului de licitație; etc. Toate cele menționate creează riscuri majore de </w:t>
      </w:r>
      <w:r w:rsidR="00397DE7" w:rsidRPr="009E5B39">
        <w:rPr>
          <w:rFonts w:asciiTheme="majorHAnsi" w:hAnsiTheme="majorHAnsi" w:cstheme="majorHAnsi"/>
          <w:i/>
          <w:sz w:val="24"/>
          <w:szCs w:val="24"/>
          <w:lang w:val="ro-MD"/>
        </w:rPr>
        <w:t>iregularitate</w:t>
      </w:r>
      <w:r w:rsidRPr="009E5B39">
        <w:rPr>
          <w:rFonts w:asciiTheme="majorHAnsi" w:hAnsiTheme="majorHAnsi" w:cstheme="majorHAnsi"/>
          <w:i/>
          <w:sz w:val="24"/>
          <w:szCs w:val="24"/>
          <w:lang w:val="ro-MD"/>
        </w:rPr>
        <w:t xml:space="preserve"> a tranzacțiilor de vânzare-cumpărare a terenurilor proprietate publică din mun. Chișinău (pct.4.3.5.);</w:t>
      </w:r>
    </w:p>
    <w:p w14:paraId="6E57AD35" w14:textId="77777777"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eastAsia="Times New Roman" w:hAnsiTheme="majorHAnsi" w:cstheme="majorHAnsi"/>
          <w:i/>
          <w:sz w:val="24"/>
          <w:szCs w:val="24"/>
          <w:lang w:val="ro-MD"/>
        </w:rPr>
        <w:t>CMC, nerespectând prevederile cadrului normativ, vinde persoanelor interesate terenuri ca adiacente, fără ca pentru vânzarea acestora să fie organizat concurs sau licitație, ceea ce nu oferă condiții egale de procurare tuturor doritorilor. Deși, potrivit prevederilor cadrului normativ, determinarea prețului inițial al terenului ține de competența primarului, terenurile  sunt vândute la prețul stabilit de către evaluator la solicitarea deținătorului de teren adiacent interesat de procurarea acestuia, ceea ce creează riscul ca solicitantul să influențeze prețul de procurare a terenului (pct. 4.3.5.);</w:t>
      </w:r>
    </w:p>
    <w:p w14:paraId="349CC5F6" w14:textId="7D67723E"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eastAsia="Times New Roman" w:hAnsiTheme="majorHAnsi" w:cstheme="majorHAnsi"/>
          <w:i/>
          <w:sz w:val="24"/>
          <w:szCs w:val="24"/>
          <w:lang w:val="ro-MD"/>
        </w:rPr>
        <w:t xml:space="preserve"> </w:t>
      </w:r>
      <w:r w:rsidR="00397DE7" w:rsidRPr="009E5B39">
        <w:rPr>
          <w:rFonts w:asciiTheme="majorHAnsi" w:hAnsiTheme="majorHAnsi" w:cstheme="majorHAnsi"/>
          <w:i/>
          <w:sz w:val="24"/>
          <w:szCs w:val="24"/>
          <w:lang w:val="ro-MD"/>
        </w:rPr>
        <w:t>A</w:t>
      </w:r>
      <w:r w:rsidRPr="009E5B39">
        <w:rPr>
          <w:rFonts w:asciiTheme="majorHAnsi" w:hAnsiTheme="majorHAnsi" w:cstheme="majorHAnsi"/>
          <w:i/>
          <w:sz w:val="24"/>
          <w:szCs w:val="24"/>
          <w:lang w:val="ro-MD"/>
        </w:rPr>
        <w:t xml:space="preserve">plicarea neconformă de către AAPL a prevederilor Legii nr.1308-XIII din 25.07.1997 cu referire la </w:t>
      </w:r>
      <w:r w:rsidR="00397DE7" w:rsidRPr="009E5B39">
        <w:rPr>
          <w:rFonts w:asciiTheme="majorHAnsi" w:hAnsiTheme="majorHAnsi" w:cstheme="majorHAnsi"/>
          <w:i/>
          <w:sz w:val="24"/>
          <w:szCs w:val="24"/>
          <w:lang w:val="ro-MD"/>
        </w:rPr>
        <w:t xml:space="preserve">trecerea în proprietate privată a </w:t>
      </w:r>
      <w:r w:rsidRPr="009E5B39">
        <w:rPr>
          <w:rFonts w:asciiTheme="majorHAnsi" w:hAnsiTheme="majorHAnsi" w:cstheme="majorHAnsi"/>
          <w:i/>
          <w:sz w:val="24"/>
          <w:szCs w:val="24"/>
          <w:lang w:val="ro-MD"/>
        </w:rPr>
        <w:t>terenuril</w:t>
      </w:r>
      <w:r w:rsidR="00397DE7" w:rsidRPr="009E5B39">
        <w:rPr>
          <w:rFonts w:asciiTheme="majorHAnsi" w:hAnsiTheme="majorHAnsi" w:cstheme="majorHAnsi"/>
          <w:i/>
          <w:sz w:val="24"/>
          <w:szCs w:val="24"/>
          <w:lang w:val="ro-MD"/>
        </w:rPr>
        <w:t>or</w:t>
      </w:r>
      <w:r w:rsidRPr="009E5B39">
        <w:rPr>
          <w:rFonts w:asciiTheme="majorHAnsi" w:hAnsiTheme="majorHAnsi" w:cstheme="majorHAnsi"/>
          <w:i/>
          <w:sz w:val="24"/>
          <w:szCs w:val="24"/>
          <w:lang w:val="ro-MD"/>
        </w:rPr>
        <w:t xml:space="preserve"> aferente caselor de locuit (pct.4.3.5.);</w:t>
      </w:r>
    </w:p>
    <w:p w14:paraId="7D634402" w14:textId="77777777"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bCs/>
          <w:i/>
          <w:iCs/>
          <w:sz w:val="24"/>
          <w:szCs w:val="24"/>
          <w:lang w:val="ro-MD"/>
        </w:rPr>
        <w:t>APL și organele cadastrale nu au întreprins măsurile necesare pentru urgentarea procesului de împroprietărire, reglementat prin HG nr.984 din 21.09.1998 (pct.4.3.5.);</w:t>
      </w:r>
    </w:p>
    <w:p w14:paraId="6434F22B" w14:textId="77777777"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 xml:space="preserve">Ignorarea constatărilor și recomandărilor Curții de Conturi, reflectate în Rapoartele precedente de audit, de către factorii de decizie din cadrul CMC și al PMC, ce țin de gestionarea patrimoniului municipal, eliberarea actelor permisive, etc. duce la pierderea proprietății publice și la neîncasarea veniturilor în bugetul municipal, care au însumat cel puțin 5,3 mil .euro, sau 107,8 mil. lei  </w:t>
      </w:r>
      <w:r w:rsidRPr="009E5B39">
        <w:rPr>
          <w:rFonts w:asciiTheme="majorHAnsi" w:hAnsiTheme="majorHAnsi" w:cstheme="majorHAnsi"/>
          <w:bCs/>
          <w:i/>
          <w:iCs/>
          <w:sz w:val="24"/>
          <w:szCs w:val="24"/>
          <w:lang w:val="ro-MD"/>
        </w:rPr>
        <w:t>(pct.4.3.6.);</w:t>
      </w:r>
      <w:r w:rsidRPr="009E5B39">
        <w:rPr>
          <w:rFonts w:asciiTheme="majorHAnsi" w:hAnsiTheme="majorHAnsi" w:cstheme="majorHAnsi"/>
          <w:i/>
          <w:sz w:val="24"/>
          <w:szCs w:val="24"/>
          <w:lang w:val="ro-MD"/>
        </w:rPr>
        <w:t xml:space="preserve"> </w:t>
      </w:r>
    </w:p>
    <w:p w14:paraId="5E3B35C2" w14:textId="77777777"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eastAsia="Times New Roman" w:hAnsiTheme="majorHAnsi" w:cstheme="majorHAnsi"/>
          <w:i/>
          <w:sz w:val="24"/>
          <w:szCs w:val="24"/>
          <w:lang w:val="ro-MD"/>
        </w:rPr>
        <w:t xml:space="preserve">APL din mun. Chișinău în continuare nu asigură întocmirea contractelor de folosire a terenurilor proprietate municipală. </w:t>
      </w:r>
      <w:r w:rsidRPr="009E5B39">
        <w:rPr>
          <w:rFonts w:asciiTheme="majorHAnsi" w:hAnsiTheme="majorHAnsi" w:cstheme="majorHAnsi"/>
          <w:i/>
          <w:sz w:val="24"/>
          <w:szCs w:val="24"/>
          <w:lang w:val="ro-MD"/>
        </w:rPr>
        <w:t xml:space="preserve">În mod regulamentar, de la proprietarii obiectelor privatizate sau ai întreprinderilor și obiectelor private, în cazul în care nu au cumpărat sau nu au arendat terenuri aferente obiectelor ori întreprinderilor menționate, se va încasa anual plata pentru folosirea terenului (stabilită în mod unilateral de CL) de până la 10% din prețul normativ al pământului. APL nu au dat dovadă de responsabilitate la evaluarea, impunerea și colectarea  tuturor veniturilor proprii provenite din gestionarea terenurilor proprietate publică </w:t>
      </w:r>
      <w:r w:rsidRPr="009E5B39">
        <w:rPr>
          <w:rFonts w:asciiTheme="majorHAnsi" w:hAnsiTheme="majorHAnsi" w:cstheme="majorHAnsi"/>
          <w:bCs/>
          <w:i/>
          <w:iCs/>
          <w:sz w:val="24"/>
          <w:szCs w:val="24"/>
          <w:lang w:val="ro-MD"/>
        </w:rPr>
        <w:t>(pct.4.3.7.);</w:t>
      </w:r>
      <w:r w:rsidRPr="009E5B39">
        <w:rPr>
          <w:rFonts w:asciiTheme="majorHAnsi" w:hAnsiTheme="majorHAnsi" w:cstheme="majorHAnsi"/>
          <w:i/>
          <w:sz w:val="24"/>
          <w:szCs w:val="24"/>
          <w:lang w:val="ro-MD"/>
        </w:rPr>
        <w:t xml:space="preserve">   </w:t>
      </w:r>
    </w:p>
    <w:p w14:paraId="208A4106" w14:textId="77777777"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 xml:space="preserve">CMC și DGAURF nu au întreprins măsurile necesare pentru rezilierea sau prelungirea contractelor expirate de arendă a terenurilor, încasarea plăților pentru folosința terenurilor, ceea ce determină neîncasarea veniturilor la bugetul municipal.  Profitând de lacunele existente în cadrul normativ, CMC continuă să dea în arendă terenuri pentru proiectarea și construirea unui obiectiv privat (bloc locativ, centru comercial, benzinării, etc.), cu privatizarea ulterioară a terenului aferent la prețul normativ sau cu trecerea acestuia fără plată în proprietatea condominiului, fără a ține cont de faptul că metoda aceasta de realizare a terenurilor contribuie la ratarea semnificativă a veniturilor pasibile încasării în bugetul municipal. </w:t>
      </w:r>
      <w:r w:rsidRPr="009E5B39">
        <w:rPr>
          <w:rFonts w:asciiTheme="majorHAnsi" w:hAnsiTheme="majorHAnsi" w:cstheme="majorHAnsi"/>
          <w:bCs/>
          <w:i/>
          <w:iCs/>
          <w:sz w:val="24"/>
          <w:szCs w:val="24"/>
          <w:lang w:val="ro-MD"/>
        </w:rPr>
        <w:t>(pct.4.3.8.);</w:t>
      </w:r>
      <w:r w:rsidRPr="009E5B39">
        <w:rPr>
          <w:rFonts w:asciiTheme="majorHAnsi" w:hAnsiTheme="majorHAnsi" w:cstheme="majorHAnsi"/>
          <w:i/>
          <w:sz w:val="24"/>
          <w:szCs w:val="24"/>
          <w:lang w:val="ro-MD"/>
        </w:rPr>
        <w:t xml:space="preserve">   </w:t>
      </w:r>
    </w:p>
    <w:p w14:paraId="72ED4C15" w14:textId="77777777"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 xml:space="preserve">Delegarea gestiunii serviciilor publice de gospodărie comunale s-a efectuat cu neregularități și fără a asigura ca întreprinderile municipale să dispună de capacitatea necesară prestării acestor servicii.  Contractele de delegare a gestiunii serviciilor publice comunale, semnate anual cu ÎM, nu includ denumirea obiectivului, pentru care sunt alocate mijloace bugetare, volumul lucrării care urmează a fi executată/suprafața care urmează a fi reparată, descrierea exhaustivă a lucrărilor necesare de a fi executate în procesul de întreținere a infrastructurii căilor de comunicație, ceea ce condiționează planificarea volumelor exagerate de lucrări (suprafața străzilor) care urmează a fi executate în perioada de gestiune; executarea lucrărilor de reparație a drumurilor publice care nu sunt de competența CMC; executarea lucrărilor de reparație capitală a drumurilor publice din municipiu, raportate ca reparații curente etc., pentru care decide autoritatea executivă a mun. Chișinău, iar DGTPCC nu asigură argumentarea calculelor incluse în devizul anual de cheltuieli pentru exploatarea și reparația infrastructurii, care ar sta la baza planificării alocațiilor bugetare și a lucrărilor/serviciilor delegate. </w:t>
      </w:r>
      <w:r w:rsidRPr="009E5B39">
        <w:rPr>
          <w:rFonts w:asciiTheme="majorHAnsi" w:hAnsiTheme="majorHAnsi" w:cstheme="majorHAnsi"/>
          <w:bCs/>
          <w:i/>
          <w:iCs/>
          <w:sz w:val="24"/>
          <w:szCs w:val="24"/>
          <w:lang w:val="ro-MD"/>
        </w:rPr>
        <w:t>(pct.4.3.9.);</w:t>
      </w:r>
      <w:r w:rsidRPr="009E5B39">
        <w:rPr>
          <w:rFonts w:asciiTheme="majorHAnsi" w:hAnsiTheme="majorHAnsi" w:cstheme="majorHAnsi"/>
          <w:i/>
          <w:sz w:val="24"/>
          <w:szCs w:val="24"/>
          <w:lang w:val="ro-MD"/>
        </w:rPr>
        <w:t xml:space="preserve">  </w:t>
      </w:r>
    </w:p>
    <w:p w14:paraId="148CB7B8" w14:textId="117524D0" w:rsidR="00E63B45" w:rsidRPr="009E5B39" w:rsidRDefault="00225AF2"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 xml:space="preserve">ÎM REI „Lumteh” </w:t>
      </w:r>
      <w:r w:rsidR="00E63B45" w:rsidRPr="009E5B39">
        <w:rPr>
          <w:rFonts w:asciiTheme="majorHAnsi" w:hAnsiTheme="majorHAnsi" w:cstheme="majorHAnsi"/>
          <w:i/>
          <w:sz w:val="24"/>
          <w:szCs w:val="24"/>
          <w:lang w:val="ro-MD"/>
        </w:rPr>
        <w:t xml:space="preserve"> </w:t>
      </w:r>
      <w:r w:rsidRPr="009E5B39">
        <w:rPr>
          <w:rFonts w:asciiTheme="majorHAnsi" w:hAnsiTheme="majorHAnsi" w:cstheme="majorHAnsi"/>
          <w:i/>
          <w:sz w:val="24"/>
          <w:szCs w:val="24"/>
          <w:lang w:val="ro-MD"/>
        </w:rPr>
        <w:t xml:space="preserve">deservește rețelele de iluminat public din localitățile suburbane, fără  ca </w:t>
      </w:r>
      <w:r w:rsidR="00E63B45" w:rsidRPr="009E5B39">
        <w:rPr>
          <w:rFonts w:asciiTheme="majorHAnsi" w:hAnsiTheme="majorHAnsi" w:cstheme="majorHAnsi"/>
          <w:i/>
          <w:sz w:val="24"/>
          <w:szCs w:val="24"/>
          <w:lang w:val="ro-MD"/>
        </w:rPr>
        <w:t xml:space="preserve">AAPL de nivelul I din suburbii </w:t>
      </w:r>
      <w:r w:rsidRPr="009E5B39">
        <w:rPr>
          <w:rFonts w:asciiTheme="majorHAnsi" w:hAnsiTheme="majorHAnsi" w:cstheme="majorHAnsi"/>
          <w:i/>
          <w:sz w:val="24"/>
          <w:szCs w:val="24"/>
          <w:lang w:val="ro-MD"/>
        </w:rPr>
        <w:t xml:space="preserve">să încheie cu aceasta contracte de gestiune/delegare și de prestări servicii </w:t>
      </w:r>
      <w:r w:rsidR="00E63B45" w:rsidRPr="009E5B39">
        <w:rPr>
          <w:rFonts w:asciiTheme="majorHAnsi" w:hAnsiTheme="majorHAnsi" w:cstheme="majorHAnsi"/>
          <w:i/>
          <w:sz w:val="24"/>
          <w:szCs w:val="24"/>
          <w:lang w:val="ro-MD"/>
        </w:rPr>
        <w:t xml:space="preserve"> </w:t>
      </w:r>
      <w:r w:rsidR="00E63B45" w:rsidRPr="009E5B39">
        <w:rPr>
          <w:rFonts w:asciiTheme="majorHAnsi" w:hAnsiTheme="majorHAnsi" w:cstheme="majorHAnsi"/>
          <w:bCs/>
          <w:i/>
          <w:iCs/>
          <w:sz w:val="24"/>
          <w:szCs w:val="24"/>
          <w:lang w:val="ro-MD"/>
        </w:rPr>
        <w:t>(pct.4.3.9.);</w:t>
      </w:r>
      <w:r w:rsidR="00E63B45" w:rsidRPr="009E5B39">
        <w:rPr>
          <w:rFonts w:asciiTheme="majorHAnsi" w:hAnsiTheme="majorHAnsi" w:cstheme="majorHAnsi"/>
          <w:i/>
          <w:sz w:val="24"/>
          <w:szCs w:val="24"/>
          <w:lang w:val="ro-MD"/>
        </w:rPr>
        <w:t xml:space="preserve">   </w:t>
      </w:r>
    </w:p>
    <w:p w14:paraId="7570CB82" w14:textId="77777777"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Deși CMC aprobă anual unele tarife aplicate de ÎM, acestea au aceeași mărime ani de zile și nici nu sunt fundamentate economic.</w:t>
      </w:r>
      <w:r w:rsidRPr="009E5B39">
        <w:rPr>
          <w:rFonts w:asciiTheme="majorHAnsi" w:hAnsiTheme="majorHAnsi" w:cstheme="majorHAnsi"/>
          <w:bCs/>
          <w:i/>
          <w:iCs/>
          <w:sz w:val="24"/>
          <w:szCs w:val="24"/>
          <w:lang w:val="ro-MD"/>
        </w:rPr>
        <w:t xml:space="preserve"> (pct.4.3.9.);</w:t>
      </w:r>
      <w:r w:rsidRPr="009E5B39">
        <w:rPr>
          <w:rFonts w:asciiTheme="majorHAnsi" w:hAnsiTheme="majorHAnsi" w:cstheme="majorHAnsi"/>
          <w:i/>
          <w:sz w:val="24"/>
          <w:szCs w:val="24"/>
          <w:lang w:val="ro-MD"/>
        </w:rPr>
        <w:t xml:space="preserve">   </w:t>
      </w:r>
    </w:p>
    <w:p w14:paraId="033C26E0" w14:textId="5611EE64"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Perceperea neregulamentară de către ÎM DCC a taxei pentru eliberarea permisului de racordare la conducta de gaze naturale a condiționat achitarea dublă de către cetățeni a costului de conectare la rețelele de gaze</w:t>
      </w:r>
      <w:r w:rsidRPr="009E5B39">
        <w:rPr>
          <w:rFonts w:asciiTheme="majorHAnsi" w:hAnsiTheme="majorHAnsi" w:cstheme="majorHAnsi"/>
          <w:bCs/>
          <w:i/>
          <w:iCs/>
          <w:sz w:val="24"/>
          <w:szCs w:val="24"/>
          <w:lang w:val="ro-MD"/>
        </w:rPr>
        <w:t xml:space="preserve"> (pct.4.3.9.);</w:t>
      </w:r>
      <w:r w:rsidRPr="009E5B39">
        <w:rPr>
          <w:rFonts w:asciiTheme="majorHAnsi" w:hAnsiTheme="majorHAnsi" w:cstheme="majorHAnsi"/>
          <w:i/>
          <w:sz w:val="24"/>
          <w:szCs w:val="24"/>
          <w:lang w:val="ro-MD"/>
        </w:rPr>
        <w:t xml:space="preserve"> </w:t>
      </w:r>
    </w:p>
    <w:p w14:paraId="35AC218A" w14:textId="7BC31C80"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 xml:space="preserve">  CMC și Primăria mun. Chișinău, până la moment, nu au soluționat problemele ce țin de: i) contabilizarea conformă a mijloacelor financiare și a mijloacelor fixe procurate/primite cu titlu  gratuit și transmise ÎM ca acțiuni și alte forme de participare în capital în interiorul țării (cod ECO 415); ii) delimitarea între bunurile transmise în gestiune economică (folosință) și bunurile  transmise în proprietate întreprinderilor municipale; iii) declararea, în Contractele de gestiune a serviciilor publice de gospodărie comunale, semnate cu ÎM, a acestora ca autorități contractante, în corespundere cu prevederile Legii nr.131/2015. Toate acestea au determinat faptul că Consiliul Concurenței a emis Decizia nr.ASO-34/21-28 din 31.05.2022, prin care constată acordarea ajutorului de stat, care urmează a fi restituit de către ÎM Regia „Exdrupo”. </w:t>
      </w:r>
      <w:r w:rsidRPr="009E5B39">
        <w:rPr>
          <w:rFonts w:asciiTheme="majorHAnsi" w:hAnsiTheme="majorHAnsi" w:cstheme="majorHAnsi"/>
          <w:bCs/>
          <w:i/>
          <w:iCs/>
          <w:sz w:val="24"/>
          <w:szCs w:val="24"/>
          <w:lang w:val="ro-MD"/>
        </w:rPr>
        <w:t>(pct.4.3.10.);</w:t>
      </w:r>
      <w:r w:rsidRPr="009E5B39">
        <w:rPr>
          <w:rFonts w:asciiTheme="majorHAnsi" w:hAnsiTheme="majorHAnsi" w:cstheme="majorHAnsi"/>
          <w:i/>
          <w:sz w:val="24"/>
          <w:szCs w:val="24"/>
          <w:lang w:val="ro-MD"/>
        </w:rPr>
        <w:t xml:space="preserve">   </w:t>
      </w:r>
    </w:p>
    <w:p w14:paraId="278F6D86" w14:textId="77777777"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APL a mun. Chișinău nu a întreprins careva măsuri pentru preluarea la evidență a 526,3 km de rețele de gaze naturale fără proprietar din mun. Chișinău.</w:t>
      </w:r>
      <w:r w:rsidRPr="009E5B39">
        <w:rPr>
          <w:rFonts w:asciiTheme="majorHAnsi" w:hAnsiTheme="majorHAnsi" w:cstheme="majorHAnsi"/>
          <w:bCs/>
          <w:i/>
          <w:iCs/>
          <w:sz w:val="24"/>
          <w:szCs w:val="24"/>
          <w:lang w:val="ro-MD"/>
        </w:rPr>
        <w:t xml:space="preserve"> (pct.4.3.10.);</w:t>
      </w:r>
      <w:r w:rsidRPr="009E5B39">
        <w:rPr>
          <w:rFonts w:asciiTheme="majorHAnsi" w:hAnsiTheme="majorHAnsi" w:cstheme="majorHAnsi"/>
          <w:i/>
          <w:sz w:val="24"/>
          <w:szCs w:val="24"/>
          <w:lang w:val="ro-MD"/>
        </w:rPr>
        <w:t xml:space="preserve">   </w:t>
      </w:r>
    </w:p>
    <w:p w14:paraId="4469759C" w14:textId="77777777" w:rsidR="00E63B45" w:rsidRPr="009E5B39" w:rsidRDefault="00E63B45" w:rsidP="00E63B45">
      <w:pPr>
        <w:numPr>
          <w:ilvl w:val="0"/>
          <w:numId w:val="119"/>
        </w:numPr>
        <w:spacing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ÎM DCC a casat neregulamentar, în anul 2018 lucrări nefinalizate în valoare totală de 124,23 mil. lei,</w:t>
      </w:r>
      <w:r w:rsidRPr="009E5B39">
        <w:rPr>
          <w:rFonts w:asciiTheme="majorHAnsi" w:hAnsiTheme="majorHAnsi" w:cstheme="majorHAnsi"/>
          <w:bCs/>
          <w:i/>
          <w:iCs/>
          <w:sz w:val="24"/>
          <w:szCs w:val="24"/>
          <w:lang w:val="ro-MD"/>
        </w:rPr>
        <w:t xml:space="preserve"> (pct.4.3.10.);</w:t>
      </w:r>
    </w:p>
    <w:p w14:paraId="1CD1C9E6" w14:textId="77777777" w:rsidR="00E63B45" w:rsidRPr="009E5B39" w:rsidRDefault="00E63B45" w:rsidP="003C5073">
      <w:pPr>
        <w:numPr>
          <w:ilvl w:val="0"/>
          <w:numId w:val="119"/>
        </w:numPr>
        <w:spacing w:after="0" w:line="276" w:lineRule="auto"/>
        <w:ind w:left="0" w:firstLine="426"/>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 xml:space="preserve">   </w:t>
      </w:r>
      <w:r w:rsidRPr="009E5B39">
        <w:rPr>
          <w:rFonts w:asciiTheme="majorHAnsi" w:hAnsiTheme="majorHAnsi" w:cstheme="majorHAnsi"/>
          <w:i/>
          <w:iCs/>
          <w:sz w:val="24"/>
          <w:szCs w:val="24"/>
          <w:lang w:val="ro-MD"/>
        </w:rPr>
        <w:t>CMC și autoritatea executivă a UAT mun. Chișinău nu au asigurat monitorizarea și executarea propriilor decizii, adoptate în perioada anilor 1998 – 2020, ce țin de: 1) reorganizarea ÎM DCC; 2) transmiterea către beneficiari a lucrărilor de investiții și reparație capitală, executate prin intermediul ÎM DCC; 3) majorarea capitalului social al întreprinderilor fondate; 4) patrimoniul  preluat cu titlu gratuit din proprietatea APL de nivelul I din suburbii și agenților economici; etc., ceea ce creează unele riscuri de pierdere a patrimoniului mun. Chișinău, precum și influențează veridicitatea valorii acestuia</w:t>
      </w:r>
      <w:r w:rsidRPr="009E5B39">
        <w:rPr>
          <w:rFonts w:asciiTheme="majorHAnsi" w:hAnsiTheme="majorHAnsi" w:cstheme="majorHAnsi"/>
          <w:i/>
          <w:sz w:val="24"/>
          <w:szCs w:val="24"/>
          <w:lang w:val="ro-MD"/>
        </w:rPr>
        <w:t>. (4.3.11.)</w:t>
      </w:r>
    </w:p>
    <w:p w14:paraId="618DDED5" w14:textId="0EE273B2" w:rsidR="006A1F6A" w:rsidRPr="009E5B39" w:rsidRDefault="007411EF">
      <w:pPr>
        <w:pStyle w:val="ListParagraph"/>
        <w:numPr>
          <w:ilvl w:val="0"/>
          <w:numId w:val="4"/>
        </w:numPr>
        <w:tabs>
          <w:tab w:val="left" w:pos="284"/>
        </w:tabs>
        <w:spacing w:after="0" w:line="276" w:lineRule="auto"/>
        <w:ind w:left="0" w:right="35" w:firstLine="360"/>
        <w:jc w:val="both"/>
        <w:rPr>
          <w:rFonts w:asciiTheme="majorHAnsi" w:eastAsia="Times New Roman" w:hAnsiTheme="majorHAnsi" w:cstheme="majorHAnsi"/>
          <w:i/>
          <w:iCs/>
          <w:sz w:val="24"/>
          <w:szCs w:val="24"/>
          <w:lang w:val="ro-MD" w:eastAsia="ru-RU"/>
        </w:rPr>
      </w:pPr>
      <w:r w:rsidRPr="009E5B39">
        <w:rPr>
          <w:rFonts w:asciiTheme="majorHAnsi" w:hAnsiTheme="majorHAnsi" w:cstheme="majorHAnsi"/>
          <w:i/>
          <w:sz w:val="24"/>
          <w:szCs w:val="24"/>
          <w:lang w:val="ro-MD"/>
        </w:rPr>
        <w:t>Mun. Chișinău continuă eliberarea autorizațiilor de construcții cu abateri de la cadrul normativ: i) în lipsa acordului CMC</w:t>
      </w:r>
      <w:r w:rsidR="007D1469"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ca proprietar al terenului</w:t>
      </w:r>
      <w:r w:rsidR="007D1469"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pentru efectuarea construcției; ii) în baza unui certificat de urbanism expirat; iii) fără respecta</w:t>
      </w:r>
      <w:r w:rsidR="007D1469" w:rsidRPr="009E5B39">
        <w:rPr>
          <w:rFonts w:asciiTheme="majorHAnsi" w:hAnsiTheme="majorHAnsi" w:cstheme="majorHAnsi"/>
          <w:i/>
          <w:sz w:val="24"/>
          <w:szCs w:val="24"/>
          <w:lang w:val="ro-MD"/>
        </w:rPr>
        <w:t>rea</w:t>
      </w:r>
      <w:r w:rsidRPr="009E5B39">
        <w:rPr>
          <w:rFonts w:asciiTheme="majorHAnsi" w:hAnsiTheme="majorHAnsi" w:cstheme="majorHAnsi"/>
          <w:i/>
          <w:sz w:val="24"/>
          <w:szCs w:val="24"/>
          <w:lang w:val="ro-MD"/>
        </w:rPr>
        <w:t xml:space="preserve"> prevederil</w:t>
      </w:r>
      <w:r w:rsidR="007D1469" w:rsidRPr="009E5B39">
        <w:rPr>
          <w:rFonts w:asciiTheme="majorHAnsi" w:hAnsiTheme="majorHAnsi" w:cstheme="majorHAnsi"/>
          <w:i/>
          <w:sz w:val="24"/>
          <w:szCs w:val="24"/>
          <w:lang w:val="ro-MD"/>
        </w:rPr>
        <w:t>or,</w:t>
      </w:r>
      <w:r w:rsidRPr="009E5B39">
        <w:rPr>
          <w:rFonts w:asciiTheme="majorHAnsi" w:hAnsiTheme="majorHAnsi" w:cstheme="majorHAnsi"/>
          <w:i/>
          <w:sz w:val="24"/>
          <w:szCs w:val="24"/>
          <w:lang w:val="ro-MD"/>
        </w:rPr>
        <w:t xml:space="preserve"> stabilite în certificatul de urbanism</w:t>
      </w:r>
      <w:r w:rsidR="007D1469"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privind Procentul de Ocupare a Teritoriului sub construcție; iv)</w:t>
      </w:r>
      <w:r w:rsidR="006A1F6A" w:rsidRPr="009E5B39">
        <w:rPr>
          <w:rFonts w:asciiTheme="majorHAnsi" w:hAnsiTheme="majorHAnsi" w:cstheme="majorHAnsi"/>
          <w:i/>
          <w:sz w:val="24"/>
          <w:szCs w:val="24"/>
          <w:lang w:val="ro-MD"/>
        </w:rPr>
        <w:t xml:space="preserve"> </w:t>
      </w:r>
      <w:r w:rsidRPr="009E5B39">
        <w:rPr>
          <w:rFonts w:asciiTheme="majorHAnsi" w:hAnsiTheme="majorHAnsi" w:cstheme="majorHAnsi"/>
          <w:i/>
          <w:sz w:val="24"/>
          <w:szCs w:val="24"/>
          <w:lang w:val="ro-MD"/>
        </w:rPr>
        <w:t>schimbarea zonei urbanistice a terenului</w:t>
      </w:r>
      <w:r w:rsidR="007D1469"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în scopul efectuării construcției blocului locativ multietajat</w:t>
      </w:r>
      <w:r w:rsidR="006A1F6A" w:rsidRPr="009E5B39">
        <w:rPr>
          <w:rFonts w:asciiTheme="majorHAnsi" w:hAnsiTheme="majorHAnsi" w:cstheme="majorHAnsi"/>
          <w:i/>
          <w:sz w:val="24"/>
          <w:szCs w:val="24"/>
          <w:lang w:val="ro-MD"/>
        </w:rPr>
        <w:t xml:space="preserve"> </w:t>
      </w:r>
      <w:r w:rsidRPr="009E5B39">
        <w:rPr>
          <w:rFonts w:asciiTheme="majorHAnsi" w:eastAsia="Times New Roman" w:hAnsiTheme="majorHAnsi" w:cstheme="majorHAnsi"/>
          <w:i/>
          <w:sz w:val="24"/>
          <w:szCs w:val="24"/>
          <w:lang w:val="ro-MD"/>
        </w:rPr>
        <w:t>(</w:t>
      </w:r>
      <w:r w:rsidRPr="009E5B39">
        <w:rPr>
          <w:rFonts w:asciiTheme="majorHAnsi" w:eastAsia="Calibri" w:hAnsiTheme="majorHAnsi" w:cstheme="majorHAnsi"/>
          <w:i/>
          <w:sz w:val="24"/>
          <w:szCs w:val="24"/>
          <w:lang w:val="ro-MD"/>
        </w:rPr>
        <w:t>pct. 4.4.1.)</w:t>
      </w:r>
      <w:r w:rsidRPr="009E5B39">
        <w:rPr>
          <w:rFonts w:asciiTheme="majorHAnsi" w:hAnsiTheme="majorHAnsi" w:cstheme="majorHAnsi"/>
          <w:i/>
          <w:sz w:val="24"/>
          <w:szCs w:val="24"/>
          <w:lang w:val="ro-MD"/>
        </w:rPr>
        <w:t>;</w:t>
      </w:r>
    </w:p>
    <w:p w14:paraId="4420D1B6" w14:textId="43068806" w:rsidR="007411EF" w:rsidRPr="009E5B39" w:rsidRDefault="007411EF" w:rsidP="00E153F4">
      <w:pPr>
        <w:pStyle w:val="ListParagraph"/>
        <w:numPr>
          <w:ilvl w:val="0"/>
          <w:numId w:val="4"/>
        </w:numPr>
        <w:tabs>
          <w:tab w:val="left" w:pos="284"/>
        </w:tabs>
        <w:spacing w:after="0" w:line="276" w:lineRule="auto"/>
        <w:ind w:left="0" w:right="35" w:firstLine="360"/>
        <w:jc w:val="both"/>
        <w:rPr>
          <w:rFonts w:asciiTheme="majorHAnsi" w:eastAsia="Times New Roman" w:hAnsiTheme="majorHAnsi" w:cstheme="majorHAnsi"/>
          <w:i/>
          <w:iCs/>
          <w:sz w:val="24"/>
          <w:szCs w:val="24"/>
          <w:lang w:val="ro-MD" w:eastAsia="ru-RU"/>
        </w:rPr>
      </w:pPr>
      <w:r w:rsidRPr="009E5B39">
        <w:rPr>
          <w:rFonts w:asciiTheme="majorHAnsi" w:hAnsiTheme="majorHAnsi" w:cstheme="majorHAnsi"/>
          <w:bCs/>
          <w:i/>
          <w:sz w:val="24"/>
          <w:szCs w:val="24"/>
          <w:lang w:val="ro-MD"/>
        </w:rPr>
        <w:t>Deși SA ACC a întreprins măsuri pentru a se conforma la recomandările anterioare ale Curții de Conturi, aceasta nu a eliminat toate premisele gestiun</w:t>
      </w:r>
      <w:r w:rsidR="007D1469" w:rsidRPr="009E5B39">
        <w:rPr>
          <w:rFonts w:asciiTheme="majorHAnsi" w:hAnsiTheme="majorHAnsi" w:cstheme="majorHAnsi"/>
          <w:bCs/>
          <w:i/>
          <w:sz w:val="24"/>
          <w:szCs w:val="24"/>
          <w:lang w:val="ro-MD"/>
        </w:rPr>
        <w:t>ii</w:t>
      </w:r>
      <w:r w:rsidRPr="009E5B39">
        <w:rPr>
          <w:rFonts w:asciiTheme="majorHAnsi" w:hAnsiTheme="majorHAnsi" w:cstheme="majorHAnsi"/>
          <w:bCs/>
          <w:i/>
          <w:sz w:val="24"/>
          <w:szCs w:val="24"/>
          <w:lang w:val="ro-MD"/>
        </w:rPr>
        <w:t xml:space="preserve"> ineficient</w:t>
      </w:r>
      <w:r w:rsidR="007D1469" w:rsidRPr="009E5B39">
        <w:rPr>
          <w:rFonts w:asciiTheme="majorHAnsi" w:hAnsiTheme="majorHAnsi" w:cstheme="majorHAnsi"/>
          <w:bCs/>
          <w:i/>
          <w:sz w:val="24"/>
          <w:szCs w:val="24"/>
          <w:lang w:val="ro-MD"/>
        </w:rPr>
        <w:t>e</w:t>
      </w:r>
      <w:r w:rsidRPr="009E5B39">
        <w:rPr>
          <w:rFonts w:asciiTheme="majorHAnsi" w:hAnsiTheme="majorHAnsi" w:cstheme="majorHAnsi"/>
          <w:bCs/>
          <w:i/>
          <w:sz w:val="24"/>
          <w:szCs w:val="24"/>
          <w:lang w:val="ro-MD"/>
        </w:rPr>
        <w:t xml:space="preserve"> a patrimoniului public local aflat în gestiunea sa,</w:t>
      </w:r>
      <w:r w:rsidR="007D1469" w:rsidRPr="009E5B39">
        <w:rPr>
          <w:rFonts w:asciiTheme="majorHAnsi" w:hAnsiTheme="majorHAnsi" w:cstheme="majorHAnsi"/>
          <w:bCs/>
          <w:i/>
          <w:sz w:val="24"/>
          <w:szCs w:val="24"/>
          <w:lang w:val="ro-MD"/>
        </w:rPr>
        <w:t xml:space="preserve"> </w:t>
      </w:r>
      <w:r w:rsidRPr="009E5B39">
        <w:rPr>
          <w:rFonts w:asciiTheme="majorHAnsi" w:hAnsiTheme="majorHAnsi" w:cstheme="majorHAnsi"/>
          <w:bCs/>
          <w:i/>
          <w:sz w:val="24"/>
          <w:szCs w:val="24"/>
          <w:lang w:val="ro-MD"/>
        </w:rPr>
        <w:t>dator</w:t>
      </w:r>
      <w:r w:rsidR="007D1469" w:rsidRPr="009E5B39">
        <w:rPr>
          <w:rFonts w:asciiTheme="majorHAnsi" w:hAnsiTheme="majorHAnsi" w:cstheme="majorHAnsi"/>
          <w:bCs/>
          <w:i/>
          <w:sz w:val="24"/>
          <w:szCs w:val="24"/>
          <w:lang w:val="ro-MD"/>
        </w:rPr>
        <w:t>ită</w:t>
      </w:r>
      <w:r w:rsidRPr="009E5B39">
        <w:rPr>
          <w:rFonts w:asciiTheme="majorHAnsi" w:hAnsiTheme="majorHAnsi" w:cstheme="majorHAnsi"/>
          <w:bCs/>
          <w:i/>
          <w:sz w:val="24"/>
          <w:szCs w:val="24"/>
          <w:lang w:val="ro-MD"/>
        </w:rPr>
        <w:t xml:space="preserve"> neimplement</w:t>
      </w:r>
      <w:r w:rsidR="00E13403" w:rsidRPr="009E5B39">
        <w:rPr>
          <w:rFonts w:asciiTheme="majorHAnsi" w:hAnsiTheme="majorHAnsi" w:cstheme="majorHAnsi"/>
          <w:bCs/>
          <w:i/>
          <w:sz w:val="24"/>
          <w:szCs w:val="24"/>
          <w:lang w:val="ro-MD"/>
        </w:rPr>
        <w:t>ării</w:t>
      </w:r>
      <w:r w:rsidRPr="009E5B39">
        <w:rPr>
          <w:rFonts w:asciiTheme="majorHAnsi" w:hAnsiTheme="majorHAnsi" w:cstheme="majorHAnsi"/>
          <w:bCs/>
          <w:i/>
          <w:sz w:val="24"/>
          <w:szCs w:val="24"/>
          <w:lang w:val="ro-MD"/>
        </w:rPr>
        <w:t xml:space="preserve"> recomandărilor înaintate APL a mun. Chișinău </w:t>
      </w:r>
      <w:r w:rsidR="00E13403" w:rsidRPr="009E5B39">
        <w:rPr>
          <w:rFonts w:asciiTheme="majorHAnsi" w:hAnsiTheme="majorHAnsi" w:cstheme="majorHAnsi"/>
          <w:bCs/>
          <w:i/>
          <w:sz w:val="24"/>
          <w:szCs w:val="24"/>
          <w:lang w:val="ro-MD"/>
        </w:rPr>
        <w:t xml:space="preserve">în </w:t>
      </w:r>
      <w:r w:rsidRPr="009E5B39">
        <w:rPr>
          <w:rFonts w:asciiTheme="majorHAnsi" w:hAnsiTheme="majorHAnsi" w:cstheme="majorHAnsi"/>
          <w:bCs/>
          <w:i/>
          <w:sz w:val="24"/>
          <w:szCs w:val="24"/>
          <w:lang w:val="ro-MD"/>
        </w:rPr>
        <w:t xml:space="preserve"> acest domeniu</w:t>
      </w:r>
      <w:r w:rsidR="006A1F6A" w:rsidRPr="009E5B39">
        <w:rPr>
          <w:rFonts w:asciiTheme="majorHAnsi" w:hAnsiTheme="majorHAnsi" w:cstheme="majorHAnsi"/>
          <w:bCs/>
          <w:i/>
          <w:sz w:val="24"/>
          <w:szCs w:val="24"/>
          <w:lang w:val="ro-MD"/>
        </w:rPr>
        <w:t xml:space="preserve"> </w:t>
      </w:r>
      <w:r w:rsidR="006A1F6A" w:rsidRPr="009E5B39">
        <w:rPr>
          <w:rFonts w:asciiTheme="majorHAnsi" w:eastAsia="Times New Roman" w:hAnsiTheme="majorHAnsi" w:cstheme="majorHAnsi"/>
          <w:i/>
          <w:sz w:val="24"/>
          <w:szCs w:val="24"/>
          <w:lang w:val="ro-MD"/>
        </w:rPr>
        <w:t>(</w:t>
      </w:r>
      <w:r w:rsidR="006A1F6A" w:rsidRPr="009E5B39">
        <w:rPr>
          <w:rFonts w:asciiTheme="majorHAnsi" w:eastAsia="Calibri" w:hAnsiTheme="majorHAnsi" w:cstheme="majorHAnsi"/>
          <w:i/>
          <w:sz w:val="24"/>
          <w:szCs w:val="24"/>
          <w:lang w:val="ro-MD"/>
        </w:rPr>
        <w:t>pct. 4.4.2.)</w:t>
      </w:r>
      <w:r w:rsidRPr="009E5B39">
        <w:rPr>
          <w:rFonts w:asciiTheme="majorHAnsi" w:hAnsiTheme="majorHAnsi" w:cstheme="majorHAnsi"/>
          <w:bCs/>
          <w:i/>
          <w:sz w:val="24"/>
          <w:szCs w:val="24"/>
          <w:lang w:val="ro-MD"/>
        </w:rPr>
        <w:t xml:space="preserve">. </w:t>
      </w:r>
    </w:p>
    <w:p w14:paraId="47C8963D" w14:textId="1C5571C2" w:rsidR="00442DF5" w:rsidRPr="009E5B39" w:rsidRDefault="00992FEF" w:rsidP="005333C2">
      <w:pPr>
        <w:tabs>
          <w:tab w:val="left" w:pos="284"/>
          <w:tab w:val="left" w:pos="993"/>
        </w:tabs>
        <w:spacing w:after="0" w:line="276" w:lineRule="auto"/>
        <w:ind w:firstLine="567"/>
        <w:jc w:val="both"/>
        <w:rPr>
          <w:rFonts w:asciiTheme="majorHAnsi" w:eastAsia="Times New Roman" w:hAnsiTheme="majorHAnsi" w:cstheme="majorHAnsi"/>
          <w:b/>
          <w:bCs/>
          <w:sz w:val="24"/>
          <w:szCs w:val="24"/>
          <w:lang w:val="ro-MD"/>
        </w:rPr>
      </w:pPr>
      <w:r w:rsidRPr="009E5B39">
        <w:rPr>
          <w:rFonts w:asciiTheme="majorHAnsi" w:eastAsia="Times New Roman" w:hAnsiTheme="majorHAnsi" w:cstheme="majorHAnsi"/>
          <w:b/>
          <w:bCs/>
          <w:sz w:val="24"/>
          <w:szCs w:val="24"/>
          <w:lang w:val="ro-MD"/>
        </w:rPr>
        <w:t>Constatările de audit și concluziile detaliate asupra aspectelor auditate în cadrul misiunii de audit sunt redate în compartimentele respective ale prezentului Raport de audit. Pentru remedierea deficiențelor constatate, au fost înaintate recomandările de rigoare, care au fost comunicate și coordonate c</w:t>
      </w:r>
      <w:r w:rsidR="001E7DF3" w:rsidRPr="009E5B39">
        <w:rPr>
          <w:rFonts w:asciiTheme="majorHAnsi" w:eastAsia="Times New Roman" w:hAnsiTheme="majorHAnsi" w:cstheme="majorHAnsi"/>
          <w:b/>
          <w:bCs/>
          <w:sz w:val="24"/>
          <w:szCs w:val="24"/>
          <w:lang w:val="ro-MD"/>
        </w:rPr>
        <w:t xml:space="preserve">u </w:t>
      </w:r>
      <w:r w:rsidR="00126DF8" w:rsidRPr="009E5B39">
        <w:rPr>
          <w:rFonts w:asciiTheme="majorHAnsi" w:eastAsia="Times New Roman" w:hAnsiTheme="majorHAnsi" w:cstheme="majorHAnsi"/>
          <w:b/>
          <w:bCs/>
          <w:sz w:val="24"/>
          <w:szCs w:val="24"/>
          <w:lang w:val="ro-MD"/>
        </w:rPr>
        <w:t>APL</w:t>
      </w:r>
      <w:r w:rsidR="001E7DF3" w:rsidRPr="009E5B39">
        <w:rPr>
          <w:rFonts w:asciiTheme="majorHAnsi" w:eastAsia="Times New Roman" w:hAnsiTheme="majorHAnsi" w:cstheme="majorHAnsi"/>
          <w:b/>
          <w:bCs/>
          <w:sz w:val="24"/>
          <w:szCs w:val="24"/>
          <w:lang w:val="ro-MD"/>
        </w:rPr>
        <w:t xml:space="preserve"> </w:t>
      </w:r>
      <w:r w:rsidR="00126DF8" w:rsidRPr="009E5B39">
        <w:rPr>
          <w:rFonts w:asciiTheme="majorHAnsi" w:eastAsia="Times New Roman" w:hAnsiTheme="majorHAnsi" w:cstheme="majorHAnsi"/>
          <w:b/>
          <w:bCs/>
          <w:sz w:val="24"/>
          <w:szCs w:val="24"/>
          <w:lang w:val="ro-MD"/>
        </w:rPr>
        <w:t xml:space="preserve">a </w:t>
      </w:r>
      <w:r w:rsidR="001E7DF3" w:rsidRPr="009E5B39">
        <w:rPr>
          <w:rFonts w:asciiTheme="majorHAnsi" w:eastAsia="Times New Roman" w:hAnsiTheme="majorHAnsi" w:cstheme="majorHAnsi"/>
          <w:b/>
          <w:bCs/>
          <w:sz w:val="24"/>
          <w:szCs w:val="24"/>
          <w:lang w:val="ro-MD"/>
        </w:rPr>
        <w:t>mun. Chișinău.</w:t>
      </w:r>
    </w:p>
    <w:p w14:paraId="7E93DFDE" w14:textId="77777777" w:rsidR="00442DF5" w:rsidRPr="009E5B39" w:rsidRDefault="00442DF5" w:rsidP="005333C2">
      <w:pPr>
        <w:tabs>
          <w:tab w:val="left" w:pos="284"/>
          <w:tab w:val="left" w:pos="993"/>
        </w:tabs>
        <w:spacing w:after="0" w:line="276" w:lineRule="auto"/>
        <w:jc w:val="both"/>
        <w:rPr>
          <w:rFonts w:asciiTheme="majorHAnsi" w:eastAsia="Times New Roman" w:hAnsiTheme="majorHAnsi" w:cstheme="majorHAnsi"/>
          <w:b/>
          <w:bCs/>
          <w:sz w:val="24"/>
          <w:szCs w:val="24"/>
          <w:lang w:val="ro-MD"/>
        </w:rPr>
      </w:pPr>
    </w:p>
    <w:p w14:paraId="4BA3DE49" w14:textId="1A736D36" w:rsidR="00992FEF" w:rsidRPr="009E5B39" w:rsidRDefault="00992FEF" w:rsidP="00C366DF">
      <w:pPr>
        <w:pStyle w:val="ListParagraph"/>
        <w:keepNext/>
        <w:keepLines/>
        <w:numPr>
          <w:ilvl w:val="0"/>
          <w:numId w:val="94"/>
        </w:numPr>
        <w:spacing w:after="0" w:line="276" w:lineRule="auto"/>
        <w:jc w:val="both"/>
        <w:outlineLvl w:val="0"/>
        <w:rPr>
          <w:rFonts w:asciiTheme="majorHAnsi" w:eastAsia="Times New Roman" w:hAnsiTheme="majorHAnsi" w:cstheme="majorHAnsi"/>
          <w:b/>
          <w:sz w:val="24"/>
          <w:szCs w:val="24"/>
          <w:lang w:val="ro-MD"/>
        </w:rPr>
      </w:pPr>
      <w:bookmarkStart w:id="6" w:name="_Toc116026874"/>
      <w:r w:rsidRPr="009E5B39">
        <w:rPr>
          <w:rFonts w:asciiTheme="majorHAnsi" w:eastAsia="Times New Roman" w:hAnsiTheme="majorHAnsi" w:cstheme="majorHAnsi"/>
          <w:b/>
          <w:sz w:val="24"/>
          <w:szCs w:val="24"/>
          <w:lang w:val="ro-MD"/>
        </w:rPr>
        <w:t>PREZENTARE</w:t>
      </w:r>
      <w:r w:rsidR="007F2632" w:rsidRPr="009E5B39">
        <w:rPr>
          <w:rFonts w:asciiTheme="majorHAnsi" w:eastAsia="Times New Roman" w:hAnsiTheme="majorHAnsi" w:cstheme="majorHAnsi"/>
          <w:b/>
          <w:color w:val="000000" w:themeColor="text1"/>
          <w:sz w:val="24"/>
          <w:szCs w:val="24"/>
          <w:lang w:val="ro-MD"/>
        </w:rPr>
        <w:t>A</w:t>
      </w:r>
      <w:r w:rsidRPr="009E5B39">
        <w:rPr>
          <w:rFonts w:asciiTheme="majorHAnsi" w:eastAsia="Times New Roman" w:hAnsiTheme="majorHAnsi" w:cstheme="majorHAnsi"/>
          <w:b/>
          <w:sz w:val="24"/>
          <w:szCs w:val="24"/>
          <w:lang w:val="ro-MD"/>
        </w:rPr>
        <w:t xml:space="preserve"> GENERALĂ</w:t>
      </w:r>
      <w:bookmarkEnd w:id="6"/>
    </w:p>
    <w:p w14:paraId="68936EC8" w14:textId="77777777" w:rsidR="00992FEF" w:rsidRPr="009E5B39" w:rsidRDefault="00992FEF" w:rsidP="005333C2">
      <w:pPr>
        <w:spacing w:after="0" w:line="276" w:lineRule="auto"/>
        <w:rPr>
          <w:rFonts w:asciiTheme="majorHAnsi" w:eastAsia="Times New Roman" w:hAnsiTheme="majorHAnsi" w:cstheme="majorHAnsi"/>
          <w:b/>
          <w:bCs/>
          <w:sz w:val="24"/>
          <w:szCs w:val="24"/>
          <w:lang w:val="ro-MD"/>
        </w:rPr>
      </w:pPr>
      <w:r w:rsidRPr="009E5B39">
        <w:rPr>
          <w:rFonts w:asciiTheme="majorHAnsi" w:hAnsiTheme="majorHAnsi" w:cstheme="majorHAnsi"/>
          <w:b/>
          <w:bCs/>
          <w:sz w:val="24"/>
          <w:szCs w:val="24"/>
          <w:lang w:val="ro-MD"/>
        </w:rPr>
        <w:t>2.1. Domeniul de activitate al entității auditate</w:t>
      </w:r>
    </w:p>
    <w:p w14:paraId="4353BF34" w14:textId="77777777" w:rsidR="003D1338" w:rsidRPr="009E5B39" w:rsidRDefault="00992FEF" w:rsidP="003D1338">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UAT mun. Chișinău a fost constituită în conformitate cu Legea privind organizarea administrativ-teritorială a Republicii Moldova</w:t>
      </w:r>
      <w:r w:rsidRPr="009E5B39">
        <w:rPr>
          <w:rFonts w:asciiTheme="majorHAnsi" w:hAnsiTheme="majorHAnsi" w:cstheme="majorHAnsi"/>
          <w:sz w:val="24"/>
          <w:szCs w:val="24"/>
          <w:vertAlign w:val="superscript"/>
          <w:lang w:val="ro-MD"/>
        </w:rPr>
        <w:footnoteReference w:id="9"/>
      </w:r>
      <w:r w:rsidRPr="009E5B39">
        <w:rPr>
          <w:rFonts w:asciiTheme="majorHAnsi" w:hAnsiTheme="majorHAnsi" w:cstheme="majorHAnsi"/>
          <w:sz w:val="24"/>
          <w:szCs w:val="24"/>
          <w:lang w:val="ro-MD"/>
        </w:rPr>
        <w:t xml:space="preserve"> și activează conform Legii privind descentralizarea administrativă</w:t>
      </w:r>
      <w:r w:rsidRPr="009E5B39">
        <w:rPr>
          <w:rFonts w:asciiTheme="majorHAnsi" w:hAnsiTheme="majorHAnsi" w:cstheme="majorHAnsi"/>
          <w:sz w:val="24"/>
          <w:szCs w:val="24"/>
          <w:vertAlign w:val="superscript"/>
          <w:lang w:val="ro-MD"/>
        </w:rPr>
        <w:footnoteReference w:id="10"/>
      </w:r>
      <w:r w:rsidRPr="009E5B39">
        <w:rPr>
          <w:rFonts w:asciiTheme="majorHAnsi" w:hAnsiTheme="majorHAnsi" w:cstheme="majorHAnsi"/>
          <w:sz w:val="24"/>
          <w:szCs w:val="24"/>
          <w:lang w:val="ro-MD"/>
        </w:rPr>
        <w:t>, Legii privind administrația publică locală</w:t>
      </w:r>
      <w:r w:rsidRPr="009E5B39">
        <w:rPr>
          <w:rFonts w:asciiTheme="majorHAnsi" w:hAnsiTheme="majorHAnsi" w:cstheme="majorHAnsi"/>
          <w:sz w:val="24"/>
          <w:szCs w:val="24"/>
          <w:vertAlign w:val="superscript"/>
          <w:lang w:val="ro-MD"/>
        </w:rPr>
        <w:footnoteReference w:id="11"/>
      </w:r>
      <w:r w:rsidRPr="009E5B39">
        <w:rPr>
          <w:rFonts w:asciiTheme="majorHAnsi" w:hAnsiTheme="majorHAnsi" w:cstheme="majorHAnsi"/>
          <w:sz w:val="24"/>
          <w:szCs w:val="24"/>
          <w:lang w:val="ro-MD"/>
        </w:rPr>
        <w:t xml:space="preserve"> și Legii privind statutul municipiului Chișinău</w:t>
      </w:r>
      <w:r w:rsidRPr="009E5B39">
        <w:rPr>
          <w:rFonts w:asciiTheme="majorHAnsi" w:hAnsiTheme="majorHAnsi" w:cstheme="majorHAnsi"/>
          <w:sz w:val="24"/>
          <w:szCs w:val="24"/>
          <w:vertAlign w:val="superscript"/>
          <w:lang w:val="ro-MD"/>
        </w:rPr>
        <w:footnoteReference w:id="12"/>
      </w:r>
      <w:r w:rsidRPr="009E5B39">
        <w:rPr>
          <w:rFonts w:asciiTheme="majorHAnsi" w:hAnsiTheme="majorHAnsi" w:cstheme="majorHAnsi"/>
          <w:sz w:val="24"/>
          <w:szCs w:val="24"/>
          <w:lang w:val="ro-MD"/>
        </w:rPr>
        <w:t>.</w:t>
      </w:r>
    </w:p>
    <w:p w14:paraId="07AABED6" w14:textId="14F9EEC1" w:rsidR="003D1338" w:rsidRPr="009E5B39" w:rsidRDefault="003D1338" w:rsidP="003D1338">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Municipiul Chișinău este o unitate administrativ-teritorială de nivelul II, care din punct de vedere administrativ este compus din orașul Chișinău, împărțit în cinci sectoare – Botanica, Buiucani, Centru, Ciocana, Rîșcani</w:t>
      </w:r>
      <w:r w:rsidR="00BF6D46"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și 18 UAT de nivelul I: </w:t>
      </w:r>
      <w:r w:rsidRPr="009E5B39">
        <w:rPr>
          <w:rFonts w:asciiTheme="majorHAnsi" w:eastAsia="Times New Roman" w:hAnsiTheme="majorHAnsi" w:cstheme="majorHAnsi"/>
          <w:color w:val="333333"/>
          <w:sz w:val="24"/>
          <w:szCs w:val="24"/>
          <w:lang w:val="ro-MD"/>
        </w:rPr>
        <w:t>6 orașe cu trei localități în componență; 8 comune cu 21 de sate în componență; 4 sate.</w:t>
      </w:r>
      <w:r w:rsidR="00E60A28" w:rsidRPr="009E5B39">
        <w:rPr>
          <w:rFonts w:asciiTheme="majorHAnsi" w:eastAsia="Times New Roman" w:hAnsiTheme="majorHAnsi" w:cstheme="majorHAnsi"/>
          <w:color w:val="333333"/>
          <w:sz w:val="24"/>
          <w:szCs w:val="24"/>
          <w:lang w:val="ro-MD"/>
        </w:rPr>
        <w:t xml:space="preserve"> Suprafața municipiului constituie 572 km</w:t>
      </w:r>
      <w:r w:rsidR="00E60A28" w:rsidRPr="009E5B39">
        <w:rPr>
          <w:rFonts w:asciiTheme="majorHAnsi" w:eastAsia="Times New Roman" w:hAnsiTheme="majorHAnsi" w:cstheme="majorHAnsi"/>
          <w:color w:val="333333"/>
          <w:sz w:val="24"/>
          <w:szCs w:val="24"/>
          <w:vertAlign w:val="superscript"/>
          <w:lang w:val="ro-MD"/>
        </w:rPr>
        <w:t xml:space="preserve">2 </w:t>
      </w:r>
      <w:r w:rsidR="00E3607F" w:rsidRPr="009E5B39">
        <w:rPr>
          <w:rFonts w:asciiTheme="majorHAnsi" w:eastAsia="Times New Roman" w:hAnsiTheme="majorHAnsi" w:cstheme="majorHAnsi"/>
          <w:color w:val="333333"/>
          <w:sz w:val="24"/>
          <w:szCs w:val="24"/>
          <w:lang w:val="ro-MD"/>
        </w:rPr>
        <w:t>, c</w:t>
      </w:r>
      <w:r w:rsidR="00E60A28" w:rsidRPr="009E5B39">
        <w:rPr>
          <w:rFonts w:asciiTheme="majorHAnsi" w:eastAsia="Times New Roman" w:hAnsiTheme="majorHAnsi" w:cstheme="majorHAnsi"/>
          <w:color w:val="333333"/>
          <w:sz w:val="24"/>
          <w:szCs w:val="24"/>
          <w:lang w:val="ro-MD"/>
        </w:rPr>
        <w:t xml:space="preserve">u o populație de circa 779,3 mii de locuitori. </w:t>
      </w:r>
    </w:p>
    <w:p w14:paraId="3EB75319" w14:textId="0A09B437" w:rsidR="003D1338" w:rsidRPr="009E5B39" w:rsidRDefault="003D1338" w:rsidP="003D1338">
      <w:pPr>
        <w:spacing w:after="0" w:line="276" w:lineRule="auto"/>
        <w:ind w:firstLine="709"/>
        <w:jc w:val="both"/>
        <w:rPr>
          <w:rFonts w:asciiTheme="majorHAnsi" w:hAnsiTheme="majorHAnsi" w:cstheme="majorHAnsi"/>
          <w:sz w:val="24"/>
          <w:szCs w:val="24"/>
          <w:lang w:val="ro-MD"/>
        </w:rPr>
      </w:pPr>
      <w:r w:rsidRPr="009E5B39">
        <w:rPr>
          <w:rFonts w:asciiTheme="majorHAnsi" w:eastAsia="Calibri" w:hAnsiTheme="majorHAnsi" w:cstheme="majorHAnsi"/>
          <w:sz w:val="24"/>
          <w:szCs w:val="24"/>
          <w:lang w:val="ro-MD"/>
        </w:rPr>
        <w:t xml:space="preserve"> Din bugetul UAT mun. Chișinău, în anul 2020, au fost finanțate 74 </w:t>
      </w:r>
      <w:r w:rsidR="00E3607F" w:rsidRPr="009E5B39">
        <w:rPr>
          <w:rFonts w:asciiTheme="majorHAnsi" w:eastAsia="Calibri" w:hAnsiTheme="majorHAnsi" w:cstheme="majorHAnsi"/>
          <w:sz w:val="24"/>
          <w:szCs w:val="24"/>
          <w:lang w:val="ro-MD"/>
        </w:rPr>
        <w:t xml:space="preserve">de </w:t>
      </w:r>
      <w:r w:rsidRPr="009E5B39">
        <w:rPr>
          <w:rFonts w:asciiTheme="majorHAnsi" w:eastAsia="Calibri" w:hAnsiTheme="majorHAnsi" w:cstheme="majorHAnsi"/>
          <w:sz w:val="24"/>
          <w:szCs w:val="24"/>
          <w:lang w:val="ro-MD"/>
        </w:rPr>
        <w:t xml:space="preserve">instituții, </w:t>
      </w:r>
      <w:r w:rsidR="00E3607F" w:rsidRPr="009E5B39">
        <w:rPr>
          <w:rFonts w:asciiTheme="majorHAnsi" w:eastAsia="Calibri" w:hAnsiTheme="majorHAnsi" w:cstheme="majorHAnsi"/>
          <w:sz w:val="24"/>
          <w:szCs w:val="24"/>
          <w:lang w:val="ro-MD"/>
        </w:rPr>
        <w:t>inclusiv</w:t>
      </w:r>
      <w:r w:rsidRPr="009E5B39">
        <w:rPr>
          <w:rFonts w:asciiTheme="majorHAnsi" w:eastAsia="Calibri" w:hAnsiTheme="majorHAnsi" w:cstheme="majorHAnsi"/>
          <w:sz w:val="24"/>
          <w:szCs w:val="24"/>
          <w:lang w:val="ro-MD"/>
        </w:rPr>
        <w:t xml:space="preserve">: 12 Direcții Generale, 48 </w:t>
      </w:r>
      <w:r w:rsidR="00E3607F" w:rsidRPr="009E5B39">
        <w:rPr>
          <w:rFonts w:asciiTheme="majorHAnsi" w:eastAsia="Calibri" w:hAnsiTheme="majorHAnsi" w:cstheme="majorHAnsi"/>
          <w:sz w:val="24"/>
          <w:szCs w:val="24"/>
          <w:lang w:val="ro-MD"/>
        </w:rPr>
        <w:t xml:space="preserve">de </w:t>
      </w:r>
      <w:r w:rsidRPr="009E5B39">
        <w:rPr>
          <w:rFonts w:asciiTheme="majorHAnsi" w:eastAsia="Calibri" w:hAnsiTheme="majorHAnsi" w:cstheme="majorHAnsi"/>
          <w:sz w:val="24"/>
          <w:szCs w:val="24"/>
          <w:lang w:val="ro-MD"/>
        </w:rPr>
        <w:t>instituții de învățământ preuniversitar și alte 14 instituții</w:t>
      </w:r>
      <w:r w:rsidR="00E3607F" w:rsidRPr="009E5B39">
        <w:rPr>
          <w:rFonts w:asciiTheme="majorHAnsi" w:eastAsia="Calibri" w:hAnsiTheme="majorHAnsi" w:cstheme="majorHAnsi"/>
          <w:sz w:val="24"/>
          <w:szCs w:val="24"/>
          <w:lang w:val="ro-MD"/>
        </w:rPr>
        <w:t>.</w:t>
      </w:r>
    </w:p>
    <w:p w14:paraId="60690167" w14:textId="4B7344C8" w:rsidR="00992FEF" w:rsidRPr="009E5B39" w:rsidRDefault="00992FEF" w:rsidP="005333C2">
      <w:pPr>
        <w:spacing w:after="0" w:line="276" w:lineRule="auto"/>
        <w:ind w:firstLine="709"/>
        <w:jc w:val="both"/>
        <w:rPr>
          <w:rFonts w:asciiTheme="majorHAnsi" w:eastAsia="Calibri" w:hAnsiTheme="majorHAnsi" w:cstheme="majorHAnsi"/>
          <w:sz w:val="24"/>
          <w:szCs w:val="24"/>
          <w:lang w:val="ro-MD"/>
        </w:rPr>
      </w:pPr>
      <w:r w:rsidRPr="009E5B39">
        <w:rPr>
          <w:rFonts w:asciiTheme="majorHAnsi" w:eastAsia="Calibri" w:hAnsiTheme="majorHAnsi" w:cstheme="majorHAnsi"/>
          <w:sz w:val="24"/>
          <w:szCs w:val="24"/>
          <w:lang w:val="ro-MD"/>
        </w:rPr>
        <w:t xml:space="preserve">UAT este persoană juridică de drept public, se bucură de autonomie financiară, adoptă bugetul său propriu, care este independent și separat de bugetul de stat, și dispune de un patrimoniu distinct de cel al statului și al altor UAT. </w:t>
      </w:r>
      <w:r w:rsidRPr="009E5B39">
        <w:rPr>
          <w:rFonts w:asciiTheme="majorHAnsi" w:eastAsia="Calibri" w:hAnsiTheme="majorHAnsi" w:cstheme="majorHAnsi"/>
          <w:sz w:val="24"/>
          <w:szCs w:val="24"/>
          <w:lang w:val="ro-MD" w:eastAsia="lv-LV"/>
        </w:rPr>
        <w:t>Activitatea de elaborare și aprobare a bugetului local este reglementată prin prevederile Legii nr.181 din 25.07.2014</w:t>
      </w:r>
      <w:r w:rsidRPr="009E5B39">
        <w:rPr>
          <w:rFonts w:asciiTheme="majorHAnsi" w:eastAsia="Calibri" w:hAnsiTheme="majorHAnsi" w:cstheme="majorHAnsi"/>
          <w:sz w:val="24"/>
          <w:szCs w:val="24"/>
          <w:vertAlign w:val="superscript"/>
          <w:lang w:val="ro-MD" w:eastAsia="lv-LV"/>
        </w:rPr>
        <w:footnoteReference w:id="13"/>
      </w:r>
      <w:r w:rsidRPr="009E5B39">
        <w:rPr>
          <w:rFonts w:asciiTheme="majorHAnsi" w:eastAsia="Calibri" w:hAnsiTheme="majorHAnsi" w:cstheme="majorHAnsi"/>
          <w:sz w:val="24"/>
          <w:szCs w:val="24"/>
          <w:lang w:val="ro-MD" w:eastAsia="lv-LV"/>
        </w:rPr>
        <w:t>, Legii nr.397-XV din 16.10.2003</w:t>
      </w:r>
      <w:r w:rsidRPr="009E5B39">
        <w:rPr>
          <w:rFonts w:asciiTheme="majorHAnsi" w:eastAsia="Calibri" w:hAnsiTheme="majorHAnsi" w:cstheme="majorHAnsi"/>
          <w:sz w:val="24"/>
          <w:szCs w:val="24"/>
          <w:vertAlign w:val="superscript"/>
          <w:lang w:val="ro-MD" w:eastAsia="lv-LV"/>
        </w:rPr>
        <w:footnoteReference w:id="14"/>
      </w:r>
      <w:r w:rsidRPr="009E5B39">
        <w:rPr>
          <w:rFonts w:asciiTheme="majorHAnsi" w:eastAsia="Calibri" w:hAnsiTheme="majorHAnsi" w:cstheme="majorHAnsi"/>
          <w:sz w:val="24"/>
          <w:szCs w:val="24"/>
          <w:lang w:val="ro-MD" w:eastAsia="lv-LV"/>
        </w:rPr>
        <w:t xml:space="preserve"> și de Setul metodologic privind elaborarea, aprobarea și modificarea bugetului</w:t>
      </w:r>
      <w:r w:rsidRPr="009E5B39">
        <w:rPr>
          <w:rFonts w:asciiTheme="majorHAnsi" w:eastAsia="Calibri" w:hAnsiTheme="majorHAnsi" w:cstheme="majorHAnsi"/>
          <w:sz w:val="24"/>
          <w:szCs w:val="24"/>
          <w:vertAlign w:val="superscript"/>
          <w:lang w:val="ro-MD" w:eastAsia="lv-LV"/>
        </w:rPr>
        <w:footnoteReference w:id="15"/>
      </w:r>
      <w:r w:rsidRPr="009E5B39">
        <w:rPr>
          <w:rFonts w:asciiTheme="majorHAnsi" w:eastAsia="Calibri" w:hAnsiTheme="majorHAnsi" w:cstheme="majorHAnsi"/>
          <w:sz w:val="24"/>
          <w:szCs w:val="24"/>
          <w:lang w:val="ro-MD" w:eastAsia="lv-LV"/>
        </w:rPr>
        <w:t xml:space="preserve">. Activitatea de raportare a executării bugetului este reglementată prin </w:t>
      </w:r>
      <w:r w:rsidRPr="009E5B39">
        <w:rPr>
          <w:rFonts w:asciiTheme="majorHAnsi" w:eastAsia="Calibri" w:hAnsiTheme="majorHAnsi" w:cstheme="majorHAnsi"/>
          <w:bCs/>
          <w:sz w:val="24"/>
          <w:szCs w:val="24"/>
          <w:lang w:val="ro-MD" w:eastAsia="lv-LV"/>
        </w:rPr>
        <w:t xml:space="preserve">Ordinul ministrului </w:t>
      </w:r>
      <w:r w:rsidR="005106A3" w:rsidRPr="009E5B39">
        <w:rPr>
          <w:rFonts w:asciiTheme="majorHAnsi" w:eastAsia="Calibri" w:hAnsiTheme="majorHAnsi" w:cstheme="majorHAnsi"/>
          <w:bCs/>
          <w:sz w:val="24"/>
          <w:szCs w:val="24"/>
          <w:lang w:val="ro-MD" w:eastAsia="lv-LV"/>
        </w:rPr>
        <w:t>f</w:t>
      </w:r>
      <w:r w:rsidRPr="009E5B39">
        <w:rPr>
          <w:rFonts w:asciiTheme="majorHAnsi" w:eastAsia="Calibri" w:hAnsiTheme="majorHAnsi" w:cstheme="majorHAnsi"/>
          <w:bCs/>
          <w:sz w:val="24"/>
          <w:szCs w:val="24"/>
          <w:lang w:val="ro-MD" w:eastAsia="lv-LV"/>
        </w:rPr>
        <w:t>inanțelor nr.164 din 30.12.2016</w:t>
      </w:r>
      <w:r w:rsidRPr="009E5B39">
        <w:rPr>
          <w:rFonts w:asciiTheme="majorHAnsi" w:eastAsia="Calibri" w:hAnsiTheme="majorHAnsi" w:cstheme="majorHAnsi"/>
          <w:bCs/>
          <w:sz w:val="24"/>
          <w:szCs w:val="24"/>
          <w:vertAlign w:val="superscript"/>
          <w:lang w:val="ro-MD" w:eastAsia="lv-LV"/>
        </w:rPr>
        <w:footnoteReference w:id="16"/>
      </w:r>
      <w:r w:rsidRPr="009E5B39">
        <w:rPr>
          <w:rFonts w:asciiTheme="majorHAnsi" w:eastAsia="Calibri" w:hAnsiTheme="majorHAnsi" w:cstheme="majorHAnsi"/>
          <w:bCs/>
          <w:sz w:val="24"/>
          <w:szCs w:val="24"/>
          <w:lang w:val="ro-MD" w:eastAsia="lv-LV"/>
        </w:rPr>
        <w:t>.</w:t>
      </w:r>
    </w:p>
    <w:p w14:paraId="2136630F" w14:textId="3723A265" w:rsidR="00992FEF" w:rsidRPr="009E5B39" w:rsidRDefault="00992FEF" w:rsidP="007102DC">
      <w:pPr>
        <w:spacing w:before="240" w:after="0" w:line="276" w:lineRule="auto"/>
        <w:rPr>
          <w:rFonts w:asciiTheme="majorHAnsi" w:eastAsia="Calibri" w:hAnsiTheme="majorHAnsi" w:cstheme="majorHAnsi"/>
          <w:b/>
          <w:sz w:val="24"/>
          <w:szCs w:val="24"/>
          <w:lang w:val="ro-MD"/>
        </w:rPr>
      </w:pPr>
      <w:r w:rsidRPr="009E5B39">
        <w:rPr>
          <w:rFonts w:asciiTheme="majorHAnsi" w:eastAsia="Calibri" w:hAnsiTheme="majorHAnsi" w:cstheme="majorHAnsi"/>
          <w:b/>
          <w:sz w:val="24"/>
          <w:szCs w:val="24"/>
          <w:lang w:val="ro-MD"/>
        </w:rPr>
        <w:t>2.2. Responsabilitățile părților implicate</w:t>
      </w:r>
    </w:p>
    <w:p w14:paraId="3E830D24" w14:textId="02913599" w:rsidR="00992FEF" w:rsidRPr="009E5B39" w:rsidRDefault="00992FEF" w:rsidP="005333C2">
      <w:pPr>
        <w:spacing w:after="0" w:line="276" w:lineRule="auto"/>
        <w:ind w:firstLine="709"/>
        <w:contextualSpacing/>
        <w:jc w:val="both"/>
        <w:rPr>
          <w:rFonts w:asciiTheme="majorHAnsi" w:eastAsia="Calibri" w:hAnsiTheme="majorHAnsi" w:cstheme="majorHAnsi"/>
          <w:sz w:val="24"/>
          <w:szCs w:val="24"/>
          <w:lang w:val="ro-MD"/>
        </w:rPr>
      </w:pPr>
      <w:r w:rsidRPr="009E5B39">
        <w:rPr>
          <w:rFonts w:asciiTheme="majorHAnsi" w:hAnsiTheme="majorHAnsi" w:cstheme="majorHAnsi"/>
          <w:b/>
          <w:sz w:val="24"/>
          <w:szCs w:val="24"/>
          <w:lang w:val="ro-MD"/>
        </w:rPr>
        <w:t>Subiecții prin care UAT mun. Chișinău își realizează autonomia locală</w:t>
      </w:r>
      <w:r w:rsidRPr="009E5B39">
        <w:rPr>
          <w:rFonts w:asciiTheme="majorHAnsi" w:hAnsiTheme="majorHAnsi" w:cstheme="majorHAnsi"/>
          <w:sz w:val="24"/>
          <w:szCs w:val="24"/>
          <w:lang w:val="ro-MD"/>
        </w:rPr>
        <w:t xml:space="preserve">, </w:t>
      </w:r>
      <w:r w:rsidRPr="009E5B39">
        <w:rPr>
          <w:rFonts w:asciiTheme="majorHAnsi" w:eastAsia="Calibri" w:hAnsiTheme="majorHAnsi" w:cstheme="majorHAnsi"/>
          <w:sz w:val="24"/>
          <w:szCs w:val="24"/>
          <w:lang w:val="ro-MD"/>
        </w:rPr>
        <w:t xml:space="preserve">conform prevederilor Legii nr.436 din 28.12.2006 și Legii nr.397 din 16.10.2003, responsabili de elaborarea și executarea bugetului UAT </w:t>
      </w:r>
      <w:r w:rsidR="005106A3" w:rsidRPr="009E5B39">
        <w:rPr>
          <w:rFonts w:asciiTheme="majorHAnsi" w:eastAsia="Calibri" w:hAnsiTheme="majorHAnsi" w:cstheme="majorHAnsi"/>
          <w:sz w:val="24"/>
          <w:szCs w:val="24"/>
          <w:lang w:val="ro-MD"/>
        </w:rPr>
        <w:t xml:space="preserve">mun. </w:t>
      </w:r>
      <w:r w:rsidRPr="009E5B39">
        <w:rPr>
          <w:rFonts w:asciiTheme="majorHAnsi" w:eastAsia="Calibri" w:hAnsiTheme="majorHAnsi" w:cstheme="majorHAnsi"/>
          <w:sz w:val="24"/>
          <w:szCs w:val="24"/>
          <w:lang w:val="ro-MD"/>
        </w:rPr>
        <w:t>Chișinău, precum și de gestiunea patrimoniului public</w:t>
      </w:r>
      <w:r w:rsidR="005106A3"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sunt:</w:t>
      </w:r>
    </w:p>
    <w:p w14:paraId="449BFDFD" w14:textId="77777777" w:rsidR="00992FEF" w:rsidRPr="009E5B39" w:rsidRDefault="00992FEF" w:rsidP="005333C2">
      <w:pPr>
        <w:numPr>
          <w:ilvl w:val="0"/>
          <w:numId w:val="5"/>
        </w:numPr>
        <w:tabs>
          <w:tab w:val="left" w:pos="284"/>
        </w:tabs>
        <w:spacing w:after="0" w:line="276" w:lineRule="auto"/>
        <w:ind w:left="0" w:firstLine="284"/>
        <w:contextualSpacing/>
        <w:jc w:val="both"/>
        <w:rPr>
          <w:rFonts w:asciiTheme="majorHAnsi" w:eastAsia="Calibri" w:hAnsiTheme="majorHAnsi" w:cstheme="majorHAnsi"/>
          <w:sz w:val="24"/>
          <w:szCs w:val="24"/>
          <w:lang w:val="ro-MD"/>
        </w:rPr>
      </w:pPr>
      <w:r w:rsidRPr="009E5B39">
        <w:rPr>
          <w:rFonts w:asciiTheme="majorHAnsi" w:eastAsia="Calibri" w:hAnsiTheme="majorHAnsi" w:cstheme="majorHAnsi"/>
          <w:b/>
          <w:i/>
          <w:sz w:val="24"/>
          <w:szCs w:val="24"/>
          <w:lang w:val="ro-MD"/>
        </w:rPr>
        <w:t>Consiliul municipal</w:t>
      </w:r>
      <w:r w:rsidRPr="009E5B39">
        <w:rPr>
          <w:rFonts w:asciiTheme="majorHAnsi" w:eastAsia="Calibri" w:hAnsiTheme="majorHAnsi" w:cstheme="majorHAnsi"/>
          <w:sz w:val="24"/>
          <w:szCs w:val="24"/>
          <w:lang w:val="ro-MD"/>
        </w:rPr>
        <w:t xml:space="preserve"> (autoritatea deliberativă), care aprobă bugetul, modul de utilizare a fondului de rezervă, precum și a fondurilor speciale, împrumuturilor și contului de încheiere a exercițiului bugetar; operează modificări în buget; pune în aplicare și modifică impozitele și taxele locale; administrează,</w:t>
      </w:r>
      <w:r w:rsidRPr="009E5B39">
        <w:rPr>
          <w:rFonts w:asciiTheme="majorHAnsi" w:hAnsiTheme="majorHAnsi" w:cstheme="majorHAnsi"/>
          <w:sz w:val="24"/>
          <w:szCs w:val="24"/>
          <w:lang w:val="ro-MD" w:eastAsia="ru-RU"/>
        </w:rPr>
        <w:t xml:space="preserve"> </w:t>
      </w:r>
      <w:r w:rsidRPr="009E5B39">
        <w:rPr>
          <w:rFonts w:asciiTheme="majorHAnsi" w:eastAsia="Calibri" w:hAnsiTheme="majorHAnsi" w:cstheme="majorHAnsi"/>
          <w:sz w:val="24"/>
          <w:szCs w:val="24"/>
          <w:lang w:val="ro-MD"/>
        </w:rPr>
        <w:t>concesionează, dă în arendă ori în locațiune bunurile domeniului public și ale celui privat ale UAT etc.</w:t>
      </w:r>
    </w:p>
    <w:p w14:paraId="2F6B9992" w14:textId="690C8568" w:rsidR="00992FEF" w:rsidRPr="009E5B39" w:rsidRDefault="00992FEF" w:rsidP="005333C2">
      <w:pPr>
        <w:numPr>
          <w:ilvl w:val="0"/>
          <w:numId w:val="5"/>
        </w:numPr>
        <w:tabs>
          <w:tab w:val="left" w:pos="284"/>
        </w:tabs>
        <w:spacing w:after="0" w:line="276" w:lineRule="auto"/>
        <w:ind w:left="0" w:firstLine="284"/>
        <w:contextualSpacing/>
        <w:jc w:val="both"/>
        <w:rPr>
          <w:rFonts w:asciiTheme="majorHAnsi" w:eastAsia="Calibri" w:hAnsiTheme="majorHAnsi" w:cstheme="majorHAnsi"/>
          <w:sz w:val="24"/>
          <w:szCs w:val="24"/>
          <w:lang w:val="ro-MD"/>
        </w:rPr>
      </w:pPr>
      <w:r w:rsidRPr="009E5B39">
        <w:rPr>
          <w:rFonts w:asciiTheme="majorHAnsi" w:eastAsia="Calibri" w:hAnsiTheme="majorHAnsi" w:cstheme="majorHAnsi"/>
          <w:b/>
          <w:i/>
          <w:sz w:val="24"/>
          <w:szCs w:val="24"/>
          <w:lang w:val="ro-MD"/>
        </w:rPr>
        <w:t>Primarul general</w:t>
      </w:r>
      <w:r w:rsidRPr="009E5B39">
        <w:rPr>
          <w:rFonts w:asciiTheme="majorHAnsi" w:eastAsia="Calibri" w:hAnsiTheme="majorHAnsi" w:cstheme="majorHAnsi"/>
          <w:sz w:val="24"/>
          <w:szCs w:val="24"/>
          <w:lang w:val="ro-MD"/>
        </w:rPr>
        <w:t xml:space="preserve"> (autoritatea executivă), care asigură executarea deciziilor consiliului local, elaborarea proiectului de buget pe următorul an bugetar și a contului de încheiere a exercițiului bugetar</w:t>
      </w:r>
      <w:r w:rsidR="001F3C85" w:rsidRPr="009E5B39">
        <w:rPr>
          <w:rFonts w:asciiTheme="majorHAnsi" w:eastAsia="Calibri" w:hAnsiTheme="majorHAnsi" w:cstheme="majorHAnsi"/>
          <w:sz w:val="24"/>
          <w:szCs w:val="24"/>
          <w:lang w:val="ro-MD"/>
        </w:rPr>
        <w:t>, pe care</w:t>
      </w:r>
      <w:r w:rsidRPr="009E5B39">
        <w:rPr>
          <w:rFonts w:asciiTheme="majorHAnsi" w:eastAsia="Calibri" w:hAnsiTheme="majorHAnsi" w:cstheme="majorHAnsi"/>
          <w:sz w:val="24"/>
          <w:szCs w:val="24"/>
          <w:lang w:val="ro-MD"/>
        </w:rPr>
        <w:t xml:space="preserve"> le prezintă, spre aprobare, consiliului local; exercită funcția de ordonator principal de buget; verifică încasarea și cheltuirea mijloacelor bugetare și informează consiliul local despre situația existentă; răspunde de inventarierea și administrarea bunurilor domeniului public și ale celui privat ale UAT; conduce, coordonează și controlează activitatea serviciilor publice locale; conduce și controlează activitatea șefilor de subdiviziuni, de servicii, de întreprinderi municipale din subordine; asigură organizarea și ținerea la zi a contabilității și prezentarea în termen a bilanțurilor, dărilor de seamă contabile și a conturilor de execuție a bugetului etc.</w:t>
      </w:r>
    </w:p>
    <w:p w14:paraId="4DEF3487" w14:textId="77777777" w:rsidR="00992FEF" w:rsidRPr="009E5B39" w:rsidRDefault="00992FEF" w:rsidP="005333C2">
      <w:pPr>
        <w:numPr>
          <w:ilvl w:val="0"/>
          <w:numId w:val="5"/>
        </w:numPr>
        <w:tabs>
          <w:tab w:val="left" w:pos="0"/>
          <w:tab w:val="left" w:pos="284"/>
        </w:tabs>
        <w:spacing w:after="0" w:line="276" w:lineRule="auto"/>
        <w:ind w:left="0" w:firstLine="284"/>
        <w:contextualSpacing/>
        <w:jc w:val="both"/>
        <w:rPr>
          <w:rFonts w:asciiTheme="majorHAnsi" w:eastAsia="Calibri" w:hAnsiTheme="majorHAnsi" w:cstheme="majorHAnsi"/>
          <w:sz w:val="24"/>
          <w:szCs w:val="24"/>
          <w:lang w:val="ro-MD"/>
        </w:rPr>
      </w:pPr>
      <w:r w:rsidRPr="009E5B39">
        <w:rPr>
          <w:rFonts w:asciiTheme="majorHAnsi" w:eastAsia="Calibri" w:hAnsiTheme="majorHAnsi" w:cstheme="majorHAnsi"/>
          <w:b/>
          <w:i/>
          <w:sz w:val="24"/>
          <w:szCs w:val="24"/>
          <w:lang w:val="ro-MD"/>
        </w:rPr>
        <w:t>Executorii (ordonatorii) secundari de buget (conducătorii instituțiilor)</w:t>
      </w:r>
      <w:r w:rsidRPr="009E5B39">
        <w:rPr>
          <w:rFonts w:asciiTheme="majorHAnsi" w:eastAsia="Calibri" w:hAnsiTheme="majorHAnsi" w:cstheme="majorHAnsi"/>
          <w:sz w:val="24"/>
          <w:szCs w:val="24"/>
          <w:lang w:val="ro-MD"/>
        </w:rPr>
        <w:t>, care sunt responsabili de elaborarea proiectului de buget, de oportunitatea și legalitatea angajării și utilizării alocațiilor bugetare în limita și cu destinația aprobate în buget, de integritatea bunurilor aflate în administrare.</w:t>
      </w:r>
    </w:p>
    <w:p w14:paraId="782D6770" w14:textId="6026F002" w:rsidR="00992FEF" w:rsidRPr="009E5B39" w:rsidRDefault="00961358" w:rsidP="007102DC">
      <w:pPr>
        <w:spacing w:before="240" w:after="0"/>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2.3. Patrimoniul public</w:t>
      </w:r>
      <w:r w:rsidR="00992FEF" w:rsidRPr="009E5B39">
        <w:rPr>
          <w:rFonts w:asciiTheme="majorHAnsi" w:hAnsiTheme="majorHAnsi" w:cstheme="majorHAnsi"/>
          <w:b/>
          <w:bCs/>
          <w:sz w:val="24"/>
          <w:szCs w:val="24"/>
          <w:lang w:val="ro-MD"/>
        </w:rPr>
        <w:t xml:space="preserve"> gestionat de UAT mun. Chișinău</w:t>
      </w:r>
    </w:p>
    <w:p w14:paraId="00E638FD" w14:textId="03B1DA32" w:rsidR="00992FEF" w:rsidRPr="009E5B39" w:rsidRDefault="00992FEF" w:rsidP="00EF4BC3">
      <w:pPr>
        <w:tabs>
          <w:tab w:val="left" w:pos="0"/>
        </w:tabs>
        <w:spacing w:after="0" w:line="276" w:lineRule="auto"/>
        <w:ind w:firstLine="567"/>
        <w:jc w:val="both"/>
        <w:rPr>
          <w:rFonts w:asciiTheme="majorHAnsi" w:eastAsia="Times New Roman" w:hAnsiTheme="majorHAnsi" w:cstheme="majorHAnsi"/>
          <w:bCs/>
          <w:iCs/>
          <w:sz w:val="24"/>
          <w:szCs w:val="24"/>
          <w:lang w:val="ro-MD"/>
        </w:rPr>
      </w:pPr>
      <w:r w:rsidRPr="009E5B39">
        <w:rPr>
          <w:rFonts w:asciiTheme="majorHAnsi" w:eastAsia="Times New Roman" w:hAnsiTheme="majorHAnsi" w:cstheme="majorHAnsi"/>
          <w:bCs/>
          <w:iCs/>
          <w:sz w:val="24"/>
          <w:szCs w:val="24"/>
          <w:lang w:val="ro-MD"/>
        </w:rPr>
        <w:t xml:space="preserve">Patrimoniul public </w:t>
      </w:r>
      <w:r w:rsidR="00270E6F" w:rsidRPr="009E5B39">
        <w:rPr>
          <w:rFonts w:asciiTheme="majorHAnsi" w:eastAsia="Times New Roman" w:hAnsiTheme="majorHAnsi" w:cstheme="majorHAnsi"/>
          <w:bCs/>
          <w:iCs/>
          <w:sz w:val="24"/>
          <w:szCs w:val="24"/>
          <w:lang w:val="ro-MD"/>
        </w:rPr>
        <w:t>al</w:t>
      </w:r>
      <w:r w:rsidRPr="009E5B39">
        <w:rPr>
          <w:rFonts w:asciiTheme="majorHAnsi" w:eastAsia="Times New Roman" w:hAnsiTheme="majorHAnsi" w:cstheme="majorHAnsi"/>
          <w:bCs/>
          <w:iCs/>
          <w:sz w:val="24"/>
          <w:szCs w:val="24"/>
          <w:lang w:val="ro-MD"/>
        </w:rPr>
        <w:t xml:space="preserve"> </w:t>
      </w:r>
      <w:r w:rsidR="00270E6F" w:rsidRPr="009E5B39">
        <w:rPr>
          <w:rFonts w:asciiTheme="majorHAnsi" w:eastAsia="Times New Roman" w:hAnsiTheme="majorHAnsi" w:cstheme="majorHAnsi"/>
          <w:bCs/>
          <w:iCs/>
          <w:sz w:val="24"/>
          <w:szCs w:val="24"/>
          <w:lang w:val="ro-MD"/>
        </w:rPr>
        <w:t>UAT</w:t>
      </w:r>
      <w:r w:rsidRPr="009E5B39">
        <w:rPr>
          <w:rFonts w:asciiTheme="majorHAnsi" w:eastAsia="Times New Roman" w:hAnsiTheme="majorHAnsi" w:cstheme="majorHAnsi"/>
          <w:bCs/>
          <w:iCs/>
          <w:sz w:val="24"/>
          <w:szCs w:val="24"/>
          <w:lang w:val="ro-MD"/>
        </w:rPr>
        <w:t xml:space="preserve"> mun. Chișinău </w:t>
      </w:r>
      <w:r w:rsidR="001E31A9" w:rsidRPr="009E5B39">
        <w:rPr>
          <w:rFonts w:asciiTheme="majorHAnsi" w:eastAsia="Times New Roman" w:hAnsiTheme="majorHAnsi" w:cstheme="majorHAnsi"/>
          <w:bCs/>
          <w:iCs/>
          <w:sz w:val="24"/>
          <w:szCs w:val="24"/>
          <w:lang w:val="ro-MD"/>
        </w:rPr>
        <w:t>este</w:t>
      </w:r>
      <w:r w:rsidRPr="009E5B39">
        <w:rPr>
          <w:rFonts w:asciiTheme="majorHAnsi" w:eastAsia="Times New Roman" w:hAnsiTheme="majorHAnsi" w:cstheme="majorHAnsi"/>
          <w:bCs/>
          <w:iCs/>
          <w:sz w:val="24"/>
          <w:szCs w:val="24"/>
          <w:lang w:val="ro-MD"/>
        </w:rPr>
        <w:t xml:space="preserve"> prezentat în tabelul următor.</w:t>
      </w:r>
    </w:p>
    <w:p w14:paraId="1B24FAC9" w14:textId="77777777" w:rsidR="00992FEF" w:rsidRPr="009E5B39" w:rsidRDefault="00992FEF" w:rsidP="00EF4BC3">
      <w:pPr>
        <w:spacing w:after="0" w:line="240" w:lineRule="auto"/>
        <w:jc w:val="right"/>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Tabelul nr.1</w:t>
      </w:r>
    </w:p>
    <w:p w14:paraId="74B59F53" w14:textId="337633D6" w:rsidR="00992FEF" w:rsidRPr="009E5B39" w:rsidRDefault="00992FEF" w:rsidP="00EF4BC3">
      <w:pPr>
        <w:spacing w:after="0" w:line="240" w:lineRule="auto"/>
        <w:jc w:val="center"/>
        <w:rPr>
          <w:rFonts w:asciiTheme="majorHAnsi" w:eastAsia="Times New Roman" w:hAnsiTheme="majorHAnsi" w:cstheme="majorHAnsi"/>
          <w:b/>
          <w:bCs/>
          <w:sz w:val="24"/>
          <w:szCs w:val="24"/>
          <w:lang w:val="ro-MD"/>
        </w:rPr>
      </w:pPr>
      <w:r w:rsidRPr="009E5B39">
        <w:rPr>
          <w:rFonts w:asciiTheme="majorHAnsi" w:eastAsia="Times New Roman" w:hAnsiTheme="majorHAnsi" w:cstheme="majorHAnsi"/>
          <w:b/>
          <w:bCs/>
          <w:sz w:val="24"/>
          <w:szCs w:val="24"/>
          <w:lang w:val="ro-MD"/>
        </w:rPr>
        <w:t>Extras din Bilanțu</w:t>
      </w:r>
      <w:r w:rsidR="001E31A9" w:rsidRPr="009E5B39">
        <w:rPr>
          <w:rFonts w:asciiTheme="majorHAnsi" w:eastAsia="Times New Roman" w:hAnsiTheme="majorHAnsi" w:cstheme="majorHAnsi"/>
          <w:b/>
          <w:bCs/>
          <w:sz w:val="24"/>
          <w:szCs w:val="24"/>
          <w:lang w:val="ro-MD"/>
        </w:rPr>
        <w:t>rile</w:t>
      </w:r>
      <w:r w:rsidRPr="009E5B39">
        <w:rPr>
          <w:rFonts w:asciiTheme="majorHAnsi" w:eastAsia="Times New Roman" w:hAnsiTheme="majorHAnsi" w:cstheme="majorHAnsi"/>
          <w:b/>
          <w:bCs/>
          <w:sz w:val="24"/>
          <w:szCs w:val="24"/>
          <w:lang w:val="ro-MD"/>
        </w:rPr>
        <w:t xml:space="preserve"> contabil</w:t>
      </w:r>
      <w:r w:rsidR="001E31A9" w:rsidRPr="009E5B39">
        <w:rPr>
          <w:rFonts w:asciiTheme="majorHAnsi" w:eastAsia="Times New Roman" w:hAnsiTheme="majorHAnsi" w:cstheme="majorHAnsi"/>
          <w:b/>
          <w:bCs/>
          <w:sz w:val="24"/>
          <w:szCs w:val="24"/>
          <w:lang w:val="ro-MD"/>
        </w:rPr>
        <w:t>e</w:t>
      </w:r>
      <w:r w:rsidRPr="009E5B39">
        <w:rPr>
          <w:rFonts w:asciiTheme="majorHAnsi" w:eastAsia="Times New Roman" w:hAnsiTheme="majorHAnsi" w:cstheme="majorHAnsi"/>
          <w:b/>
          <w:bCs/>
          <w:sz w:val="24"/>
          <w:szCs w:val="24"/>
          <w:lang w:val="ro-MD"/>
        </w:rPr>
        <w:t xml:space="preserve"> la 31</w:t>
      </w:r>
      <w:r w:rsidR="001E31A9" w:rsidRPr="009E5B39">
        <w:rPr>
          <w:rFonts w:asciiTheme="majorHAnsi" w:eastAsia="Times New Roman" w:hAnsiTheme="majorHAnsi" w:cstheme="majorHAnsi"/>
          <w:b/>
          <w:bCs/>
          <w:sz w:val="24"/>
          <w:szCs w:val="24"/>
          <w:lang w:val="ro-MD"/>
        </w:rPr>
        <w:t>.12.</w:t>
      </w:r>
      <w:r w:rsidRPr="009E5B39">
        <w:rPr>
          <w:rFonts w:asciiTheme="majorHAnsi" w:eastAsia="Times New Roman" w:hAnsiTheme="majorHAnsi" w:cstheme="majorHAnsi"/>
          <w:b/>
          <w:bCs/>
          <w:sz w:val="24"/>
          <w:szCs w:val="24"/>
          <w:lang w:val="ro-MD"/>
        </w:rPr>
        <w:t xml:space="preserve"> 2018, </w:t>
      </w:r>
      <w:r w:rsidR="001E31A9" w:rsidRPr="009E5B39">
        <w:rPr>
          <w:rFonts w:asciiTheme="majorHAnsi" w:eastAsia="Times New Roman" w:hAnsiTheme="majorHAnsi" w:cstheme="majorHAnsi"/>
          <w:b/>
          <w:bCs/>
          <w:sz w:val="24"/>
          <w:szCs w:val="24"/>
          <w:lang w:val="ro-MD"/>
        </w:rPr>
        <w:t>la 31.12.</w:t>
      </w:r>
      <w:r w:rsidRPr="009E5B39">
        <w:rPr>
          <w:rFonts w:asciiTheme="majorHAnsi" w:eastAsia="Times New Roman" w:hAnsiTheme="majorHAnsi" w:cstheme="majorHAnsi"/>
          <w:b/>
          <w:bCs/>
          <w:sz w:val="24"/>
          <w:szCs w:val="24"/>
          <w:lang w:val="ro-MD"/>
        </w:rPr>
        <w:t xml:space="preserve">2019 și </w:t>
      </w:r>
      <w:r w:rsidR="001E31A9" w:rsidRPr="009E5B39">
        <w:rPr>
          <w:rFonts w:asciiTheme="majorHAnsi" w:eastAsia="Times New Roman" w:hAnsiTheme="majorHAnsi" w:cstheme="majorHAnsi"/>
          <w:b/>
          <w:bCs/>
          <w:sz w:val="24"/>
          <w:szCs w:val="24"/>
          <w:lang w:val="ro-MD"/>
        </w:rPr>
        <w:t>la 31.12.</w:t>
      </w:r>
      <w:r w:rsidRPr="009E5B39">
        <w:rPr>
          <w:rFonts w:asciiTheme="majorHAnsi" w:eastAsia="Times New Roman" w:hAnsiTheme="majorHAnsi" w:cstheme="majorHAnsi"/>
          <w:b/>
          <w:bCs/>
          <w:sz w:val="24"/>
          <w:szCs w:val="24"/>
          <w:lang w:val="ro-MD"/>
        </w:rPr>
        <w:t>2020</w:t>
      </w:r>
    </w:p>
    <w:tbl>
      <w:tblPr>
        <w:tblStyle w:val="TableGrid5"/>
        <w:tblW w:w="9334" w:type="dxa"/>
        <w:tblInd w:w="-5" w:type="dxa"/>
        <w:tblLook w:val="04A0" w:firstRow="1" w:lastRow="0" w:firstColumn="1" w:lastColumn="0" w:noHBand="0" w:noVBand="1"/>
      </w:tblPr>
      <w:tblGrid>
        <w:gridCol w:w="5670"/>
        <w:gridCol w:w="1254"/>
        <w:gridCol w:w="1276"/>
        <w:gridCol w:w="1134"/>
      </w:tblGrid>
      <w:tr w:rsidR="00EF4BC3" w:rsidRPr="009E5B39" w14:paraId="4B833CC0" w14:textId="77777777" w:rsidTr="007F2C21">
        <w:trPr>
          <w:trHeight w:val="20"/>
        </w:trPr>
        <w:tc>
          <w:tcPr>
            <w:tcW w:w="5670" w:type="dxa"/>
            <w:vMerge w:val="restart"/>
          </w:tcPr>
          <w:p w14:paraId="11642966" w14:textId="77777777" w:rsidR="00992FEF" w:rsidRPr="009E5B39" w:rsidRDefault="00992FEF" w:rsidP="00EF4BC3">
            <w:pPr>
              <w:rPr>
                <w:rFonts w:asciiTheme="majorHAnsi" w:hAnsiTheme="majorHAnsi" w:cstheme="majorHAnsi"/>
                <w:sz w:val="16"/>
                <w:szCs w:val="16"/>
                <w:lang w:val="ro-MD"/>
              </w:rPr>
            </w:pPr>
          </w:p>
        </w:tc>
        <w:tc>
          <w:tcPr>
            <w:tcW w:w="3664" w:type="dxa"/>
            <w:gridSpan w:val="3"/>
          </w:tcPr>
          <w:p w14:paraId="4A94DA30" w14:textId="396BC172" w:rsidR="00992FEF" w:rsidRPr="009E5B39" w:rsidRDefault="00992FEF" w:rsidP="00EF4BC3">
            <w:pPr>
              <w:jc w:val="center"/>
              <w:rPr>
                <w:rFonts w:asciiTheme="majorHAnsi" w:hAnsiTheme="majorHAnsi" w:cstheme="majorHAnsi"/>
                <w:b/>
                <w:sz w:val="16"/>
                <w:szCs w:val="16"/>
                <w:lang w:val="ro-MD"/>
              </w:rPr>
            </w:pPr>
            <w:r w:rsidRPr="009E5B39">
              <w:rPr>
                <w:rFonts w:asciiTheme="majorHAnsi" w:hAnsiTheme="majorHAnsi" w:cstheme="majorHAnsi"/>
                <w:b/>
                <w:sz w:val="16"/>
                <w:szCs w:val="16"/>
                <w:lang w:val="ro-MD"/>
              </w:rPr>
              <w:t>Valoarea la finele anului</w:t>
            </w:r>
            <w:r w:rsidR="003C5073" w:rsidRPr="009E5B39">
              <w:rPr>
                <w:rFonts w:asciiTheme="majorHAnsi" w:hAnsiTheme="majorHAnsi" w:cstheme="majorHAnsi"/>
                <w:b/>
                <w:sz w:val="16"/>
                <w:szCs w:val="16"/>
                <w:lang w:val="ro-MD"/>
              </w:rPr>
              <w:t xml:space="preserve"> </w:t>
            </w:r>
            <w:r w:rsidR="003C5073" w:rsidRPr="009E5B39">
              <w:rPr>
                <w:rFonts w:asciiTheme="majorHAnsi" w:eastAsia="Times New Roman" w:hAnsiTheme="majorHAnsi" w:cstheme="majorHAnsi"/>
                <w:i/>
                <w:sz w:val="16"/>
                <w:szCs w:val="16"/>
                <w:lang w:val="ro-MD"/>
              </w:rPr>
              <w:t>(mii lei)</w:t>
            </w:r>
          </w:p>
        </w:tc>
      </w:tr>
      <w:tr w:rsidR="00EF4BC3" w:rsidRPr="009E5B39" w14:paraId="5951FF64" w14:textId="77777777" w:rsidTr="007F2C21">
        <w:trPr>
          <w:trHeight w:val="20"/>
        </w:trPr>
        <w:tc>
          <w:tcPr>
            <w:tcW w:w="5670" w:type="dxa"/>
            <w:vMerge/>
          </w:tcPr>
          <w:p w14:paraId="04BE7F60" w14:textId="77777777" w:rsidR="00992FEF" w:rsidRPr="009E5B39" w:rsidRDefault="00992FEF" w:rsidP="00EF4BC3">
            <w:pPr>
              <w:rPr>
                <w:rFonts w:asciiTheme="majorHAnsi" w:hAnsiTheme="majorHAnsi" w:cstheme="majorHAnsi"/>
                <w:sz w:val="16"/>
                <w:szCs w:val="16"/>
                <w:lang w:val="ro-MD"/>
              </w:rPr>
            </w:pPr>
          </w:p>
        </w:tc>
        <w:tc>
          <w:tcPr>
            <w:tcW w:w="1254" w:type="dxa"/>
          </w:tcPr>
          <w:p w14:paraId="1B292F63" w14:textId="77777777" w:rsidR="00992FEF" w:rsidRPr="009E5B39" w:rsidRDefault="00992FEF" w:rsidP="00EF4BC3">
            <w:pPr>
              <w:jc w:val="center"/>
              <w:rPr>
                <w:rFonts w:asciiTheme="majorHAnsi" w:hAnsiTheme="majorHAnsi" w:cstheme="majorHAnsi"/>
                <w:b/>
                <w:sz w:val="16"/>
                <w:szCs w:val="16"/>
                <w:lang w:val="ro-MD"/>
              </w:rPr>
            </w:pPr>
            <w:r w:rsidRPr="009E5B39">
              <w:rPr>
                <w:rFonts w:asciiTheme="majorHAnsi" w:hAnsiTheme="majorHAnsi" w:cstheme="majorHAnsi"/>
                <w:b/>
                <w:sz w:val="16"/>
                <w:szCs w:val="16"/>
                <w:lang w:val="ro-MD"/>
              </w:rPr>
              <w:t>2018</w:t>
            </w:r>
          </w:p>
        </w:tc>
        <w:tc>
          <w:tcPr>
            <w:tcW w:w="1276" w:type="dxa"/>
          </w:tcPr>
          <w:p w14:paraId="160BB492" w14:textId="77777777" w:rsidR="00992FEF" w:rsidRPr="009E5B39" w:rsidRDefault="00992FEF" w:rsidP="00EF4BC3">
            <w:pPr>
              <w:jc w:val="center"/>
              <w:rPr>
                <w:rFonts w:asciiTheme="majorHAnsi" w:hAnsiTheme="majorHAnsi" w:cstheme="majorHAnsi"/>
                <w:b/>
                <w:sz w:val="16"/>
                <w:szCs w:val="16"/>
                <w:lang w:val="ro-MD"/>
              </w:rPr>
            </w:pPr>
            <w:r w:rsidRPr="009E5B39">
              <w:rPr>
                <w:rFonts w:asciiTheme="majorHAnsi" w:hAnsiTheme="majorHAnsi" w:cstheme="majorHAnsi"/>
                <w:b/>
                <w:sz w:val="16"/>
                <w:szCs w:val="16"/>
                <w:lang w:val="ro-MD"/>
              </w:rPr>
              <w:t>2019</w:t>
            </w:r>
          </w:p>
        </w:tc>
        <w:tc>
          <w:tcPr>
            <w:tcW w:w="1134" w:type="dxa"/>
          </w:tcPr>
          <w:p w14:paraId="5A1B0314" w14:textId="77777777" w:rsidR="00992FEF" w:rsidRPr="009E5B39" w:rsidRDefault="00992FEF" w:rsidP="00EF4BC3">
            <w:pPr>
              <w:jc w:val="center"/>
              <w:rPr>
                <w:rFonts w:asciiTheme="majorHAnsi" w:hAnsiTheme="majorHAnsi" w:cstheme="majorHAnsi"/>
                <w:b/>
                <w:sz w:val="16"/>
                <w:szCs w:val="16"/>
                <w:lang w:val="ro-MD"/>
              </w:rPr>
            </w:pPr>
            <w:r w:rsidRPr="009E5B39">
              <w:rPr>
                <w:rFonts w:asciiTheme="majorHAnsi" w:hAnsiTheme="majorHAnsi" w:cstheme="majorHAnsi"/>
                <w:b/>
                <w:sz w:val="16"/>
                <w:szCs w:val="16"/>
                <w:lang w:val="ro-MD"/>
              </w:rPr>
              <w:t>2020</w:t>
            </w:r>
          </w:p>
        </w:tc>
      </w:tr>
      <w:tr w:rsidR="00EF4BC3" w:rsidRPr="009E5B39" w14:paraId="79626E60" w14:textId="77777777" w:rsidTr="007F2C21">
        <w:trPr>
          <w:trHeight w:val="20"/>
        </w:trPr>
        <w:tc>
          <w:tcPr>
            <w:tcW w:w="5670" w:type="dxa"/>
          </w:tcPr>
          <w:p w14:paraId="39BF7319" w14:textId="77777777" w:rsidR="00992FEF" w:rsidRPr="009E5B39" w:rsidRDefault="00992FEF" w:rsidP="00EF4BC3">
            <w:pPr>
              <w:rPr>
                <w:rFonts w:asciiTheme="majorHAnsi" w:hAnsiTheme="majorHAnsi" w:cstheme="majorHAnsi"/>
                <w:b/>
                <w:sz w:val="16"/>
                <w:szCs w:val="16"/>
                <w:lang w:val="ro-MD"/>
              </w:rPr>
            </w:pPr>
            <w:r w:rsidRPr="009E5B39">
              <w:rPr>
                <w:rFonts w:asciiTheme="majorHAnsi" w:hAnsiTheme="majorHAnsi" w:cstheme="majorHAnsi"/>
                <w:b/>
                <w:sz w:val="16"/>
                <w:szCs w:val="16"/>
                <w:lang w:val="ro-MD"/>
              </w:rPr>
              <w:t>ACTIV</w:t>
            </w:r>
          </w:p>
        </w:tc>
        <w:tc>
          <w:tcPr>
            <w:tcW w:w="1254" w:type="dxa"/>
          </w:tcPr>
          <w:p w14:paraId="00AF62C6" w14:textId="77777777" w:rsidR="00992FEF" w:rsidRPr="009E5B39" w:rsidRDefault="00992FEF" w:rsidP="00EF4BC3">
            <w:pPr>
              <w:jc w:val="right"/>
              <w:rPr>
                <w:rFonts w:asciiTheme="majorHAnsi" w:hAnsiTheme="majorHAnsi" w:cstheme="majorHAnsi"/>
                <w:b/>
                <w:sz w:val="16"/>
                <w:szCs w:val="16"/>
                <w:lang w:val="ro-MD"/>
              </w:rPr>
            </w:pPr>
            <w:r w:rsidRPr="009E5B39">
              <w:rPr>
                <w:rFonts w:asciiTheme="majorHAnsi" w:hAnsiTheme="majorHAnsi" w:cstheme="majorHAnsi"/>
                <w:b/>
                <w:sz w:val="16"/>
                <w:szCs w:val="16"/>
                <w:lang w:val="ro-MD"/>
              </w:rPr>
              <w:t>7.493.928,0</w:t>
            </w:r>
          </w:p>
        </w:tc>
        <w:tc>
          <w:tcPr>
            <w:tcW w:w="1276" w:type="dxa"/>
          </w:tcPr>
          <w:p w14:paraId="636CED7D" w14:textId="77777777" w:rsidR="00992FEF" w:rsidRPr="009E5B39" w:rsidRDefault="00992FEF" w:rsidP="00EF4BC3">
            <w:pPr>
              <w:jc w:val="right"/>
              <w:rPr>
                <w:rFonts w:asciiTheme="majorHAnsi" w:hAnsiTheme="majorHAnsi" w:cstheme="majorHAnsi"/>
                <w:b/>
                <w:sz w:val="16"/>
                <w:szCs w:val="16"/>
                <w:lang w:val="ro-MD"/>
              </w:rPr>
            </w:pPr>
            <w:r w:rsidRPr="009E5B39">
              <w:rPr>
                <w:rFonts w:asciiTheme="majorHAnsi" w:hAnsiTheme="majorHAnsi" w:cstheme="majorHAnsi"/>
                <w:b/>
                <w:sz w:val="16"/>
                <w:szCs w:val="16"/>
                <w:lang w:val="ro-MD"/>
              </w:rPr>
              <w:t>18.242.852,0</w:t>
            </w:r>
          </w:p>
        </w:tc>
        <w:tc>
          <w:tcPr>
            <w:tcW w:w="1134" w:type="dxa"/>
          </w:tcPr>
          <w:p w14:paraId="64DFD104" w14:textId="77777777" w:rsidR="00992FEF" w:rsidRPr="009E5B39" w:rsidRDefault="00992FEF" w:rsidP="00EF4BC3">
            <w:pPr>
              <w:jc w:val="right"/>
              <w:rPr>
                <w:rFonts w:asciiTheme="majorHAnsi" w:hAnsiTheme="majorHAnsi" w:cstheme="majorHAnsi"/>
                <w:b/>
                <w:sz w:val="16"/>
                <w:szCs w:val="16"/>
                <w:lang w:val="ro-MD"/>
              </w:rPr>
            </w:pPr>
            <w:r w:rsidRPr="009E5B39">
              <w:rPr>
                <w:rFonts w:asciiTheme="majorHAnsi" w:hAnsiTheme="majorHAnsi" w:cstheme="majorHAnsi"/>
                <w:b/>
                <w:sz w:val="16"/>
                <w:szCs w:val="16"/>
                <w:lang w:val="ro-MD"/>
              </w:rPr>
              <w:t>18.688.412,0</w:t>
            </w:r>
          </w:p>
        </w:tc>
      </w:tr>
      <w:tr w:rsidR="00EF4BC3" w:rsidRPr="009E5B39" w14:paraId="2BD1F142" w14:textId="77777777" w:rsidTr="007F2C21">
        <w:trPr>
          <w:trHeight w:val="20"/>
        </w:trPr>
        <w:tc>
          <w:tcPr>
            <w:tcW w:w="5670" w:type="dxa"/>
          </w:tcPr>
          <w:p w14:paraId="5031569B"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Total, active nefinanciare</w:t>
            </w:r>
          </w:p>
        </w:tc>
        <w:tc>
          <w:tcPr>
            <w:tcW w:w="1254" w:type="dxa"/>
          </w:tcPr>
          <w:p w14:paraId="0FD44A5C" w14:textId="77777777" w:rsidR="00992FEF" w:rsidRPr="009E5B39" w:rsidRDefault="00992FEF" w:rsidP="00EF4BC3">
            <w:pPr>
              <w:jc w:val="right"/>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5.672.628,2</w:t>
            </w:r>
          </w:p>
        </w:tc>
        <w:tc>
          <w:tcPr>
            <w:tcW w:w="1276" w:type="dxa"/>
          </w:tcPr>
          <w:p w14:paraId="5E355AED"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     16.398.072,8</w:t>
            </w:r>
          </w:p>
        </w:tc>
        <w:tc>
          <w:tcPr>
            <w:tcW w:w="1134" w:type="dxa"/>
          </w:tcPr>
          <w:p w14:paraId="3FEE1615"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16.513.920,7</w:t>
            </w:r>
          </w:p>
        </w:tc>
      </w:tr>
      <w:tr w:rsidR="00EF4BC3" w:rsidRPr="009E5B39" w14:paraId="4B5B2359" w14:textId="77777777" w:rsidTr="007F2C21">
        <w:trPr>
          <w:trHeight w:val="20"/>
        </w:trPr>
        <w:tc>
          <w:tcPr>
            <w:tcW w:w="5670" w:type="dxa"/>
          </w:tcPr>
          <w:p w14:paraId="30212B59"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Total, active financiare</w:t>
            </w:r>
          </w:p>
        </w:tc>
        <w:tc>
          <w:tcPr>
            <w:tcW w:w="1254" w:type="dxa"/>
          </w:tcPr>
          <w:p w14:paraId="0388BBEB"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1.821.299,8</w:t>
            </w:r>
          </w:p>
        </w:tc>
        <w:tc>
          <w:tcPr>
            <w:tcW w:w="1276" w:type="dxa"/>
          </w:tcPr>
          <w:p w14:paraId="2F9DDDE5"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1.844.779,2</w:t>
            </w:r>
          </w:p>
        </w:tc>
        <w:tc>
          <w:tcPr>
            <w:tcW w:w="1134" w:type="dxa"/>
          </w:tcPr>
          <w:p w14:paraId="56566485"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2.174.491,3</w:t>
            </w:r>
          </w:p>
        </w:tc>
      </w:tr>
      <w:tr w:rsidR="00EF4BC3" w:rsidRPr="009E5B39" w14:paraId="7E5DF559" w14:textId="77777777" w:rsidTr="007F2C21">
        <w:trPr>
          <w:trHeight w:val="20"/>
        </w:trPr>
        <w:tc>
          <w:tcPr>
            <w:tcW w:w="5670" w:type="dxa"/>
          </w:tcPr>
          <w:p w14:paraId="0267EFCB" w14:textId="77777777" w:rsidR="00992FEF" w:rsidRPr="009E5B39" w:rsidRDefault="00992FEF" w:rsidP="00EF4BC3">
            <w:pPr>
              <w:rPr>
                <w:rFonts w:asciiTheme="majorHAnsi" w:hAnsiTheme="majorHAnsi" w:cstheme="majorHAnsi"/>
                <w:b/>
                <w:sz w:val="16"/>
                <w:szCs w:val="16"/>
                <w:lang w:val="ro-MD"/>
              </w:rPr>
            </w:pPr>
            <w:r w:rsidRPr="009E5B39">
              <w:rPr>
                <w:rFonts w:asciiTheme="majorHAnsi" w:hAnsiTheme="majorHAnsi" w:cstheme="majorHAnsi"/>
                <w:b/>
                <w:sz w:val="16"/>
                <w:szCs w:val="16"/>
                <w:lang w:val="ro-MD"/>
              </w:rPr>
              <w:t>PASIV</w:t>
            </w:r>
          </w:p>
        </w:tc>
        <w:tc>
          <w:tcPr>
            <w:tcW w:w="1254" w:type="dxa"/>
          </w:tcPr>
          <w:p w14:paraId="6866E5C8" w14:textId="77777777" w:rsidR="00992FEF" w:rsidRPr="009E5B39" w:rsidRDefault="00992FEF" w:rsidP="00EF4BC3">
            <w:pPr>
              <w:jc w:val="right"/>
              <w:rPr>
                <w:rFonts w:asciiTheme="majorHAnsi" w:hAnsiTheme="majorHAnsi" w:cstheme="majorHAnsi"/>
                <w:b/>
                <w:sz w:val="16"/>
                <w:szCs w:val="16"/>
                <w:lang w:val="ro-MD"/>
              </w:rPr>
            </w:pPr>
            <w:r w:rsidRPr="009E5B39">
              <w:rPr>
                <w:rFonts w:asciiTheme="majorHAnsi" w:hAnsiTheme="majorHAnsi" w:cstheme="majorHAnsi"/>
                <w:b/>
                <w:sz w:val="16"/>
                <w:szCs w:val="16"/>
                <w:lang w:val="ro-MD"/>
              </w:rPr>
              <w:t>7.493.928,0</w:t>
            </w:r>
          </w:p>
        </w:tc>
        <w:tc>
          <w:tcPr>
            <w:tcW w:w="1276" w:type="dxa"/>
          </w:tcPr>
          <w:p w14:paraId="4E8A1BD9" w14:textId="77777777" w:rsidR="00992FEF" w:rsidRPr="009E5B39" w:rsidRDefault="00992FEF" w:rsidP="00EF4BC3">
            <w:pPr>
              <w:jc w:val="right"/>
              <w:rPr>
                <w:rFonts w:asciiTheme="majorHAnsi" w:hAnsiTheme="majorHAnsi" w:cstheme="majorHAnsi"/>
                <w:b/>
                <w:sz w:val="16"/>
                <w:szCs w:val="16"/>
                <w:lang w:val="ro-MD"/>
              </w:rPr>
            </w:pPr>
            <w:r w:rsidRPr="009E5B39">
              <w:rPr>
                <w:rFonts w:asciiTheme="majorHAnsi" w:hAnsiTheme="majorHAnsi" w:cstheme="majorHAnsi"/>
                <w:b/>
                <w:sz w:val="16"/>
                <w:szCs w:val="16"/>
                <w:lang w:val="ro-MD"/>
              </w:rPr>
              <w:t>18.242.852,0</w:t>
            </w:r>
          </w:p>
        </w:tc>
        <w:tc>
          <w:tcPr>
            <w:tcW w:w="1134" w:type="dxa"/>
          </w:tcPr>
          <w:p w14:paraId="235B3DC8" w14:textId="77777777" w:rsidR="00992FEF" w:rsidRPr="009E5B39" w:rsidRDefault="00992FEF" w:rsidP="00EF4BC3">
            <w:pPr>
              <w:jc w:val="right"/>
              <w:rPr>
                <w:rFonts w:asciiTheme="majorHAnsi" w:hAnsiTheme="majorHAnsi" w:cstheme="majorHAnsi"/>
                <w:b/>
                <w:sz w:val="16"/>
                <w:szCs w:val="16"/>
                <w:lang w:val="ro-MD"/>
              </w:rPr>
            </w:pPr>
            <w:r w:rsidRPr="009E5B39">
              <w:rPr>
                <w:rFonts w:asciiTheme="majorHAnsi" w:hAnsiTheme="majorHAnsi" w:cstheme="majorHAnsi"/>
                <w:b/>
                <w:sz w:val="16"/>
                <w:szCs w:val="16"/>
                <w:lang w:val="ro-MD"/>
              </w:rPr>
              <w:t>18.688.412,0</w:t>
            </w:r>
          </w:p>
        </w:tc>
      </w:tr>
      <w:tr w:rsidR="00EF4BC3" w:rsidRPr="009E5B39" w14:paraId="4BE60924" w14:textId="77777777" w:rsidTr="007F2C21">
        <w:trPr>
          <w:trHeight w:val="20"/>
        </w:trPr>
        <w:tc>
          <w:tcPr>
            <w:tcW w:w="5670" w:type="dxa"/>
          </w:tcPr>
          <w:p w14:paraId="759A5369"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Total, datorii</w:t>
            </w:r>
          </w:p>
        </w:tc>
        <w:tc>
          <w:tcPr>
            <w:tcW w:w="1254" w:type="dxa"/>
          </w:tcPr>
          <w:p w14:paraId="3C7EDB8E"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216.622,0</w:t>
            </w:r>
          </w:p>
        </w:tc>
        <w:tc>
          <w:tcPr>
            <w:tcW w:w="1276" w:type="dxa"/>
          </w:tcPr>
          <w:p w14:paraId="69B9AC87"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313.517,3</w:t>
            </w:r>
          </w:p>
        </w:tc>
        <w:tc>
          <w:tcPr>
            <w:tcW w:w="1134" w:type="dxa"/>
          </w:tcPr>
          <w:p w14:paraId="131C9DFF"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217.159,7</w:t>
            </w:r>
          </w:p>
        </w:tc>
      </w:tr>
      <w:tr w:rsidR="00EF4BC3" w:rsidRPr="009E5B39" w14:paraId="3FEE296C" w14:textId="77777777" w:rsidTr="007F2C21">
        <w:trPr>
          <w:trHeight w:val="20"/>
        </w:trPr>
        <w:tc>
          <w:tcPr>
            <w:tcW w:w="5670" w:type="dxa"/>
          </w:tcPr>
          <w:p w14:paraId="52F98B2F" w14:textId="2FD4C85C"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Total</w:t>
            </w:r>
            <w:r w:rsidR="001E31A9"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rezultate</w:t>
            </w:r>
          </w:p>
        </w:tc>
        <w:tc>
          <w:tcPr>
            <w:tcW w:w="1254" w:type="dxa"/>
          </w:tcPr>
          <w:p w14:paraId="4A5D737F"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7.277.306,0</w:t>
            </w:r>
          </w:p>
        </w:tc>
        <w:tc>
          <w:tcPr>
            <w:tcW w:w="1276" w:type="dxa"/>
          </w:tcPr>
          <w:p w14:paraId="7E24BEC7"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17.929.334,7</w:t>
            </w:r>
          </w:p>
        </w:tc>
        <w:tc>
          <w:tcPr>
            <w:tcW w:w="1134" w:type="dxa"/>
          </w:tcPr>
          <w:p w14:paraId="62B7CADB"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18.471.252,3</w:t>
            </w:r>
          </w:p>
        </w:tc>
      </w:tr>
      <w:tr w:rsidR="00EF4BC3" w:rsidRPr="009E5B39" w14:paraId="254F0372" w14:textId="77777777" w:rsidTr="007F2C21">
        <w:trPr>
          <w:trHeight w:val="20"/>
        </w:trPr>
        <w:tc>
          <w:tcPr>
            <w:tcW w:w="5670" w:type="dxa"/>
          </w:tcPr>
          <w:p w14:paraId="2EB7E35C" w14:textId="77777777" w:rsidR="00992FEF" w:rsidRPr="009E5B39" w:rsidRDefault="00992FEF" w:rsidP="00EF4BC3">
            <w:pPr>
              <w:rPr>
                <w:rFonts w:asciiTheme="majorHAnsi" w:hAnsiTheme="majorHAnsi" w:cstheme="majorHAnsi"/>
                <w:b/>
                <w:sz w:val="16"/>
                <w:szCs w:val="16"/>
                <w:lang w:val="ro-MD"/>
              </w:rPr>
            </w:pPr>
            <w:r w:rsidRPr="009E5B39">
              <w:rPr>
                <w:rFonts w:asciiTheme="majorHAnsi" w:hAnsiTheme="majorHAnsi" w:cstheme="majorHAnsi"/>
                <w:b/>
                <w:sz w:val="16"/>
                <w:szCs w:val="16"/>
                <w:lang w:val="ro-MD"/>
              </w:rPr>
              <w:t>CONTURI EXTRABILANȚIERE</w:t>
            </w:r>
          </w:p>
        </w:tc>
        <w:tc>
          <w:tcPr>
            <w:tcW w:w="1254" w:type="dxa"/>
          </w:tcPr>
          <w:p w14:paraId="5F9A1311" w14:textId="77777777" w:rsidR="00992FEF" w:rsidRPr="009E5B39" w:rsidRDefault="00992FEF" w:rsidP="00EF4BC3">
            <w:pPr>
              <w:jc w:val="right"/>
              <w:rPr>
                <w:rFonts w:asciiTheme="majorHAnsi" w:hAnsiTheme="majorHAnsi" w:cstheme="majorHAnsi"/>
                <w:b/>
                <w:sz w:val="16"/>
                <w:szCs w:val="16"/>
                <w:lang w:val="ro-MD"/>
              </w:rPr>
            </w:pPr>
            <w:r w:rsidRPr="009E5B39">
              <w:rPr>
                <w:rFonts w:asciiTheme="majorHAnsi" w:hAnsiTheme="majorHAnsi" w:cstheme="majorHAnsi"/>
                <w:b/>
                <w:sz w:val="16"/>
                <w:szCs w:val="16"/>
                <w:lang w:val="ro-MD"/>
              </w:rPr>
              <w:t>1.600.836,9</w:t>
            </w:r>
          </w:p>
        </w:tc>
        <w:tc>
          <w:tcPr>
            <w:tcW w:w="1276" w:type="dxa"/>
          </w:tcPr>
          <w:p w14:paraId="34DA5A6E" w14:textId="77777777" w:rsidR="00992FEF" w:rsidRPr="009E5B39" w:rsidRDefault="00992FEF" w:rsidP="00EF4BC3">
            <w:pPr>
              <w:jc w:val="right"/>
              <w:rPr>
                <w:rFonts w:asciiTheme="majorHAnsi" w:hAnsiTheme="majorHAnsi" w:cstheme="majorHAnsi"/>
                <w:b/>
                <w:sz w:val="16"/>
                <w:szCs w:val="16"/>
                <w:lang w:val="ro-MD"/>
              </w:rPr>
            </w:pPr>
            <w:r w:rsidRPr="009E5B39">
              <w:rPr>
                <w:rFonts w:asciiTheme="majorHAnsi" w:hAnsiTheme="majorHAnsi" w:cstheme="majorHAnsi"/>
                <w:b/>
                <w:sz w:val="16"/>
                <w:szCs w:val="16"/>
                <w:lang w:val="ro-MD"/>
              </w:rPr>
              <w:t>3.556.895,8</w:t>
            </w:r>
          </w:p>
        </w:tc>
        <w:tc>
          <w:tcPr>
            <w:tcW w:w="1134" w:type="dxa"/>
          </w:tcPr>
          <w:p w14:paraId="37CBECFA" w14:textId="77777777" w:rsidR="00992FEF" w:rsidRPr="009E5B39" w:rsidRDefault="00992FEF" w:rsidP="00EF4BC3">
            <w:pPr>
              <w:jc w:val="right"/>
              <w:rPr>
                <w:rFonts w:asciiTheme="majorHAnsi" w:hAnsiTheme="majorHAnsi" w:cstheme="majorHAnsi"/>
                <w:b/>
                <w:sz w:val="16"/>
                <w:szCs w:val="16"/>
                <w:lang w:val="ro-MD"/>
              </w:rPr>
            </w:pPr>
            <w:r w:rsidRPr="009E5B39">
              <w:rPr>
                <w:rFonts w:asciiTheme="majorHAnsi" w:hAnsiTheme="majorHAnsi" w:cstheme="majorHAnsi"/>
                <w:b/>
                <w:sz w:val="16"/>
                <w:szCs w:val="16"/>
                <w:lang w:val="ro-MD"/>
              </w:rPr>
              <w:t>4.240.975,1</w:t>
            </w:r>
          </w:p>
        </w:tc>
      </w:tr>
      <w:tr w:rsidR="00EF4BC3" w:rsidRPr="009E5B39" w14:paraId="2F92A3F9" w14:textId="77777777" w:rsidTr="007F2C21">
        <w:trPr>
          <w:trHeight w:val="20"/>
        </w:trPr>
        <w:tc>
          <w:tcPr>
            <w:tcW w:w="5670" w:type="dxa"/>
          </w:tcPr>
          <w:p w14:paraId="6343F0F9" w14:textId="7A1987FE"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Creanțe</w:t>
            </w:r>
            <w:r w:rsidR="001E31A9" w:rsidRPr="009E5B39">
              <w:rPr>
                <w:rFonts w:asciiTheme="majorHAnsi" w:hAnsiTheme="majorHAnsi" w:cstheme="majorHAnsi"/>
                <w:sz w:val="16"/>
                <w:szCs w:val="16"/>
                <w:lang w:val="ro-MD"/>
              </w:rPr>
              <w:t>le</w:t>
            </w:r>
            <w:r w:rsidRPr="009E5B39">
              <w:rPr>
                <w:rFonts w:asciiTheme="majorHAnsi" w:hAnsiTheme="majorHAnsi" w:cstheme="majorHAnsi"/>
                <w:sz w:val="16"/>
                <w:szCs w:val="16"/>
                <w:lang w:val="ro-MD"/>
              </w:rPr>
              <w:t xml:space="preserve"> față de bugetul de stat a</w:t>
            </w:r>
            <w:r w:rsidR="001E31A9" w:rsidRPr="009E5B39">
              <w:rPr>
                <w:rFonts w:asciiTheme="majorHAnsi" w:hAnsiTheme="majorHAnsi" w:cstheme="majorHAnsi"/>
                <w:sz w:val="16"/>
                <w:szCs w:val="16"/>
                <w:lang w:val="ro-MD"/>
              </w:rPr>
              <w:t>le</w:t>
            </w:r>
            <w:r w:rsidRPr="009E5B39">
              <w:rPr>
                <w:rFonts w:asciiTheme="majorHAnsi" w:hAnsiTheme="majorHAnsi" w:cstheme="majorHAnsi"/>
                <w:sz w:val="16"/>
                <w:szCs w:val="16"/>
                <w:lang w:val="ro-MD"/>
              </w:rPr>
              <w:t xml:space="preserve"> bugetelor locale da nivelul II pentru împrumuturile recreditate din surse externe</w:t>
            </w:r>
          </w:p>
        </w:tc>
        <w:tc>
          <w:tcPr>
            <w:tcW w:w="1254" w:type="dxa"/>
          </w:tcPr>
          <w:p w14:paraId="40806204"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182.661,7</w:t>
            </w:r>
          </w:p>
        </w:tc>
        <w:tc>
          <w:tcPr>
            <w:tcW w:w="1276" w:type="dxa"/>
          </w:tcPr>
          <w:p w14:paraId="183CF9F7" w14:textId="77777777" w:rsidR="00992FEF" w:rsidRPr="009E5B39" w:rsidRDefault="00992FEF" w:rsidP="00EF4BC3">
            <w:pPr>
              <w:jc w:val="right"/>
              <w:rPr>
                <w:rFonts w:asciiTheme="majorHAnsi" w:hAnsiTheme="majorHAnsi" w:cstheme="majorHAnsi"/>
                <w:sz w:val="16"/>
                <w:szCs w:val="16"/>
                <w:lang w:val="ro-MD"/>
              </w:rPr>
            </w:pPr>
          </w:p>
        </w:tc>
        <w:tc>
          <w:tcPr>
            <w:tcW w:w="1134" w:type="dxa"/>
          </w:tcPr>
          <w:p w14:paraId="764E2948" w14:textId="77777777" w:rsidR="00992FEF" w:rsidRPr="009E5B39" w:rsidRDefault="00992FEF" w:rsidP="00EF4BC3">
            <w:pPr>
              <w:jc w:val="right"/>
              <w:rPr>
                <w:rFonts w:asciiTheme="majorHAnsi" w:hAnsiTheme="majorHAnsi" w:cstheme="majorHAnsi"/>
                <w:sz w:val="16"/>
                <w:szCs w:val="16"/>
                <w:lang w:val="ro-MD"/>
              </w:rPr>
            </w:pPr>
          </w:p>
        </w:tc>
      </w:tr>
      <w:tr w:rsidR="00EF4BC3" w:rsidRPr="009E5B39" w14:paraId="3760FAC4" w14:textId="77777777" w:rsidTr="007F2C21">
        <w:trPr>
          <w:trHeight w:val="20"/>
        </w:trPr>
        <w:tc>
          <w:tcPr>
            <w:tcW w:w="5670" w:type="dxa"/>
          </w:tcPr>
          <w:p w14:paraId="27A941D4" w14:textId="42E85AB0"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Creanțe</w:t>
            </w:r>
            <w:r w:rsidR="001E31A9" w:rsidRPr="009E5B39">
              <w:rPr>
                <w:rFonts w:asciiTheme="majorHAnsi" w:hAnsiTheme="majorHAnsi" w:cstheme="majorHAnsi"/>
                <w:sz w:val="16"/>
                <w:szCs w:val="16"/>
                <w:lang w:val="ro-MD"/>
              </w:rPr>
              <w:t>le</w:t>
            </w:r>
            <w:r w:rsidRPr="009E5B39">
              <w:rPr>
                <w:rFonts w:asciiTheme="majorHAnsi" w:hAnsiTheme="majorHAnsi" w:cstheme="majorHAnsi"/>
                <w:sz w:val="16"/>
                <w:szCs w:val="16"/>
                <w:lang w:val="ro-MD"/>
              </w:rPr>
              <w:t xml:space="preserve"> față de bugetul de stat ale contribuabililor</w:t>
            </w:r>
          </w:p>
        </w:tc>
        <w:tc>
          <w:tcPr>
            <w:tcW w:w="1254" w:type="dxa"/>
          </w:tcPr>
          <w:p w14:paraId="234F289A" w14:textId="77777777" w:rsidR="00992FEF" w:rsidRPr="009E5B39" w:rsidRDefault="00992FEF" w:rsidP="00EF4BC3">
            <w:pPr>
              <w:jc w:val="right"/>
              <w:rPr>
                <w:rFonts w:asciiTheme="majorHAnsi" w:hAnsiTheme="majorHAnsi" w:cstheme="majorHAnsi"/>
                <w:sz w:val="16"/>
                <w:szCs w:val="16"/>
                <w:lang w:val="ro-MD"/>
              </w:rPr>
            </w:pPr>
          </w:p>
        </w:tc>
        <w:tc>
          <w:tcPr>
            <w:tcW w:w="1276" w:type="dxa"/>
          </w:tcPr>
          <w:p w14:paraId="2ED55378"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31.664,8</w:t>
            </w:r>
          </w:p>
        </w:tc>
        <w:tc>
          <w:tcPr>
            <w:tcW w:w="1134" w:type="dxa"/>
          </w:tcPr>
          <w:p w14:paraId="48EFECEC"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25.655,1</w:t>
            </w:r>
          </w:p>
        </w:tc>
      </w:tr>
      <w:tr w:rsidR="00EF4BC3" w:rsidRPr="009E5B39" w14:paraId="5C407F1D" w14:textId="77777777" w:rsidTr="007F2C21">
        <w:trPr>
          <w:trHeight w:val="20"/>
        </w:trPr>
        <w:tc>
          <w:tcPr>
            <w:tcW w:w="5670" w:type="dxa"/>
          </w:tcPr>
          <w:p w14:paraId="1E8113A9"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Datoria bugetului de stat privind împrumuturile acordate de instituții financiare</w:t>
            </w:r>
          </w:p>
        </w:tc>
        <w:tc>
          <w:tcPr>
            <w:tcW w:w="1254" w:type="dxa"/>
          </w:tcPr>
          <w:p w14:paraId="58DC07CB"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3.417,1</w:t>
            </w:r>
          </w:p>
        </w:tc>
        <w:tc>
          <w:tcPr>
            <w:tcW w:w="1276" w:type="dxa"/>
          </w:tcPr>
          <w:p w14:paraId="0C23E8F1" w14:textId="77777777" w:rsidR="00992FEF" w:rsidRPr="009E5B39" w:rsidRDefault="00992FEF" w:rsidP="00EF4BC3">
            <w:pPr>
              <w:jc w:val="right"/>
              <w:rPr>
                <w:rFonts w:asciiTheme="majorHAnsi" w:hAnsiTheme="majorHAnsi" w:cstheme="majorHAnsi"/>
                <w:sz w:val="16"/>
                <w:szCs w:val="16"/>
                <w:lang w:val="ro-MD"/>
              </w:rPr>
            </w:pPr>
          </w:p>
        </w:tc>
        <w:tc>
          <w:tcPr>
            <w:tcW w:w="1134" w:type="dxa"/>
          </w:tcPr>
          <w:p w14:paraId="58AC1222"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252.032,1</w:t>
            </w:r>
          </w:p>
        </w:tc>
      </w:tr>
      <w:tr w:rsidR="00EF4BC3" w:rsidRPr="009E5B39" w14:paraId="02251BB9" w14:textId="77777777" w:rsidTr="007F2C21">
        <w:trPr>
          <w:trHeight w:val="20"/>
        </w:trPr>
        <w:tc>
          <w:tcPr>
            <w:tcW w:w="5670" w:type="dxa"/>
          </w:tcPr>
          <w:p w14:paraId="3159506E" w14:textId="4583C53B"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Datoria bugetului de stat privind alte </w:t>
            </w:r>
            <w:r w:rsidR="001E31A9" w:rsidRPr="009E5B39">
              <w:rPr>
                <w:rFonts w:asciiTheme="majorHAnsi" w:hAnsiTheme="majorHAnsi" w:cstheme="majorHAnsi"/>
                <w:sz w:val="16"/>
                <w:szCs w:val="16"/>
                <w:lang w:val="ro-MD"/>
              </w:rPr>
              <w:t>î</w:t>
            </w:r>
            <w:r w:rsidRPr="009E5B39">
              <w:rPr>
                <w:rFonts w:asciiTheme="majorHAnsi" w:hAnsiTheme="majorHAnsi" w:cstheme="majorHAnsi"/>
                <w:sz w:val="16"/>
                <w:szCs w:val="16"/>
                <w:lang w:val="ro-MD"/>
              </w:rPr>
              <w:t>mprumuturi</w:t>
            </w:r>
          </w:p>
        </w:tc>
        <w:tc>
          <w:tcPr>
            <w:tcW w:w="1254" w:type="dxa"/>
          </w:tcPr>
          <w:p w14:paraId="4A6F5E15"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41,9</w:t>
            </w:r>
          </w:p>
        </w:tc>
        <w:tc>
          <w:tcPr>
            <w:tcW w:w="1276" w:type="dxa"/>
          </w:tcPr>
          <w:p w14:paraId="2D792877"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41,9</w:t>
            </w:r>
          </w:p>
        </w:tc>
        <w:tc>
          <w:tcPr>
            <w:tcW w:w="1134" w:type="dxa"/>
          </w:tcPr>
          <w:p w14:paraId="1C123918"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41,9</w:t>
            </w:r>
          </w:p>
        </w:tc>
      </w:tr>
      <w:tr w:rsidR="00EF4BC3" w:rsidRPr="009E5B39" w14:paraId="6454499B" w14:textId="77777777" w:rsidTr="007F2C21">
        <w:trPr>
          <w:trHeight w:val="20"/>
        </w:trPr>
        <w:tc>
          <w:tcPr>
            <w:tcW w:w="5670" w:type="dxa"/>
          </w:tcPr>
          <w:p w14:paraId="64A53F0D"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Datoria bugetului de stat privind împrumuturile de stat externe acordate de organizații financiare internaționale</w:t>
            </w:r>
          </w:p>
        </w:tc>
        <w:tc>
          <w:tcPr>
            <w:tcW w:w="1254" w:type="dxa"/>
          </w:tcPr>
          <w:p w14:paraId="3270D46E"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291.833,0</w:t>
            </w:r>
          </w:p>
        </w:tc>
        <w:tc>
          <w:tcPr>
            <w:tcW w:w="1276" w:type="dxa"/>
          </w:tcPr>
          <w:p w14:paraId="2D92505C"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238.136,9</w:t>
            </w:r>
          </w:p>
        </w:tc>
        <w:tc>
          <w:tcPr>
            <w:tcW w:w="1134" w:type="dxa"/>
          </w:tcPr>
          <w:p w14:paraId="6121AF70"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230.491,4</w:t>
            </w:r>
          </w:p>
        </w:tc>
      </w:tr>
      <w:tr w:rsidR="00EF4BC3" w:rsidRPr="009E5B39" w14:paraId="0A70B1FD" w14:textId="77777777" w:rsidTr="007F2C21">
        <w:trPr>
          <w:trHeight w:val="20"/>
        </w:trPr>
        <w:tc>
          <w:tcPr>
            <w:tcW w:w="5670" w:type="dxa"/>
          </w:tcPr>
          <w:p w14:paraId="1098AB0F"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Datoria privind împrumuturile recreditate din surse externe</w:t>
            </w:r>
          </w:p>
        </w:tc>
        <w:tc>
          <w:tcPr>
            <w:tcW w:w="1254" w:type="dxa"/>
          </w:tcPr>
          <w:p w14:paraId="4BE71991" w14:textId="77777777" w:rsidR="00992FEF" w:rsidRPr="009E5B39" w:rsidRDefault="00992FEF" w:rsidP="00EF4BC3">
            <w:pPr>
              <w:jc w:val="right"/>
              <w:rPr>
                <w:rFonts w:asciiTheme="majorHAnsi" w:hAnsiTheme="majorHAnsi" w:cstheme="majorHAnsi"/>
                <w:sz w:val="16"/>
                <w:szCs w:val="16"/>
                <w:lang w:val="ro-MD"/>
              </w:rPr>
            </w:pPr>
          </w:p>
        </w:tc>
        <w:tc>
          <w:tcPr>
            <w:tcW w:w="1276" w:type="dxa"/>
          </w:tcPr>
          <w:p w14:paraId="7BCCB593"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180.664,2</w:t>
            </w:r>
          </w:p>
        </w:tc>
        <w:tc>
          <w:tcPr>
            <w:tcW w:w="1134" w:type="dxa"/>
          </w:tcPr>
          <w:p w14:paraId="775EC9CD"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188.224,9</w:t>
            </w:r>
          </w:p>
        </w:tc>
      </w:tr>
      <w:tr w:rsidR="00EF4BC3" w:rsidRPr="009E5B39" w14:paraId="13EF8C14" w14:textId="77777777" w:rsidTr="007F2C21">
        <w:trPr>
          <w:trHeight w:val="20"/>
        </w:trPr>
        <w:tc>
          <w:tcPr>
            <w:tcW w:w="5670" w:type="dxa"/>
          </w:tcPr>
          <w:p w14:paraId="2068FBC6"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Datoria bugetului de stat privind alte surse interne</w:t>
            </w:r>
          </w:p>
        </w:tc>
        <w:tc>
          <w:tcPr>
            <w:tcW w:w="1254" w:type="dxa"/>
          </w:tcPr>
          <w:p w14:paraId="768F8BA1" w14:textId="77777777" w:rsidR="00992FEF" w:rsidRPr="009E5B39" w:rsidRDefault="00992FEF" w:rsidP="00EF4BC3">
            <w:pPr>
              <w:jc w:val="right"/>
              <w:rPr>
                <w:rFonts w:asciiTheme="majorHAnsi" w:hAnsiTheme="majorHAnsi" w:cstheme="majorHAnsi"/>
                <w:sz w:val="16"/>
                <w:szCs w:val="16"/>
                <w:lang w:val="ro-MD"/>
              </w:rPr>
            </w:pPr>
          </w:p>
        </w:tc>
        <w:tc>
          <w:tcPr>
            <w:tcW w:w="1276" w:type="dxa"/>
          </w:tcPr>
          <w:p w14:paraId="7BECA23C" w14:textId="77777777" w:rsidR="00992FEF" w:rsidRPr="009E5B39" w:rsidRDefault="00992FEF" w:rsidP="00EF4BC3">
            <w:pPr>
              <w:jc w:val="right"/>
              <w:rPr>
                <w:rFonts w:asciiTheme="majorHAnsi" w:hAnsiTheme="majorHAnsi" w:cstheme="majorHAnsi"/>
                <w:sz w:val="16"/>
                <w:szCs w:val="16"/>
                <w:lang w:val="ro-MD"/>
              </w:rPr>
            </w:pPr>
          </w:p>
        </w:tc>
        <w:tc>
          <w:tcPr>
            <w:tcW w:w="1134" w:type="dxa"/>
          </w:tcPr>
          <w:p w14:paraId="4018D6A7"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367,1</w:t>
            </w:r>
          </w:p>
        </w:tc>
      </w:tr>
      <w:tr w:rsidR="00EF4BC3" w:rsidRPr="009E5B39" w14:paraId="76B0E072" w14:textId="77777777" w:rsidTr="007F2C21">
        <w:trPr>
          <w:trHeight w:val="20"/>
        </w:trPr>
        <w:tc>
          <w:tcPr>
            <w:tcW w:w="5670" w:type="dxa"/>
          </w:tcPr>
          <w:p w14:paraId="67DD92B6"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Angajamente ale bugetelor locale de nivelul II</w:t>
            </w:r>
          </w:p>
        </w:tc>
        <w:tc>
          <w:tcPr>
            <w:tcW w:w="1254" w:type="dxa"/>
          </w:tcPr>
          <w:p w14:paraId="3A5239D7"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7.019,8</w:t>
            </w:r>
          </w:p>
        </w:tc>
        <w:tc>
          <w:tcPr>
            <w:tcW w:w="1276" w:type="dxa"/>
          </w:tcPr>
          <w:p w14:paraId="7F81D241" w14:textId="77777777" w:rsidR="00992FEF" w:rsidRPr="009E5B39" w:rsidRDefault="00992FEF" w:rsidP="00EF4BC3">
            <w:pPr>
              <w:jc w:val="right"/>
              <w:rPr>
                <w:rFonts w:asciiTheme="majorHAnsi" w:hAnsiTheme="majorHAnsi" w:cstheme="majorHAnsi"/>
                <w:sz w:val="16"/>
                <w:szCs w:val="16"/>
                <w:lang w:val="ro-MD"/>
              </w:rPr>
            </w:pPr>
          </w:p>
        </w:tc>
        <w:tc>
          <w:tcPr>
            <w:tcW w:w="1134" w:type="dxa"/>
          </w:tcPr>
          <w:p w14:paraId="326C100F" w14:textId="77777777" w:rsidR="00992FEF" w:rsidRPr="009E5B39" w:rsidRDefault="00992FEF" w:rsidP="00EF4BC3">
            <w:pPr>
              <w:jc w:val="right"/>
              <w:rPr>
                <w:rFonts w:asciiTheme="majorHAnsi" w:hAnsiTheme="majorHAnsi" w:cstheme="majorHAnsi"/>
                <w:sz w:val="16"/>
                <w:szCs w:val="16"/>
                <w:lang w:val="ro-MD"/>
              </w:rPr>
            </w:pPr>
          </w:p>
        </w:tc>
      </w:tr>
      <w:tr w:rsidR="00EF4BC3" w:rsidRPr="009E5B39" w14:paraId="13E5D972" w14:textId="77777777" w:rsidTr="007F2C21">
        <w:trPr>
          <w:trHeight w:val="20"/>
        </w:trPr>
        <w:tc>
          <w:tcPr>
            <w:tcW w:w="5670" w:type="dxa"/>
          </w:tcPr>
          <w:p w14:paraId="7A9F5CD0" w14:textId="0039BF38"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Active luate </w:t>
            </w:r>
            <w:r w:rsidR="001E31A9" w:rsidRPr="009E5B39">
              <w:rPr>
                <w:rFonts w:asciiTheme="majorHAnsi" w:hAnsiTheme="majorHAnsi" w:cstheme="majorHAnsi"/>
                <w:sz w:val="16"/>
                <w:szCs w:val="16"/>
                <w:lang w:val="ro-MD"/>
              </w:rPr>
              <w:t>î</w:t>
            </w:r>
            <w:r w:rsidRPr="009E5B39">
              <w:rPr>
                <w:rFonts w:asciiTheme="majorHAnsi" w:hAnsiTheme="majorHAnsi" w:cstheme="majorHAnsi"/>
                <w:sz w:val="16"/>
                <w:szCs w:val="16"/>
                <w:lang w:val="ro-MD"/>
              </w:rPr>
              <w:t>n locațiune/arend</w:t>
            </w:r>
            <w:r w:rsidR="001E31A9" w:rsidRPr="009E5B39">
              <w:rPr>
                <w:rFonts w:asciiTheme="majorHAnsi" w:hAnsiTheme="majorHAnsi" w:cstheme="majorHAnsi"/>
                <w:sz w:val="16"/>
                <w:szCs w:val="16"/>
                <w:lang w:val="ro-MD"/>
              </w:rPr>
              <w:t>ă</w:t>
            </w:r>
          </w:p>
        </w:tc>
        <w:tc>
          <w:tcPr>
            <w:tcW w:w="1254" w:type="dxa"/>
          </w:tcPr>
          <w:p w14:paraId="4EB88AE0"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246.650,8</w:t>
            </w:r>
          </w:p>
        </w:tc>
        <w:tc>
          <w:tcPr>
            <w:tcW w:w="1276" w:type="dxa"/>
          </w:tcPr>
          <w:p w14:paraId="18B4A232"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232.647,8</w:t>
            </w:r>
          </w:p>
        </w:tc>
        <w:tc>
          <w:tcPr>
            <w:tcW w:w="1134" w:type="dxa"/>
          </w:tcPr>
          <w:p w14:paraId="64BF2470"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244.607,9</w:t>
            </w:r>
          </w:p>
        </w:tc>
      </w:tr>
      <w:tr w:rsidR="00EF4BC3" w:rsidRPr="009E5B39" w14:paraId="0A3F486E" w14:textId="77777777" w:rsidTr="007F2C21">
        <w:trPr>
          <w:trHeight w:val="20"/>
        </w:trPr>
        <w:tc>
          <w:tcPr>
            <w:tcW w:w="5670" w:type="dxa"/>
          </w:tcPr>
          <w:p w14:paraId="73D3AE72" w14:textId="599D3006"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Valori </w:t>
            </w:r>
            <w:r w:rsidR="001E31A9" w:rsidRPr="009E5B39">
              <w:rPr>
                <w:rFonts w:asciiTheme="majorHAnsi" w:hAnsiTheme="majorHAnsi" w:cstheme="majorHAnsi"/>
                <w:sz w:val="16"/>
                <w:szCs w:val="16"/>
                <w:lang w:val="ro-MD"/>
              </w:rPr>
              <w:t>î</w:t>
            </w:r>
            <w:r w:rsidRPr="009E5B39">
              <w:rPr>
                <w:rFonts w:asciiTheme="majorHAnsi" w:hAnsiTheme="majorHAnsi" w:cstheme="majorHAnsi"/>
                <w:sz w:val="16"/>
                <w:szCs w:val="16"/>
                <w:lang w:val="ro-MD"/>
              </w:rPr>
              <w:t xml:space="preserve">n mărfuri </w:t>
            </w:r>
            <w:r w:rsidR="001E31A9" w:rsidRPr="009E5B39">
              <w:rPr>
                <w:rFonts w:asciiTheme="majorHAnsi" w:hAnsiTheme="majorHAnsi" w:cstheme="majorHAnsi"/>
                <w:sz w:val="16"/>
                <w:szCs w:val="16"/>
                <w:lang w:val="ro-MD"/>
              </w:rPr>
              <w:t>ș</w:t>
            </w:r>
            <w:r w:rsidRPr="009E5B39">
              <w:rPr>
                <w:rFonts w:asciiTheme="majorHAnsi" w:hAnsiTheme="majorHAnsi" w:cstheme="majorHAnsi"/>
                <w:sz w:val="16"/>
                <w:szCs w:val="16"/>
                <w:lang w:val="ro-MD"/>
              </w:rPr>
              <w:t xml:space="preserve">i materiale primite </w:t>
            </w:r>
            <w:r w:rsidR="001E31A9" w:rsidRPr="009E5B39">
              <w:rPr>
                <w:rFonts w:asciiTheme="majorHAnsi" w:hAnsiTheme="majorHAnsi" w:cstheme="majorHAnsi"/>
                <w:sz w:val="16"/>
                <w:szCs w:val="16"/>
                <w:lang w:val="ro-MD"/>
              </w:rPr>
              <w:t>î</w:t>
            </w:r>
            <w:r w:rsidRPr="009E5B39">
              <w:rPr>
                <w:rFonts w:asciiTheme="majorHAnsi" w:hAnsiTheme="majorHAnsi" w:cstheme="majorHAnsi"/>
                <w:sz w:val="16"/>
                <w:szCs w:val="16"/>
                <w:lang w:val="ro-MD"/>
              </w:rPr>
              <w:t>n custodie</w:t>
            </w:r>
          </w:p>
        </w:tc>
        <w:tc>
          <w:tcPr>
            <w:tcW w:w="1254" w:type="dxa"/>
          </w:tcPr>
          <w:p w14:paraId="1AD848EC"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1.107,9</w:t>
            </w:r>
          </w:p>
        </w:tc>
        <w:tc>
          <w:tcPr>
            <w:tcW w:w="1276" w:type="dxa"/>
          </w:tcPr>
          <w:p w14:paraId="767242CC"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160,7</w:t>
            </w:r>
          </w:p>
        </w:tc>
        <w:tc>
          <w:tcPr>
            <w:tcW w:w="1134" w:type="dxa"/>
          </w:tcPr>
          <w:p w14:paraId="18798DBD"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226,0</w:t>
            </w:r>
          </w:p>
        </w:tc>
      </w:tr>
      <w:tr w:rsidR="00EF4BC3" w:rsidRPr="009E5B39" w14:paraId="2A9984CF" w14:textId="77777777" w:rsidTr="007F2C21">
        <w:trPr>
          <w:trHeight w:val="20"/>
        </w:trPr>
        <w:tc>
          <w:tcPr>
            <w:tcW w:w="5670" w:type="dxa"/>
          </w:tcPr>
          <w:p w14:paraId="38CA635A"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Formulare de valori</w:t>
            </w:r>
          </w:p>
        </w:tc>
        <w:tc>
          <w:tcPr>
            <w:tcW w:w="1254" w:type="dxa"/>
          </w:tcPr>
          <w:p w14:paraId="475240CC"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57,8</w:t>
            </w:r>
          </w:p>
        </w:tc>
        <w:tc>
          <w:tcPr>
            <w:tcW w:w="1276" w:type="dxa"/>
          </w:tcPr>
          <w:p w14:paraId="398CA86D"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37,0</w:t>
            </w:r>
          </w:p>
        </w:tc>
        <w:tc>
          <w:tcPr>
            <w:tcW w:w="1134" w:type="dxa"/>
          </w:tcPr>
          <w:p w14:paraId="64264107"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39,8</w:t>
            </w:r>
          </w:p>
        </w:tc>
      </w:tr>
      <w:tr w:rsidR="00EF4BC3" w:rsidRPr="009E5B39" w14:paraId="182985F5" w14:textId="77777777" w:rsidTr="007F2C21">
        <w:trPr>
          <w:trHeight w:val="20"/>
        </w:trPr>
        <w:tc>
          <w:tcPr>
            <w:tcW w:w="5670" w:type="dxa"/>
          </w:tcPr>
          <w:p w14:paraId="5E88B5D1"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Restanțele anulate ale debitorilor insolvabili</w:t>
            </w:r>
          </w:p>
        </w:tc>
        <w:tc>
          <w:tcPr>
            <w:tcW w:w="1254" w:type="dxa"/>
          </w:tcPr>
          <w:p w14:paraId="3DB3EABE"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400,8</w:t>
            </w:r>
          </w:p>
        </w:tc>
        <w:tc>
          <w:tcPr>
            <w:tcW w:w="1276" w:type="dxa"/>
          </w:tcPr>
          <w:p w14:paraId="3A41505E"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10.266,0</w:t>
            </w:r>
          </w:p>
        </w:tc>
        <w:tc>
          <w:tcPr>
            <w:tcW w:w="1134" w:type="dxa"/>
          </w:tcPr>
          <w:p w14:paraId="76B4FBB7"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10.269,9</w:t>
            </w:r>
          </w:p>
        </w:tc>
      </w:tr>
      <w:tr w:rsidR="00EF4BC3" w:rsidRPr="009E5B39" w14:paraId="0CF0A685" w14:textId="77777777" w:rsidTr="007F2C21">
        <w:trPr>
          <w:trHeight w:val="20"/>
        </w:trPr>
        <w:tc>
          <w:tcPr>
            <w:tcW w:w="5670" w:type="dxa"/>
          </w:tcPr>
          <w:p w14:paraId="0C04BFD4"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Alte datorii și restanțe extrabilanțiere</w:t>
            </w:r>
          </w:p>
        </w:tc>
        <w:tc>
          <w:tcPr>
            <w:tcW w:w="1254" w:type="dxa"/>
          </w:tcPr>
          <w:p w14:paraId="2D3FE7DB" w14:textId="77777777" w:rsidR="00992FEF" w:rsidRPr="009E5B39" w:rsidRDefault="00992FEF" w:rsidP="00EF4BC3">
            <w:pPr>
              <w:jc w:val="right"/>
              <w:rPr>
                <w:rFonts w:asciiTheme="majorHAnsi" w:hAnsiTheme="majorHAnsi" w:cstheme="majorHAnsi"/>
                <w:sz w:val="16"/>
                <w:szCs w:val="16"/>
                <w:lang w:val="ro-MD"/>
              </w:rPr>
            </w:pPr>
          </w:p>
        </w:tc>
        <w:tc>
          <w:tcPr>
            <w:tcW w:w="1276" w:type="dxa"/>
          </w:tcPr>
          <w:p w14:paraId="07AE8D1C" w14:textId="77777777" w:rsidR="00992FEF" w:rsidRPr="009E5B39" w:rsidRDefault="00992FEF" w:rsidP="00EF4BC3">
            <w:pPr>
              <w:jc w:val="right"/>
              <w:rPr>
                <w:rFonts w:asciiTheme="majorHAnsi" w:hAnsiTheme="majorHAnsi" w:cstheme="majorHAnsi"/>
                <w:sz w:val="16"/>
                <w:szCs w:val="16"/>
                <w:lang w:val="ro-MD"/>
              </w:rPr>
            </w:pPr>
          </w:p>
        </w:tc>
        <w:tc>
          <w:tcPr>
            <w:tcW w:w="1134" w:type="dxa"/>
          </w:tcPr>
          <w:p w14:paraId="4E6828C3"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985,3</w:t>
            </w:r>
          </w:p>
        </w:tc>
      </w:tr>
      <w:tr w:rsidR="00EF4BC3" w:rsidRPr="009E5B39" w14:paraId="0919FB0E" w14:textId="77777777" w:rsidTr="007F2C21">
        <w:trPr>
          <w:trHeight w:val="20"/>
        </w:trPr>
        <w:tc>
          <w:tcPr>
            <w:tcW w:w="5670" w:type="dxa"/>
          </w:tcPr>
          <w:p w14:paraId="07310274"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Creanțe privind lipsurile și delapidările de mijloace bănești și valori materiale aflate în organele de anchetă</w:t>
            </w:r>
          </w:p>
        </w:tc>
        <w:tc>
          <w:tcPr>
            <w:tcW w:w="1254" w:type="dxa"/>
          </w:tcPr>
          <w:p w14:paraId="7E37D036" w14:textId="77777777" w:rsidR="00992FEF" w:rsidRPr="009E5B39" w:rsidRDefault="00992FEF" w:rsidP="00EF4BC3">
            <w:pPr>
              <w:jc w:val="right"/>
              <w:rPr>
                <w:rFonts w:asciiTheme="majorHAnsi" w:hAnsiTheme="majorHAnsi" w:cstheme="majorHAnsi"/>
                <w:sz w:val="16"/>
                <w:szCs w:val="16"/>
                <w:lang w:val="ro-MD"/>
              </w:rPr>
            </w:pPr>
          </w:p>
        </w:tc>
        <w:tc>
          <w:tcPr>
            <w:tcW w:w="1276" w:type="dxa"/>
          </w:tcPr>
          <w:p w14:paraId="3E3BB109"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1.160.4</w:t>
            </w:r>
          </w:p>
        </w:tc>
        <w:tc>
          <w:tcPr>
            <w:tcW w:w="1134" w:type="dxa"/>
          </w:tcPr>
          <w:p w14:paraId="13038535"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1.080,5</w:t>
            </w:r>
          </w:p>
        </w:tc>
      </w:tr>
      <w:tr w:rsidR="00EF4BC3" w:rsidRPr="009E5B39" w14:paraId="6F50557C" w14:textId="77777777" w:rsidTr="007F2C21">
        <w:trPr>
          <w:trHeight w:val="20"/>
        </w:trPr>
        <w:tc>
          <w:tcPr>
            <w:tcW w:w="5670" w:type="dxa"/>
          </w:tcPr>
          <w:p w14:paraId="44C0EF6C" w14:textId="77777777" w:rsidR="00992FEF" w:rsidRPr="009E5B39" w:rsidRDefault="00992FEF" w:rsidP="00EF4BC3">
            <w:pPr>
              <w:rPr>
                <w:rFonts w:asciiTheme="majorHAnsi" w:hAnsiTheme="majorHAnsi" w:cstheme="majorHAnsi"/>
                <w:sz w:val="16"/>
                <w:szCs w:val="16"/>
                <w:lang w:val="ro-MD"/>
              </w:rPr>
            </w:pPr>
            <w:r w:rsidRPr="009E5B39">
              <w:rPr>
                <w:rFonts w:asciiTheme="majorHAnsi" w:hAnsiTheme="majorHAnsi" w:cstheme="majorHAnsi"/>
                <w:sz w:val="16"/>
                <w:szCs w:val="16"/>
                <w:lang w:val="ro-MD"/>
              </w:rPr>
              <w:t>Alte conturi extrabilanțiere</w:t>
            </w:r>
          </w:p>
        </w:tc>
        <w:tc>
          <w:tcPr>
            <w:tcW w:w="1254" w:type="dxa"/>
          </w:tcPr>
          <w:p w14:paraId="38ADE9F0"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867.646,1</w:t>
            </w:r>
          </w:p>
        </w:tc>
        <w:tc>
          <w:tcPr>
            <w:tcW w:w="1276" w:type="dxa"/>
          </w:tcPr>
          <w:p w14:paraId="02F45EA7"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2.862.116,1</w:t>
            </w:r>
          </w:p>
        </w:tc>
        <w:tc>
          <w:tcPr>
            <w:tcW w:w="1134" w:type="dxa"/>
          </w:tcPr>
          <w:p w14:paraId="73DFE490" w14:textId="77777777" w:rsidR="00992FEF" w:rsidRPr="009E5B39" w:rsidRDefault="00992FEF" w:rsidP="00EF4BC3">
            <w:pPr>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3.286.953,2</w:t>
            </w:r>
          </w:p>
        </w:tc>
      </w:tr>
    </w:tbl>
    <w:p w14:paraId="77EC5979" w14:textId="7E483E2D" w:rsidR="00992FEF" w:rsidRPr="009E5B39" w:rsidRDefault="00992FEF" w:rsidP="00464C0F">
      <w:pPr>
        <w:spacing w:after="0" w:line="240" w:lineRule="auto"/>
        <w:jc w:val="both"/>
        <w:rPr>
          <w:rFonts w:asciiTheme="majorHAnsi" w:eastAsia="Times New Roman" w:hAnsiTheme="majorHAnsi" w:cstheme="majorHAnsi"/>
          <w:bCs/>
          <w:i/>
          <w:iCs/>
          <w:sz w:val="20"/>
          <w:szCs w:val="20"/>
          <w:lang w:val="ro-MD"/>
        </w:rPr>
      </w:pPr>
      <w:r w:rsidRPr="009E5B39">
        <w:rPr>
          <w:rFonts w:asciiTheme="majorHAnsi" w:eastAsia="Times New Roman" w:hAnsiTheme="majorHAnsi" w:cstheme="majorHAnsi"/>
          <w:b/>
          <w:bCs/>
          <w:i/>
          <w:iCs/>
          <w:sz w:val="20"/>
          <w:szCs w:val="20"/>
          <w:lang w:val="ro-MD"/>
        </w:rPr>
        <w:t>Surs</w:t>
      </w:r>
      <w:r w:rsidR="00A941B1" w:rsidRPr="009E5B39">
        <w:rPr>
          <w:rFonts w:asciiTheme="majorHAnsi" w:eastAsia="Times New Roman" w:hAnsiTheme="majorHAnsi" w:cstheme="majorHAnsi"/>
          <w:b/>
          <w:bCs/>
          <w:i/>
          <w:iCs/>
          <w:sz w:val="20"/>
          <w:szCs w:val="20"/>
          <w:lang w:val="ro-MD"/>
        </w:rPr>
        <w:t>a</w:t>
      </w:r>
      <w:r w:rsidRPr="009E5B39">
        <w:rPr>
          <w:rFonts w:asciiTheme="majorHAnsi" w:eastAsia="Times New Roman" w:hAnsiTheme="majorHAnsi" w:cstheme="majorHAnsi"/>
          <w:b/>
          <w:bCs/>
          <w:i/>
          <w:iCs/>
          <w:sz w:val="20"/>
          <w:szCs w:val="20"/>
          <w:lang w:val="ro-MD"/>
        </w:rPr>
        <w:t>:</w:t>
      </w:r>
      <w:r w:rsidRPr="009E5B39">
        <w:rPr>
          <w:rFonts w:asciiTheme="majorHAnsi" w:eastAsia="Times New Roman" w:hAnsiTheme="majorHAnsi" w:cstheme="majorHAnsi"/>
          <w:bCs/>
          <w:i/>
          <w:iCs/>
          <w:sz w:val="20"/>
          <w:szCs w:val="20"/>
          <w:lang w:val="ro-MD"/>
        </w:rPr>
        <w:t xml:space="preserve"> Bilanțurile contabile ale APL </w:t>
      </w:r>
      <w:r w:rsidR="00FB3E2D" w:rsidRPr="009E5B39">
        <w:rPr>
          <w:rFonts w:asciiTheme="majorHAnsi" w:eastAsia="Times New Roman" w:hAnsiTheme="majorHAnsi" w:cstheme="majorHAnsi"/>
          <w:bCs/>
          <w:i/>
          <w:iCs/>
          <w:sz w:val="20"/>
          <w:szCs w:val="20"/>
          <w:lang w:val="ro-MD"/>
        </w:rPr>
        <w:t xml:space="preserve">a </w:t>
      </w:r>
      <w:r w:rsidRPr="009E5B39">
        <w:rPr>
          <w:rFonts w:asciiTheme="majorHAnsi" w:eastAsia="Times New Roman" w:hAnsiTheme="majorHAnsi" w:cstheme="majorHAnsi"/>
          <w:bCs/>
          <w:i/>
          <w:iCs/>
          <w:sz w:val="20"/>
          <w:szCs w:val="20"/>
          <w:lang w:val="ro-MD"/>
        </w:rPr>
        <w:t xml:space="preserve">mun. Chișinău la 31.12.2018, la 31.12.2019 și la 31.12.2020. </w:t>
      </w:r>
    </w:p>
    <w:p w14:paraId="413178A8" w14:textId="574E29A1" w:rsidR="00992FEF" w:rsidRPr="009E5B39" w:rsidRDefault="00992FEF" w:rsidP="007102DC">
      <w:pPr>
        <w:spacing w:before="240" w:after="0" w:line="276" w:lineRule="auto"/>
        <w:rPr>
          <w:rFonts w:asciiTheme="majorHAnsi" w:eastAsia="Calibri" w:hAnsiTheme="majorHAnsi" w:cstheme="majorHAnsi"/>
          <w:b/>
          <w:sz w:val="24"/>
          <w:szCs w:val="24"/>
          <w:lang w:val="ro-MD"/>
        </w:rPr>
      </w:pPr>
      <w:r w:rsidRPr="009E5B39">
        <w:rPr>
          <w:rFonts w:asciiTheme="majorHAnsi" w:eastAsia="Calibri" w:hAnsiTheme="majorHAnsi" w:cstheme="majorHAnsi"/>
          <w:b/>
          <w:sz w:val="24"/>
          <w:szCs w:val="24"/>
          <w:lang w:val="ro-MD"/>
        </w:rPr>
        <w:t xml:space="preserve">2.4. Sumarul executării bugetului UAT mun. Chișinău pentru anii 2018-2020 </w:t>
      </w:r>
    </w:p>
    <w:p w14:paraId="21EEAF0F" w14:textId="28BD2EA8" w:rsidR="00992FEF" w:rsidRPr="009E5B39" w:rsidRDefault="00992FEF" w:rsidP="00EF4BC3">
      <w:pPr>
        <w:spacing w:after="0" w:line="276" w:lineRule="auto"/>
        <w:ind w:firstLine="567"/>
        <w:jc w:val="both"/>
        <w:rPr>
          <w:rFonts w:asciiTheme="majorHAnsi" w:eastAsia="Times New Roman" w:hAnsiTheme="majorHAnsi" w:cstheme="majorHAnsi"/>
          <w:bCs/>
          <w:iCs/>
          <w:sz w:val="24"/>
          <w:szCs w:val="24"/>
          <w:lang w:val="ro-MD"/>
        </w:rPr>
      </w:pPr>
      <w:r w:rsidRPr="009E5B39">
        <w:rPr>
          <w:rFonts w:asciiTheme="majorHAnsi" w:eastAsia="Times New Roman" w:hAnsiTheme="majorHAnsi" w:cstheme="majorHAnsi"/>
          <w:bCs/>
          <w:iCs/>
          <w:sz w:val="24"/>
          <w:szCs w:val="24"/>
          <w:lang w:val="ro-MD"/>
        </w:rPr>
        <w:t xml:space="preserve">Informațiile care atestă situația veniturilor și cheltuielilor APL </w:t>
      </w:r>
      <w:r w:rsidR="00FB3E2D" w:rsidRPr="009E5B39">
        <w:rPr>
          <w:rFonts w:asciiTheme="majorHAnsi" w:eastAsia="Times New Roman" w:hAnsiTheme="majorHAnsi" w:cstheme="majorHAnsi"/>
          <w:bCs/>
          <w:iCs/>
          <w:sz w:val="24"/>
          <w:szCs w:val="24"/>
          <w:lang w:val="ro-MD"/>
        </w:rPr>
        <w:t xml:space="preserve">a </w:t>
      </w:r>
      <w:r w:rsidRPr="009E5B39">
        <w:rPr>
          <w:rFonts w:asciiTheme="majorHAnsi" w:eastAsia="Times New Roman" w:hAnsiTheme="majorHAnsi" w:cstheme="majorHAnsi"/>
          <w:bCs/>
          <w:iCs/>
          <w:sz w:val="24"/>
          <w:szCs w:val="24"/>
          <w:lang w:val="ro-MD"/>
        </w:rPr>
        <w:t>mun. Chișinău pentru perioada auditată sunt prezentate în tabel</w:t>
      </w:r>
      <w:r w:rsidR="001E6556" w:rsidRPr="009E5B39">
        <w:rPr>
          <w:rFonts w:asciiTheme="majorHAnsi" w:eastAsia="Times New Roman" w:hAnsiTheme="majorHAnsi" w:cstheme="majorHAnsi"/>
          <w:bCs/>
          <w:iCs/>
          <w:sz w:val="24"/>
          <w:szCs w:val="24"/>
          <w:lang w:val="ro-MD"/>
        </w:rPr>
        <w:t xml:space="preserve">ul </w:t>
      </w:r>
      <w:r w:rsidRPr="009E5B39">
        <w:rPr>
          <w:rFonts w:asciiTheme="majorHAnsi" w:eastAsia="Times New Roman" w:hAnsiTheme="majorHAnsi" w:cstheme="majorHAnsi"/>
          <w:bCs/>
          <w:iCs/>
          <w:sz w:val="24"/>
          <w:szCs w:val="24"/>
          <w:lang w:val="ro-MD"/>
        </w:rPr>
        <w:t>următor.</w:t>
      </w:r>
    </w:p>
    <w:p w14:paraId="5CBE86BF" w14:textId="77777777" w:rsidR="00992FEF" w:rsidRPr="009E5B39" w:rsidRDefault="00992FEF" w:rsidP="00EF4BC3">
      <w:pPr>
        <w:spacing w:after="0" w:line="276" w:lineRule="auto"/>
        <w:ind w:firstLine="567"/>
        <w:jc w:val="right"/>
        <w:rPr>
          <w:rFonts w:asciiTheme="majorHAnsi" w:eastAsia="Times New Roman" w:hAnsiTheme="majorHAnsi" w:cstheme="majorHAnsi"/>
          <w:b/>
          <w:bCs/>
          <w:i/>
          <w:iCs/>
          <w:sz w:val="24"/>
          <w:szCs w:val="24"/>
          <w:lang w:val="ro-MD"/>
        </w:rPr>
      </w:pPr>
      <w:r w:rsidRPr="009E5B39">
        <w:rPr>
          <w:rFonts w:asciiTheme="majorHAnsi" w:eastAsia="Times New Roman" w:hAnsiTheme="majorHAnsi" w:cstheme="majorHAnsi"/>
          <w:b/>
          <w:bCs/>
          <w:i/>
          <w:iCs/>
          <w:sz w:val="24"/>
          <w:szCs w:val="24"/>
          <w:lang w:val="ro-MD"/>
        </w:rPr>
        <w:t>Tabelul nr.2</w:t>
      </w:r>
    </w:p>
    <w:p w14:paraId="1444455A" w14:textId="559FE642" w:rsidR="00992FEF" w:rsidRPr="009E5B39" w:rsidRDefault="00992FEF" w:rsidP="00EF4BC3">
      <w:pPr>
        <w:spacing w:after="0" w:line="276" w:lineRule="auto"/>
        <w:jc w:val="center"/>
        <w:rPr>
          <w:rFonts w:asciiTheme="majorHAnsi" w:eastAsia="Times New Roman" w:hAnsiTheme="majorHAnsi" w:cstheme="majorHAnsi"/>
          <w:b/>
          <w:bCs/>
          <w:iCs/>
          <w:sz w:val="24"/>
          <w:szCs w:val="24"/>
          <w:lang w:val="ro-MD"/>
        </w:rPr>
      </w:pPr>
      <w:r w:rsidRPr="009E5B39">
        <w:rPr>
          <w:rFonts w:asciiTheme="majorHAnsi" w:eastAsia="Times New Roman" w:hAnsiTheme="majorHAnsi" w:cstheme="majorHAnsi"/>
          <w:b/>
          <w:bCs/>
          <w:iCs/>
          <w:sz w:val="24"/>
          <w:szCs w:val="24"/>
          <w:lang w:val="ro-MD"/>
        </w:rPr>
        <w:t xml:space="preserve">Extras din Raportul financiar privind executarea bugetului în perioada </w:t>
      </w:r>
      <w:r w:rsidR="009F471F" w:rsidRPr="009E5B39">
        <w:rPr>
          <w:rFonts w:asciiTheme="majorHAnsi" w:eastAsia="Times New Roman" w:hAnsiTheme="majorHAnsi" w:cstheme="majorHAnsi"/>
          <w:b/>
          <w:bCs/>
          <w:iCs/>
          <w:sz w:val="24"/>
          <w:szCs w:val="24"/>
          <w:lang w:val="ro-MD"/>
        </w:rPr>
        <w:t xml:space="preserve">anilor </w:t>
      </w:r>
      <w:r w:rsidRPr="009E5B39">
        <w:rPr>
          <w:rFonts w:asciiTheme="majorHAnsi" w:eastAsia="Times New Roman" w:hAnsiTheme="majorHAnsi" w:cstheme="majorHAnsi"/>
          <w:b/>
          <w:bCs/>
          <w:iCs/>
          <w:sz w:val="24"/>
          <w:szCs w:val="24"/>
          <w:lang w:val="ro-MD"/>
        </w:rPr>
        <w:t>2018-2020</w:t>
      </w:r>
    </w:p>
    <w:p w14:paraId="1A2539C1" w14:textId="639CB8E5" w:rsidR="00992FEF" w:rsidRPr="009E5B39" w:rsidRDefault="00992FEF" w:rsidP="00EF4BC3">
      <w:pPr>
        <w:spacing w:after="0" w:line="240" w:lineRule="auto"/>
        <w:jc w:val="center"/>
        <w:rPr>
          <w:rFonts w:asciiTheme="majorHAnsi" w:eastAsia="Calibri" w:hAnsiTheme="majorHAnsi" w:cstheme="majorHAnsi"/>
          <w:i/>
          <w:sz w:val="20"/>
          <w:szCs w:val="20"/>
          <w:lang w:val="ro-MD"/>
        </w:rPr>
      </w:pPr>
      <w:r w:rsidRPr="009E5B39">
        <w:rPr>
          <w:rFonts w:asciiTheme="majorHAnsi" w:eastAsia="Calibri" w:hAnsiTheme="majorHAnsi" w:cstheme="majorHAnsi"/>
          <w:b/>
          <w:i/>
          <w:sz w:val="20"/>
          <w:szCs w:val="20"/>
          <w:lang w:val="ro-MD"/>
        </w:rPr>
        <w:t xml:space="preserve">                                                                                                                                                                         </w:t>
      </w:r>
      <w:r w:rsidR="00320313" w:rsidRPr="009E5B39">
        <w:rPr>
          <w:rFonts w:asciiTheme="majorHAnsi" w:eastAsia="Calibri" w:hAnsiTheme="majorHAnsi" w:cstheme="majorHAnsi"/>
          <w:b/>
          <w:i/>
          <w:sz w:val="20"/>
          <w:szCs w:val="20"/>
          <w:lang w:val="ro-MD"/>
        </w:rPr>
        <w:t xml:space="preserve">                    </w:t>
      </w:r>
      <w:r w:rsidRPr="009E5B39">
        <w:rPr>
          <w:rFonts w:asciiTheme="majorHAnsi" w:eastAsia="Calibri" w:hAnsiTheme="majorHAnsi" w:cstheme="majorHAnsi"/>
          <w:b/>
          <w:i/>
          <w:sz w:val="20"/>
          <w:szCs w:val="20"/>
          <w:lang w:val="ro-MD"/>
        </w:rPr>
        <w:t xml:space="preserve"> </w:t>
      </w:r>
      <w:r w:rsidRPr="009E5B39">
        <w:rPr>
          <w:rFonts w:asciiTheme="majorHAnsi" w:eastAsia="Calibri" w:hAnsiTheme="majorHAnsi" w:cstheme="majorHAnsi"/>
          <w:i/>
          <w:sz w:val="20"/>
          <w:szCs w:val="20"/>
          <w:lang w:val="ro-MD"/>
        </w:rPr>
        <w:t>(mii lei)</w:t>
      </w:r>
    </w:p>
    <w:tbl>
      <w:tblPr>
        <w:tblStyle w:val="TableGrid5"/>
        <w:tblW w:w="9355" w:type="dxa"/>
        <w:tblInd w:w="-5" w:type="dxa"/>
        <w:tblLook w:val="04A0" w:firstRow="1" w:lastRow="0" w:firstColumn="1" w:lastColumn="0" w:noHBand="0" w:noVBand="1"/>
      </w:tblPr>
      <w:tblGrid>
        <w:gridCol w:w="567"/>
        <w:gridCol w:w="4820"/>
        <w:gridCol w:w="1417"/>
        <w:gridCol w:w="1276"/>
        <w:gridCol w:w="1275"/>
      </w:tblGrid>
      <w:tr w:rsidR="00EF4BC3" w:rsidRPr="009E5B39" w14:paraId="513FD640" w14:textId="77777777" w:rsidTr="007F2C21">
        <w:trPr>
          <w:trHeight w:val="120"/>
        </w:trPr>
        <w:tc>
          <w:tcPr>
            <w:tcW w:w="567" w:type="dxa"/>
          </w:tcPr>
          <w:p w14:paraId="21257376" w14:textId="77777777" w:rsidR="00992FEF" w:rsidRPr="009E5B39" w:rsidRDefault="00992FEF" w:rsidP="00EF4BC3">
            <w:pPr>
              <w:jc w:val="both"/>
              <w:rPr>
                <w:rFonts w:asciiTheme="majorHAnsi" w:eastAsia="Calibri" w:hAnsiTheme="majorHAnsi" w:cstheme="majorHAnsi"/>
                <w:b/>
                <w:iCs/>
                <w:sz w:val="16"/>
                <w:szCs w:val="16"/>
                <w:lang w:val="ro-MD"/>
              </w:rPr>
            </w:pPr>
            <w:r w:rsidRPr="009E5B39">
              <w:rPr>
                <w:rFonts w:asciiTheme="majorHAnsi" w:eastAsia="Calibri" w:hAnsiTheme="majorHAnsi" w:cstheme="majorHAnsi"/>
                <w:b/>
                <w:iCs/>
                <w:sz w:val="16"/>
                <w:szCs w:val="16"/>
                <w:lang w:val="ro-MD"/>
              </w:rPr>
              <w:t xml:space="preserve">Cod </w:t>
            </w:r>
          </w:p>
        </w:tc>
        <w:tc>
          <w:tcPr>
            <w:tcW w:w="4820" w:type="dxa"/>
          </w:tcPr>
          <w:p w14:paraId="34CB413F" w14:textId="77777777" w:rsidR="00992FEF" w:rsidRPr="009E5B39" w:rsidRDefault="00992FEF" w:rsidP="00EF4BC3">
            <w:pPr>
              <w:jc w:val="center"/>
              <w:rPr>
                <w:rFonts w:asciiTheme="majorHAnsi" w:eastAsia="Calibri" w:hAnsiTheme="majorHAnsi" w:cstheme="majorHAnsi"/>
                <w:b/>
                <w:iCs/>
                <w:sz w:val="16"/>
                <w:szCs w:val="16"/>
                <w:lang w:val="ro-MD"/>
              </w:rPr>
            </w:pPr>
            <w:r w:rsidRPr="009E5B39">
              <w:rPr>
                <w:rFonts w:asciiTheme="majorHAnsi" w:eastAsia="Calibri" w:hAnsiTheme="majorHAnsi" w:cstheme="majorHAnsi"/>
                <w:b/>
                <w:iCs/>
                <w:sz w:val="16"/>
                <w:szCs w:val="16"/>
                <w:lang w:val="ro-MD"/>
              </w:rPr>
              <w:t>Indicatorul</w:t>
            </w:r>
          </w:p>
        </w:tc>
        <w:tc>
          <w:tcPr>
            <w:tcW w:w="1417" w:type="dxa"/>
          </w:tcPr>
          <w:p w14:paraId="7492DD62" w14:textId="77777777" w:rsidR="00992FEF" w:rsidRPr="009E5B39" w:rsidRDefault="00992FEF" w:rsidP="00EF4BC3">
            <w:pPr>
              <w:jc w:val="center"/>
              <w:rPr>
                <w:rFonts w:asciiTheme="majorHAnsi" w:eastAsia="Calibri" w:hAnsiTheme="majorHAnsi" w:cstheme="majorHAnsi"/>
                <w:b/>
                <w:iCs/>
                <w:sz w:val="16"/>
                <w:szCs w:val="16"/>
                <w:lang w:val="ro-MD"/>
              </w:rPr>
            </w:pPr>
            <w:r w:rsidRPr="009E5B39">
              <w:rPr>
                <w:rFonts w:asciiTheme="majorHAnsi" w:eastAsia="Calibri" w:hAnsiTheme="majorHAnsi" w:cstheme="majorHAnsi"/>
                <w:b/>
                <w:iCs/>
                <w:sz w:val="16"/>
                <w:szCs w:val="16"/>
                <w:lang w:val="ro-MD"/>
              </w:rPr>
              <w:t>Anul 2018</w:t>
            </w:r>
          </w:p>
        </w:tc>
        <w:tc>
          <w:tcPr>
            <w:tcW w:w="1276" w:type="dxa"/>
          </w:tcPr>
          <w:p w14:paraId="4143EE17" w14:textId="77777777" w:rsidR="00992FEF" w:rsidRPr="009E5B39" w:rsidRDefault="00992FEF" w:rsidP="00EF4BC3">
            <w:pPr>
              <w:jc w:val="center"/>
              <w:rPr>
                <w:rFonts w:asciiTheme="majorHAnsi" w:eastAsia="Calibri" w:hAnsiTheme="majorHAnsi" w:cstheme="majorHAnsi"/>
                <w:b/>
                <w:iCs/>
                <w:sz w:val="16"/>
                <w:szCs w:val="16"/>
                <w:lang w:val="ro-MD"/>
              </w:rPr>
            </w:pPr>
            <w:r w:rsidRPr="009E5B39">
              <w:rPr>
                <w:rFonts w:asciiTheme="majorHAnsi" w:eastAsia="Calibri" w:hAnsiTheme="majorHAnsi" w:cstheme="majorHAnsi"/>
                <w:b/>
                <w:iCs/>
                <w:sz w:val="16"/>
                <w:szCs w:val="16"/>
                <w:lang w:val="ro-MD"/>
              </w:rPr>
              <w:t>Anul 2019</w:t>
            </w:r>
          </w:p>
        </w:tc>
        <w:tc>
          <w:tcPr>
            <w:tcW w:w="1275" w:type="dxa"/>
          </w:tcPr>
          <w:p w14:paraId="6611BB00" w14:textId="77777777" w:rsidR="00992FEF" w:rsidRPr="009E5B39" w:rsidRDefault="00992FEF" w:rsidP="00EF4BC3">
            <w:pPr>
              <w:jc w:val="center"/>
              <w:rPr>
                <w:rFonts w:asciiTheme="majorHAnsi" w:eastAsia="Calibri" w:hAnsiTheme="majorHAnsi" w:cstheme="majorHAnsi"/>
                <w:b/>
                <w:iCs/>
                <w:sz w:val="16"/>
                <w:szCs w:val="16"/>
                <w:lang w:val="ro-MD"/>
              </w:rPr>
            </w:pPr>
            <w:r w:rsidRPr="009E5B39">
              <w:rPr>
                <w:rFonts w:asciiTheme="majorHAnsi" w:eastAsia="Calibri" w:hAnsiTheme="majorHAnsi" w:cstheme="majorHAnsi"/>
                <w:b/>
                <w:iCs/>
                <w:sz w:val="16"/>
                <w:szCs w:val="16"/>
                <w:lang w:val="ro-MD"/>
              </w:rPr>
              <w:t>Anul 2020</w:t>
            </w:r>
          </w:p>
        </w:tc>
      </w:tr>
      <w:tr w:rsidR="00EF4BC3" w:rsidRPr="009E5B39" w14:paraId="2971B0F7" w14:textId="77777777" w:rsidTr="007F2C21">
        <w:tc>
          <w:tcPr>
            <w:tcW w:w="567" w:type="dxa"/>
          </w:tcPr>
          <w:p w14:paraId="190B3AA1" w14:textId="77777777" w:rsidR="00992FEF" w:rsidRPr="009E5B39" w:rsidRDefault="00992FEF" w:rsidP="00EF4BC3">
            <w:pPr>
              <w:jc w:val="both"/>
              <w:rPr>
                <w:rFonts w:asciiTheme="majorHAnsi" w:eastAsia="Calibri" w:hAnsiTheme="majorHAnsi" w:cstheme="majorHAnsi"/>
                <w:b/>
                <w:iCs/>
                <w:sz w:val="16"/>
                <w:szCs w:val="16"/>
                <w:lang w:val="ro-MD"/>
              </w:rPr>
            </w:pPr>
          </w:p>
        </w:tc>
        <w:tc>
          <w:tcPr>
            <w:tcW w:w="4820" w:type="dxa"/>
          </w:tcPr>
          <w:p w14:paraId="5ED5031C" w14:textId="77777777" w:rsidR="00992FEF" w:rsidRPr="009E5B39" w:rsidRDefault="00992FEF" w:rsidP="00EF4BC3">
            <w:pPr>
              <w:jc w:val="both"/>
              <w:rPr>
                <w:rFonts w:asciiTheme="majorHAnsi" w:eastAsia="Calibri" w:hAnsiTheme="majorHAnsi" w:cstheme="majorHAnsi"/>
                <w:b/>
                <w:iCs/>
                <w:sz w:val="16"/>
                <w:szCs w:val="16"/>
                <w:lang w:val="ro-MD"/>
              </w:rPr>
            </w:pPr>
            <w:r w:rsidRPr="009E5B39">
              <w:rPr>
                <w:rFonts w:asciiTheme="majorHAnsi" w:eastAsia="Calibri" w:hAnsiTheme="majorHAnsi" w:cstheme="majorHAnsi"/>
                <w:b/>
                <w:iCs/>
                <w:sz w:val="16"/>
                <w:szCs w:val="16"/>
                <w:lang w:val="ro-MD"/>
              </w:rPr>
              <w:t xml:space="preserve">Venituri </w:t>
            </w:r>
          </w:p>
        </w:tc>
        <w:tc>
          <w:tcPr>
            <w:tcW w:w="1417" w:type="dxa"/>
          </w:tcPr>
          <w:p w14:paraId="2CE53419" w14:textId="77777777" w:rsidR="00992FEF" w:rsidRPr="009E5B39" w:rsidRDefault="00992FEF" w:rsidP="00EF4BC3">
            <w:pPr>
              <w:jc w:val="right"/>
              <w:rPr>
                <w:rFonts w:asciiTheme="majorHAnsi" w:eastAsia="Calibri" w:hAnsiTheme="majorHAnsi" w:cstheme="majorHAnsi"/>
                <w:b/>
                <w:iCs/>
                <w:sz w:val="16"/>
                <w:szCs w:val="16"/>
                <w:lang w:val="ro-MD"/>
              </w:rPr>
            </w:pPr>
            <w:r w:rsidRPr="009E5B39">
              <w:rPr>
                <w:rFonts w:asciiTheme="majorHAnsi" w:eastAsia="Calibri" w:hAnsiTheme="majorHAnsi" w:cstheme="majorHAnsi"/>
                <w:b/>
                <w:iCs/>
                <w:sz w:val="16"/>
                <w:szCs w:val="16"/>
                <w:lang w:val="ro-MD"/>
              </w:rPr>
              <w:t>3 881 270,4</w:t>
            </w:r>
          </w:p>
        </w:tc>
        <w:tc>
          <w:tcPr>
            <w:tcW w:w="1276" w:type="dxa"/>
          </w:tcPr>
          <w:p w14:paraId="700C5E46" w14:textId="77777777" w:rsidR="00992FEF" w:rsidRPr="009E5B39" w:rsidRDefault="00992FEF" w:rsidP="00EF4BC3">
            <w:pPr>
              <w:jc w:val="right"/>
              <w:rPr>
                <w:rFonts w:asciiTheme="majorHAnsi" w:eastAsia="Calibri" w:hAnsiTheme="majorHAnsi" w:cstheme="majorHAnsi"/>
                <w:b/>
                <w:iCs/>
                <w:sz w:val="16"/>
                <w:szCs w:val="16"/>
                <w:lang w:val="ro-MD"/>
              </w:rPr>
            </w:pPr>
            <w:r w:rsidRPr="009E5B39">
              <w:rPr>
                <w:rFonts w:asciiTheme="majorHAnsi" w:eastAsia="Calibri" w:hAnsiTheme="majorHAnsi" w:cstheme="majorHAnsi"/>
                <w:b/>
                <w:iCs/>
                <w:sz w:val="16"/>
                <w:szCs w:val="16"/>
                <w:lang w:val="ro-MD"/>
              </w:rPr>
              <w:t>14 779 959,3</w:t>
            </w:r>
          </w:p>
        </w:tc>
        <w:tc>
          <w:tcPr>
            <w:tcW w:w="1275" w:type="dxa"/>
          </w:tcPr>
          <w:p w14:paraId="2589904D" w14:textId="77777777" w:rsidR="00992FEF" w:rsidRPr="009E5B39" w:rsidRDefault="00992FEF" w:rsidP="00EF4BC3">
            <w:pPr>
              <w:jc w:val="right"/>
              <w:rPr>
                <w:rFonts w:asciiTheme="majorHAnsi" w:eastAsia="Calibri" w:hAnsiTheme="majorHAnsi" w:cstheme="majorHAnsi"/>
                <w:b/>
                <w:iCs/>
                <w:sz w:val="16"/>
                <w:szCs w:val="16"/>
                <w:lang w:val="ro-MD"/>
              </w:rPr>
            </w:pPr>
            <w:r w:rsidRPr="009E5B39">
              <w:rPr>
                <w:rFonts w:asciiTheme="majorHAnsi" w:eastAsia="Calibri" w:hAnsiTheme="majorHAnsi" w:cstheme="majorHAnsi"/>
                <w:b/>
                <w:iCs/>
                <w:sz w:val="16"/>
                <w:szCs w:val="16"/>
                <w:lang w:val="ro-MD"/>
              </w:rPr>
              <w:t>4 657 418,1</w:t>
            </w:r>
          </w:p>
        </w:tc>
      </w:tr>
      <w:tr w:rsidR="00EF4BC3" w:rsidRPr="009E5B39" w14:paraId="0004F190" w14:textId="77777777" w:rsidTr="007F2C21">
        <w:tc>
          <w:tcPr>
            <w:tcW w:w="567" w:type="dxa"/>
          </w:tcPr>
          <w:p w14:paraId="099EC927"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110</w:t>
            </w:r>
          </w:p>
        </w:tc>
        <w:tc>
          <w:tcPr>
            <w:tcW w:w="4820" w:type="dxa"/>
          </w:tcPr>
          <w:p w14:paraId="2B979358"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Impozite și taxe</w:t>
            </w:r>
          </w:p>
        </w:tc>
        <w:tc>
          <w:tcPr>
            <w:tcW w:w="1417" w:type="dxa"/>
          </w:tcPr>
          <w:p w14:paraId="70FC56F4"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1 665 626,2</w:t>
            </w:r>
          </w:p>
        </w:tc>
        <w:tc>
          <w:tcPr>
            <w:tcW w:w="1276" w:type="dxa"/>
          </w:tcPr>
          <w:p w14:paraId="1BA0D37E"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1 648 240,1</w:t>
            </w:r>
          </w:p>
        </w:tc>
        <w:tc>
          <w:tcPr>
            <w:tcW w:w="1275" w:type="dxa"/>
          </w:tcPr>
          <w:p w14:paraId="03DE3E34"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1 678 779,5</w:t>
            </w:r>
          </w:p>
        </w:tc>
      </w:tr>
      <w:tr w:rsidR="00EF4BC3" w:rsidRPr="009E5B39" w14:paraId="2180642C" w14:textId="77777777" w:rsidTr="007F2C21">
        <w:tc>
          <w:tcPr>
            <w:tcW w:w="567" w:type="dxa"/>
          </w:tcPr>
          <w:p w14:paraId="58B3DC48"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130</w:t>
            </w:r>
          </w:p>
        </w:tc>
        <w:tc>
          <w:tcPr>
            <w:tcW w:w="4820" w:type="dxa"/>
          </w:tcPr>
          <w:p w14:paraId="07168E21"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Granturi primite</w:t>
            </w:r>
          </w:p>
        </w:tc>
        <w:tc>
          <w:tcPr>
            <w:tcW w:w="1417" w:type="dxa"/>
          </w:tcPr>
          <w:p w14:paraId="07572C68"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229,8</w:t>
            </w:r>
          </w:p>
        </w:tc>
        <w:tc>
          <w:tcPr>
            <w:tcW w:w="1276" w:type="dxa"/>
          </w:tcPr>
          <w:p w14:paraId="364F4FE6"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99,3</w:t>
            </w:r>
          </w:p>
        </w:tc>
        <w:tc>
          <w:tcPr>
            <w:tcW w:w="1275" w:type="dxa"/>
          </w:tcPr>
          <w:p w14:paraId="1BB8F449"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0</w:t>
            </w:r>
          </w:p>
        </w:tc>
      </w:tr>
      <w:tr w:rsidR="00EF4BC3" w:rsidRPr="009E5B39" w14:paraId="1140F286" w14:textId="77777777" w:rsidTr="007F2C21">
        <w:tc>
          <w:tcPr>
            <w:tcW w:w="567" w:type="dxa"/>
          </w:tcPr>
          <w:p w14:paraId="558FA2AE"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140</w:t>
            </w:r>
          </w:p>
        </w:tc>
        <w:tc>
          <w:tcPr>
            <w:tcW w:w="4820" w:type="dxa"/>
          </w:tcPr>
          <w:p w14:paraId="0260DDFB"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Alte venituri</w:t>
            </w:r>
          </w:p>
        </w:tc>
        <w:tc>
          <w:tcPr>
            <w:tcW w:w="1417" w:type="dxa"/>
          </w:tcPr>
          <w:p w14:paraId="5930A7D2"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271 556,3</w:t>
            </w:r>
          </w:p>
        </w:tc>
        <w:tc>
          <w:tcPr>
            <w:tcW w:w="1276" w:type="dxa"/>
          </w:tcPr>
          <w:p w14:paraId="3AA301A0"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10 744 893,1</w:t>
            </w:r>
          </w:p>
        </w:tc>
        <w:tc>
          <w:tcPr>
            <w:tcW w:w="1275" w:type="dxa"/>
          </w:tcPr>
          <w:p w14:paraId="1A823BE8"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502 214,0</w:t>
            </w:r>
          </w:p>
        </w:tc>
      </w:tr>
      <w:tr w:rsidR="00EF4BC3" w:rsidRPr="009E5B39" w14:paraId="0D2B0972" w14:textId="77777777" w:rsidTr="007F2C21">
        <w:tc>
          <w:tcPr>
            <w:tcW w:w="567" w:type="dxa"/>
          </w:tcPr>
          <w:p w14:paraId="03A4BDD9"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190</w:t>
            </w:r>
          </w:p>
        </w:tc>
        <w:tc>
          <w:tcPr>
            <w:tcW w:w="4820" w:type="dxa"/>
          </w:tcPr>
          <w:p w14:paraId="6213E607"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Transferuri primite în cadrul bugetului public</w:t>
            </w:r>
          </w:p>
        </w:tc>
        <w:tc>
          <w:tcPr>
            <w:tcW w:w="1417" w:type="dxa"/>
          </w:tcPr>
          <w:p w14:paraId="306C7D3A"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1 943 858,1</w:t>
            </w:r>
          </w:p>
        </w:tc>
        <w:tc>
          <w:tcPr>
            <w:tcW w:w="1276" w:type="dxa"/>
          </w:tcPr>
          <w:p w14:paraId="4D0CD603"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2 386 726,8</w:t>
            </w:r>
          </w:p>
        </w:tc>
        <w:tc>
          <w:tcPr>
            <w:tcW w:w="1275" w:type="dxa"/>
          </w:tcPr>
          <w:p w14:paraId="007B16EC"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2 476 424,6</w:t>
            </w:r>
          </w:p>
        </w:tc>
      </w:tr>
      <w:tr w:rsidR="00EF4BC3" w:rsidRPr="009E5B39" w14:paraId="12FE93AB" w14:textId="77777777" w:rsidTr="007F2C21">
        <w:tc>
          <w:tcPr>
            <w:tcW w:w="567" w:type="dxa"/>
          </w:tcPr>
          <w:p w14:paraId="47160640" w14:textId="77777777" w:rsidR="00992FEF" w:rsidRPr="009E5B39" w:rsidRDefault="00992FEF" w:rsidP="00EF4BC3">
            <w:pPr>
              <w:jc w:val="both"/>
              <w:rPr>
                <w:rFonts w:asciiTheme="majorHAnsi" w:eastAsia="Calibri" w:hAnsiTheme="majorHAnsi" w:cstheme="majorHAnsi"/>
                <w:iCs/>
                <w:sz w:val="16"/>
                <w:szCs w:val="16"/>
                <w:lang w:val="ro-MD"/>
              </w:rPr>
            </w:pPr>
          </w:p>
        </w:tc>
        <w:tc>
          <w:tcPr>
            <w:tcW w:w="4820" w:type="dxa"/>
          </w:tcPr>
          <w:p w14:paraId="32FA8E32" w14:textId="77777777" w:rsidR="00992FEF" w:rsidRPr="009E5B39" w:rsidRDefault="00992FEF" w:rsidP="00EF4BC3">
            <w:pPr>
              <w:jc w:val="both"/>
              <w:rPr>
                <w:rFonts w:asciiTheme="majorHAnsi" w:eastAsia="Calibri" w:hAnsiTheme="majorHAnsi" w:cstheme="majorHAnsi"/>
                <w:b/>
                <w:iCs/>
                <w:sz w:val="16"/>
                <w:szCs w:val="16"/>
                <w:lang w:val="ro-MD"/>
              </w:rPr>
            </w:pPr>
            <w:r w:rsidRPr="009E5B39">
              <w:rPr>
                <w:rFonts w:asciiTheme="majorHAnsi" w:eastAsia="Calibri" w:hAnsiTheme="majorHAnsi" w:cstheme="majorHAnsi"/>
                <w:b/>
                <w:iCs/>
                <w:sz w:val="16"/>
                <w:szCs w:val="16"/>
                <w:lang w:val="ro-MD"/>
              </w:rPr>
              <w:t xml:space="preserve">Cheltuieli </w:t>
            </w:r>
          </w:p>
        </w:tc>
        <w:tc>
          <w:tcPr>
            <w:tcW w:w="1417" w:type="dxa"/>
          </w:tcPr>
          <w:p w14:paraId="512DD427" w14:textId="77777777" w:rsidR="00992FEF" w:rsidRPr="009E5B39" w:rsidRDefault="00992FEF" w:rsidP="00EF4BC3">
            <w:pPr>
              <w:jc w:val="right"/>
              <w:rPr>
                <w:rFonts w:asciiTheme="majorHAnsi" w:eastAsia="Calibri" w:hAnsiTheme="majorHAnsi" w:cstheme="majorHAnsi"/>
                <w:b/>
                <w:iCs/>
                <w:sz w:val="16"/>
                <w:szCs w:val="16"/>
                <w:lang w:val="ro-MD"/>
              </w:rPr>
            </w:pPr>
            <w:r w:rsidRPr="009E5B39">
              <w:rPr>
                <w:rFonts w:asciiTheme="majorHAnsi" w:eastAsia="Calibri" w:hAnsiTheme="majorHAnsi" w:cstheme="majorHAnsi"/>
                <w:b/>
                <w:iCs/>
                <w:sz w:val="16"/>
                <w:szCs w:val="16"/>
                <w:lang w:val="ro-MD"/>
              </w:rPr>
              <w:t>3 689 503,1</w:t>
            </w:r>
          </w:p>
        </w:tc>
        <w:tc>
          <w:tcPr>
            <w:tcW w:w="1276" w:type="dxa"/>
          </w:tcPr>
          <w:p w14:paraId="6630BAA7" w14:textId="77777777" w:rsidR="00992FEF" w:rsidRPr="009E5B39" w:rsidRDefault="00992FEF" w:rsidP="00EF4BC3">
            <w:pPr>
              <w:jc w:val="right"/>
              <w:rPr>
                <w:rFonts w:asciiTheme="majorHAnsi" w:eastAsia="Calibri" w:hAnsiTheme="majorHAnsi" w:cstheme="majorHAnsi"/>
                <w:b/>
                <w:iCs/>
                <w:sz w:val="16"/>
                <w:szCs w:val="16"/>
                <w:lang w:val="ro-MD"/>
              </w:rPr>
            </w:pPr>
            <w:r w:rsidRPr="009E5B39">
              <w:rPr>
                <w:rFonts w:asciiTheme="majorHAnsi" w:eastAsia="Calibri" w:hAnsiTheme="majorHAnsi" w:cstheme="majorHAnsi"/>
                <w:b/>
                <w:iCs/>
                <w:sz w:val="16"/>
                <w:szCs w:val="16"/>
                <w:lang w:val="ro-MD"/>
              </w:rPr>
              <w:t>4 227 720,6</w:t>
            </w:r>
          </w:p>
        </w:tc>
        <w:tc>
          <w:tcPr>
            <w:tcW w:w="1275" w:type="dxa"/>
          </w:tcPr>
          <w:p w14:paraId="76757461" w14:textId="77777777" w:rsidR="00992FEF" w:rsidRPr="009E5B39" w:rsidRDefault="00992FEF" w:rsidP="00EF4BC3">
            <w:pPr>
              <w:jc w:val="right"/>
              <w:rPr>
                <w:rFonts w:asciiTheme="majorHAnsi" w:eastAsia="Calibri" w:hAnsiTheme="majorHAnsi" w:cstheme="majorHAnsi"/>
                <w:b/>
                <w:iCs/>
                <w:sz w:val="16"/>
                <w:szCs w:val="16"/>
                <w:lang w:val="ro-MD"/>
              </w:rPr>
            </w:pPr>
            <w:r w:rsidRPr="009E5B39">
              <w:rPr>
                <w:rFonts w:asciiTheme="majorHAnsi" w:eastAsia="Calibri" w:hAnsiTheme="majorHAnsi" w:cstheme="majorHAnsi"/>
                <w:b/>
                <w:iCs/>
                <w:sz w:val="16"/>
                <w:szCs w:val="16"/>
                <w:lang w:val="ro-MD"/>
              </w:rPr>
              <w:t>4 337 632,1</w:t>
            </w:r>
          </w:p>
        </w:tc>
      </w:tr>
      <w:tr w:rsidR="00EF4BC3" w:rsidRPr="009E5B39" w14:paraId="7FD6D60D" w14:textId="77777777" w:rsidTr="007F2C21">
        <w:tc>
          <w:tcPr>
            <w:tcW w:w="567" w:type="dxa"/>
          </w:tcPr>
          <w:p w14:paraId="4B73C649"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210</w:t>
            </w:r>
          </w:p>
        </w:tc>
        <w:tc>
          <w:tcPr>
            <w:tcW w:w="4820" w:type="dxa"/>
          </w:tcPr>
          <w:p w14:paraId="338ABD15"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Cheltuieli de personal</w:t>
            </w:r>
          </w:p>
        </w:tc>
        <w:tc>
          <w:tcPr>
            <w:tcW w:w="1417" w:type="dxa"/>
          </w:tcPr>
          <w:p w14:paraId="6C848AF2"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1 475 120,2</w:t>
            </w:r>
          </w:p>
        </w:tc>
        <w:tc>
          <w:tcPr>
            <w:tcW w:w="1276" w:type="dxa"/>
          </w:tcPr>
          <w:p w14:paraId="33D34839"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1 810 493,5</w:t>
            </w:r>
          </w:p>
        </w:tc>
        <w:tc>
          <w:tcPr>
            <w:tcW w:w="1275" w:type="dxa"/>
          </w:tcPr>
          <w:p w14:paraId="4B86722C"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2 027 477,5</w:t>
            </w:r>
          </w:p>
        </w:tc>
      </w:tr>
      <w:tr w:rsidR="00EF4BC3" w:rsidRPr="009E5B39" w14:paraId="17B84B88" w14:textId="77777777" w:rsidTr="007F2C21">
        <w:tc>
          <w:tcPr>
            <w:tcW w:w="567" w:type="dxa"/>
          </w:tcPr>
          <w:p w14:paraId="6FDEA948"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 xml:space="preserve">220 </w:t>
            </w:r>
          </w:p>
        </w:tc>
        <w:tc>
          <w:tcPr>
            <w:tcW w:w="4820" w:type="dxa"/>
          </w:tcPr>
          <w:p w14:paraId="4C111309"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Bunuri și servicii</w:t>
            </w:r>
          </w:p>
        </w:tc>
        <w:tc>
          <w:tcPr>
            <w:tcW w:w="1417" w:type="dxa"/>
          </w:tcPr>
          <w:p w14:paraId="46141F0E"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1 224 863,5</w:t>
            </w:r>
          </w:p>
        </w:tc>
        <w:tc>
          <w:tcPr>
            <w:tcW w:w="1276" w:type="dxa"/>
          </w:tcPr>
          <w:p w14:paraId="0CF82D50"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1 395 123,9</w:t>
            </w:r>
          </w:p>
        </w:tc>
        <w:tc>
          <w:tcPr>
            <w:tcW w:w="1275" w:type="dxa"/>
          </w:tcPr>
          <w:p w14:paraId="27EF05A5"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1 309 428,1</w:t>
            </w:r>
          </w:p>
        </w:tc>
      </w:tr>
      <w:tr w:rsidR="00EF4BC3" w:rsidRPr="009E5B39" w14:paraId="04542B78" w14:textId="77777777" w:rsidTr="007F2C21">
        <w:tc>
          <w:tcPr>
            <w:tcW w:w="567" w:type="dxa"/>
          </w:tcPr>
          <w:p w14:paraId="143669EA"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230</w:t>
            </w:r>
          </w:p>
        </w:tc>
        <w:tc>
          <w:tcPr>
            <w:tcW w:w="4820" w:type="dxa"/>
          </w:tcPr>
          <w:p w14:paraId="0689F0C1"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Cheltuieli privind deprecierea activelor</w:t>
            </w:r>
          </w:p>
        </w:tc>
        <w:tc>
          <w:tcPr>
            <w:tcW w:w="1417" w:type="dxa"/>
          </w:tcPr>
          <w:p w14:paraId="74E5DF2C"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191 454,7</w:t>
            </w:r>
          </w:p>
        </w:tc>
        <w:tc>
          <w:tcPr>
            <w:tcW w:w="1276" w:type="dxa"/>
          </w:tcPr>
          <w:p w14:paraId="31AF8AA1"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231 870,1</w:t>
            </w:r>
          </w:p>
        </w:tc>
        <w:tc>
          <w:tcPr>
            <w:tcW w:w="1275" w:type="dxa"/>
          </w:tcPr>
          <w:p w14:paraId="36660ED7"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234 339,6</w:t>
            </w:r>
          </w:p>
        </w:tc>
      </w:tr>
      <w:tr w:rsidR="00EF4BC3" w:rsidRPr="009E5B39" w14:paraId="2A08D624" w14:textId="77777777" w:rsidTr="007F2C21">
        <w:tc>
          <w:tcPr>
            <w:tcW w:w="567" w:type="dxa"/>
          </w:tcPr>
          <w:p w14:paraId="2C145A82"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 xml:space="preserve">240 </w:t>
            </w:r>
          </w:p>
        </w:tc>
        <w:tc>
          <w:tcPr>
            <w:tcW w:w="4820" w:type="dxa"/>
          </w:tcPr>
          <w:p w14:paraId="23E104BF"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 xml:space="preserve">Dobânzi </w:t>
            </w:r>
          </w:p>
        </w:tc>
        <w:tc>
          <w:tcPr>
            <w:tcW w:w="1417" w:type="dxa"/>
          </w:tcPr>
          <w:p w14:paraId="0A7FCCDC"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19 732,6</w:t>
            </w:r>
          </w:p>
        </w:tc>
        <w:tc>
          <w:tcPr>
            <w:tcW w:w="1276" w:type="dxa"/>
          </w:tcPr>
          <w:p w14:paraId="63E2D39C"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19 017,2</w:t>
            </w:r>
          </w:p>
        </w:tc>
        <w:tc>
          <w:tcPr>
            <w:tcW w:w="1275" w:type="dxa"/>
          </w:tcPr>
          <w:p w14:paraId="0FDCF0A6"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19 304,4</w:t>
            </w:r>
          </w:p>
        </w:tc>
      </w:tr>
      <w:tr w:rsidR="00EF4BC3" w:rsidRPr="009E5B39" w14:paraId="47848CB2" w14:textId="77777777" w:rsidTr="007F2C21">
        <w:tc>
          <w:tcPr>
            <w:tcW w:w="567" w:type="dxa"/>
          </w:tcPr>
          <w:p w14:paraId="300BE1A5"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250</w:t>
            </w:r>
          </w:p>
        </w:tc>
        <w:tc>
          <w:tcPr>
            <w:tcW w:w="4820" w:type="dxa"/>
          </w:tcPr>
          <w:p w14:paraId="52DC441E"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 xml:space="preserve">Subsidii </w:t>
            </w:r>
          </w:p>
        </w:tc>
        <w:tc>
          <w:tcPr>
            <w:tcW w:w="1417" w:type="dxa"/>
          </w:tcPr>
          <w:p w14:paraId="672E102F"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272 205,4</w:t>
            </w:r>
          </w:p>
        </w:tc>
        <w:tc>
          <w:tcPr>
            <w:tcW w:w="1276" w:type="dxa"/>
          </w:tcPr>
          <w:p w14:paraId="6D2FBA61"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249 257,7</w:t>
            </w:r>
          </w:p>
        </w:tc>
        <w:tc>
          <w:tcPr>
            <w:tcW w:w="1275" w:type="dxa"/>
          </w:tcPr>
          <w:p w14:paraId="5B0E1D3D"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219 443,1</w:t>
            </w:r>
          </w:p>
        </w:tc>
      </w:tr>
      <w:tr w:rsidR="00EF4BC3" w:rsidRPr="009E5B39" w14:paraId="029D42FD" w14:textId="77777777" w:rsidTr="007F2C21">
        <w:tc>
          <w:tcPr>
            <w:tcW w:w="567" w:type="dxa"/>
          </w:tcPr>
          <w:p w14:paraId="431652D8"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270</w:t>
            </w:r>
          </w:p>
        </w:tc>
        <w:tc>
          <w:tcPr>
            <w:tcW w:w="4820" w:type="dxa"/>
          </w:tcPr>
          <w:p w14:paraId="4A74FB90"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Prestații sociale</w:t>
            </w:r>
          </w:p>
        </w:tc>
        <w:tc>
          <w:tcPr>
            <w:tcW w:w="1417" w:type="dxa"/>
          </w:tcPr>
          <w:p w14:paraId="04E3AE04"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227 716,5</w:t>
            </w:r>
          </w:p>
        </w:tc>
        <w:tc>
          <w:tcPr>
            <w:tcW w:w="1276" w:type="dxa"/>
          </w:tcPr>
          <w:p w14:paraId="2D9775BE"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228 653,9</w:t>
            </w:r>
          </w:p>
        </w:tc>
        <w:tc>
          <w:tcPr>
            <w:tcW w:w="1275" w:type="dxa"/>
          </w:tcPr>
          <w:p w14:paraId="268CCCE5"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227 524,3</w:t>
            </w:r>
          </w:p>
        </w:tc>
      </w:tr>
      <w:tr w:rsidR="00EF4BC3" w:rsidRPr="009E5B39" w14:paraId="7C311DEF" w14:textId="77777777" w:rsidTr="007F2C21">
        <w:tc>
          <w:tcPr>
            <w:tcW w:w="567" w:type="dxa"/>
          </w:tcPr>
          <w:p w14:paraId="661F968F"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280</w:t>
            </w:r>
          </w:p>
        </w:tc>
        <w:tc>
          <w:tcPr>
            <w:tcW w:w="4820" w:type="dxa"/>
          </w:tcPr>
          <w:p w14:paraId="64DFE40F"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Alte cheltuieli</w:t>
            </w:r>
          </w:p>
        </w:tc>
        <w:tc>
          <w:tcPr>
            <w:tcW w:w="1417" w:type="dxa"/>
          </w:tcPr>
          <w:p w14:paraId="7C3D0ACE"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158 780,6</w:t>
            </w:r>
          </w:p>
        </w:tc>
        <w:tc>
          <w:tcPr>
            <w:tcW w:w="1276" w:type="dxa"/>
          </w:tcPr>
          <w:p w14:paraId="4CD48E9A"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193 199,1</w:t>
            </w:r>
          </w:p>
        </w:tc>
        <w:tc>
          <w:tcPr>
            <w:tcW w:w="1275" w:type="dxa"/>
          </w:tcPr>
          <w:p w14:paraId="116F76E6"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192 728,7</w:t>
            </w:r>
          </w:p>
        </w:tc>
      </w:tr>
      <w:tr w:rsidR="00EF4BC3" w:rsidRPr="009E5B39" w14:paraId="5F5C8C5C" w14:textId="77777777" w:rsidTr="007F2C21">
        <w:tc>
          <w:tcPr>
            <w:tcW w:w="567" w:type="dxa"/>
          </w:tcPr>
          <w:p w14:paraId="03564580"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290</w:t>
            </w:r>
          </w:p>
        </w:tc>
        <w:tc>
          <w:tcPr>
            <w:tcW w:w="4820" w:type="dxa"/>
          </w:tcPr>
          <w:p w14:paraId="1FB4F3BA" w14:textId="77777777" w:rsidR="00992FEF" w:rsidRPr="009E5B39" w:rsidRDefault="00992FEF" w:rsidP="00EF4BC3">
            <w:pPr>
              <w:jc w:val="both"/>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Transferuri acordate în cadrul bugetului public național</w:t>
            </w:r>
          </w:p>
        </w:tc>
        <w:tc>
          <w:tcPr>
            <w:tcW w:w="1417" w:type="dxa"/>
          </w:tcPr>
          <w:p w14:paraId="7BF6F132"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119 629,7</w:t>
            </w:r>
          </w:p>
        </w:tc>
        <w:tc>
          <w:tcPr>
            <w:tcW w:w="1276" w:type="dxa"/>
          </w:tcPr>
          <w:p w14:paraId="4B900812"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100 105,3</w:t>
            </w:r>
          </w:p>
        </w:tc>
        <w:tc>
          <w:tcPr>
            <w:tcW w:w="1275" w:type="dxa"/>
          </w:tcPr>
          <w:p w14:paraId="6F926C95" w14:textId="77777777" w:rsidR="00992FEF" w:rsidRPr="009E5B39" w:rsidRDefault="00992FEF" w:rsidP="00EF4BC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107 386,3</w:t>
            </w:r>
          </w:p>
        </w:tc>
      </w:tr>
      <w:tr w:rsidR="00EF4BC3" w:rsidRPr="009E5B39" w14:paraId="05648E95" w14:textId="77777777" w:rsidTr="007F2C21">
        <w:tc>
          <w:tcPr>
            <w:tcW w:w="567" w:type="dxa"/>
          </w:tcPr>
          <w:p w14:paraId="7C81858D" w14:textId="77777777" w:rsidR="00992FEF" w:rsidRPr="009E5B39" w:rsidRDefault="00992FEF" w:rsidP="00EF4BC3">
            <w:pPr>
              <w:jc w:val="both"/>
              <w:rPr>
                <w:rFonts w:asciiTheme="majorHAnsi" w:eastAsia="Calibri" w:hAnsiTheme="majorHAnsi" w:cstheme="majorHAnsi"/>
                <w:iCs/>
                <w:sz w:val="16"/>
                <w:szCs w:val="16"/>
                <w:lang w:val="ro-MD"/>
              </w:rPr>
            </w:pPr>
          </w:p>
        </w:tc>
        <w:tc>
          <w:tcPr>
            <w:tcW w:w="4820" w:type="dxa"/>
          </w:tcPr>
          <w:p w14:paraId="0FED7427" w14:textId="77777777" w:rsidR="00992FEF" w:rsidRPr="009E5B39" w:rsidRDefault="00992FEF" w:rsidP="00EF4BC3">
            <w:pPr>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Rezultatul din anul curent</w:t>
            </w:r>
          </w:p>
        </w:tc>
        <w:tc>
          <w:tcPr>
            <w:tcW w:w="1417" w:type="dxa"/>
          </w:tcPr>
          <w:p w14:paraId="238DAE72" w14:textId="77777777" w:rsidR="00992FEF" w:rsidRPr="009E5B39" w:rsidRDefault="00992FEF" w:rsidP="003C507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191 767,1</w:t>
            </w:r>
          </w:p>
        </w:tc>
        <w:tc>
          <w:tcPr>
            <w:tcW w:w="1276" w:type="dxa"/>
          </w:tcPr>
          <w:p w14:paraId="0D6A20B0" w14:textId="77777777" w:rsidR="00992FEF" w:rsidRPr="009E5B39" w:rsidRDefault="00992FEF" w:rsidP="003C507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10 552 238,7</w:t>
            </w:r>
          </w:p>
        </w:tc>
        <w:tc>
          <w:tcPr>
            <w:tcW w:w="1275" w:type="dxa"/>
          </w:tcPr>
          <w:p w14:paraId="3B74A82D" w14:textId="77777777" w:rsidR="00992FEF" w:rsidRPr="009E5B39" w:rsidRDefault="00992FEF" w:rsidP="003C5073">
            <w:pPr>
              <w:jc w:val="right"/>
              <w:rPr>
                <w:rFonts w:asciiTheme="majorHAnsi" w:eastAsia="Calibri" w:hAnsiTheme="majorHAnsi" w:cstheme="majorHAnsi"/>
                <w:iCs/>
                <w:sz w:val="16"/>
                <w:szCs w:val="16"/>
                <w:lang w:val="ro-MD"/>
              </w:rPr>
            </w:pPr>
            <w:r w:rsidRPr="009E5B39">
              <w:rPr>
                <w:rFonts w:asciiTheme="majorHAnsi" w:eastAsia="Calibri" w:hAnsiTheme="majorHAnsi" w:cstheme="majorHAnsi"/>
                <w:iCs/>
                <w:sz w:val="16"/>
                <w:szCs w:val="16"/>
                <w:lang w:val="ro-MD"/>
              </w:rPr>
              <w:t>319 786,1</w:t>
            </w:r>
          </w:p>
        </w:tc>
      </w:tr>
    </w:tbl>
    <w:p w14:paraId="7DBEA17F" w14:textId="5636A87E" w:rsidR="00992FEF" w:rsidRPr="009E5B39" w:rsidRDefault="00992FEF" w:rsidP="00EF4BC3">
      <w:pPr>
        <w:spacing w:after="0"/>
        <w:jc w:val="both"/>
        <w:rPr>
          <w:rFonts w:asciiTheme="majorHAnsi" w:eastAsia="Calibri" w:hAnsiTheme="majorHAnsi" w:cstheme="majorHAnsi"/>
          <w:i/>
          <w:sz w:val="16"/>
          <w:szCs w:val="16"/>
          <w:lang w:val="ro-MD"/>
        </w:rPr>
      </w:pPr>
      <w:r w:rsidRPr="009E5B39">
        <w:rPr>
          <w:rFonts w:asciiTheme="majorHAnsi" w:eastAsia="Calibri" w:hAnsiTheme="majorHAnsi" w:cstheme="majorHAnsi"/>
          <w:b/>
          <w:i/>
          <w:sz w:val="16"/>
          <w:szCs w:val="16"/>
          <w:lang w:val="ro-MD"/>
        </w:rPr>
        <w:t>Surs</w:t>
      </w:r>
      <w:r w:rsidR="00A941B1" w:rsidRPr="009E5B39">
        <w:rPr>
          <w:rFonts w:asciiTheme="majorHAnsi" w:eastAsia="Calibri" w:hAnsiTheme="majorHAnsi" w:cstheme="majorHAnsi"/>
          <w:b/>
          <w:i/>
          <w:sz w:val="16"/>
          <w:szCs w:val="16"/>
          <w:lang w:val="ro-MD"/>
        </w:rPr>
        <w:t>a</w:t>
      </w:r>
      <w:r w:rsidRPr="009E5B39">
        <w:rPr>
          <w:rFonts w:asciiTheme="majorHAnsi" w:eastAsia="Calibri" w:hAnsiTheme="majorHAnsi" w:cstheme="majorHAnsi"/>
          <w:b/>
          <w:i/>
          <w:sz w:val="16"/>
          <w:szCs w:val="16"/>
          <w:lang w:val="ro-MD"/>
        </w:rPr>
        <w:t xml:space="preserve">: </w:t>
      </w:r>
      <w:r w:rsidRPr="009E5B39">
        <w:rPr>
          <w:rFonts w:asciiTheme="majorHAnsi" w:eastAsia="Calibri" w:hAnsiTheme="majorHAnsi" w:cstheme="majorHAnsi"/>
          <w:i/>
          <w:sz w:val="16"/>
          <w:szCs w:val="16"/>
          <w:lang w:val="ro-MD"/>
        </w:rPr>
        <w:t xml:space="preserve">Date extrase din Raportul consolidat al </w:t>
      </w:r>
      <w:r w:rsidR="009F471F" w:rsidRPr="009E5B39">
        <w:rPr>
          <w:rFonts w:asciiTheme="majorHAnsi" w:eastAsia="Calibri" w:hAnsiTheme="majorHAnsi" w:cstheme="majorHAnsi"/>
          <w:i/>
          <w:sz w:val="16"/>
          <w:szCs w:val="16"/>
          <w:lang w:val="ro-MD"/>
        </w:rPr>
        <w:t>P</w:t>
      </w:r>
      <w:r w:rsidRPr="009E5B39">
        <w:rPr>
          <w:rFonts w:asciiTheme="majorHAnsi" w:eastAsia="Calibri" w:hAnsiTheme="majorHAnsi" w:cstheme="majorHAnsi"/>
          <w:i/>
          <w:sz w:val="16"/>
          <w:szCs w:val="16"/>
          <w:lang w:val="ro-MD"/>
        </w:rPr>
        <w:t>rimăriei mun. Chișinău pentru anii 2018, 2019 și 2020 privind veniturile și cheltuielile (</w:t>
      </w:r>
      <w:r w:rsidR="00A941B1" w:rsidRPr="009E5B39">
        <w:rPr>
          <w:rFonts w:asciiTheme="majorHAnsi" w:eastAsia="Calibri" w:hAnsiTheme="majorHAnsi" w:cstheme="majorHAnsi"/>
          <w:i/>
          <w:sz w:val="16"/>
          <w:szCs w:val="16"/>
          <w:lang w:val="ro-MD"/>
        </w:rPr>
        <w:t>F</w:t>
      </w:r>
      <w:r w:rsidRPr="009E5B39">
        <w:rPr>
          <w:rFonts w:asciiTheme="majorHAnsi" w:eastAsia="Calibri" w:hAnsiTheme="majorHAnsi" w:cstheme="majorHAnsi"/>
          <w:i/>
          <w:sz w:val="16"/>
          <w:szCs w:val="16"/>
          <w:lang w:val="ro-MD"/>
        </w:rPr>
        <w:t>orma FD</w:t>
      </w:r>
      <w:r w:rsidR="000B3D80" w:rsidRPr="009E5B39">
        <w:rPr>
          <w:rFonts w:asciiTheme="majorHAnsi" w:eastAsia="Calibri" w:hAnsiTheme="majorHAnsi" w:cstheme="majorHAnsi"/>
          <w:i/>
          <w:sz w:val="16"/>
          <w:szCs w:val="16"/>
          <w:lang w:val="ro-MD"/>
        </w:rPr>
        <w:t>-</w:t>
      </w:r>
      <w:r w:rsidRPr="009E5B39">
        <w:rPr>
          <w:rFonts w:asciiTheme="majorHAnsi" w:eastAsia="Calibri" w:hAnsiTheme="majorHAnsi" w:cstheme="majorHAnsi"/>
          <w:i/>
          <w:sz w:val="16"/>
          <w:szCs w:val="16"/>
          <w:lang w:val="ro-MD"/>
        </w:rPr>
        <w:t>042).</w:t>
      </w:r>
    </w:p>
    <w:p w14:paraId="4ECC3D09" w14:textId="77777777" w:rsidR="00992FEF" w:rsidRPr="009E5B39" w:rsidRDefault="00992FEF" w:rsidP="00EF4BC3">
      <w:pPr>
        <w:spacing w:after="0"/>
        <w:rPr>
          <w:rFonts w:asciiTheme="majorHAnsi" w:hAnsiTheme="majorHAnsi" w:cstheme="majorHAnsi"/>
          <w:sz w:val="24"/>
          <w:szCs w:val="24"/>
          <w:shd w:val="clear" w:color="auto" w:fill="FFFFFF"/>
          <w:lang w:val="ro-MD"/>
        </w:rPr>
      </w:pPr>
    </w:p>
    <w:p w14:paraId="0C4E71EB" w14:textId="77777777" w:rsidR="00992FEF" w:rsidRPr="009E5B39" w:rsidRDefault="00992FEF" w:rsidP="00EF4BC3">
      <w:pPr>
        <w:keepNext/>
        <w:keepLines/>
        <w:spacing w:after="0" w:line="276" w:lineRule="auto"/>
        <w:ind w:firstLine="709"/>
        <w:jc w:val="both"/>
        <w:outlineLvl w:val="0"/>
        <w:rPr>
          <w:rFonts w:asciiTheme="majorHAnsi" w:eastAsiaTheme="majorEastAsia" w:hAnsiTheme="majorHAnsi" w:cstheme="majorHAnsi"/>
          <w:b/>
          <w:sz w:val="24"/>
          <w:szCs w:val="24"/>
          <w:shd w:val="clear" w:color="auto" w:fill="FFFFFF"/>
          <w:lang w:val="ro-MD"/>
        </w:rPr>
      </w:pPr>
      <w:bookmarkStart w:id="7" w:name="_Toc116026875"/>
      <w:r w:rsidRPr="009E5B39">
        <w:rPr>
          <w:rFonts w:asciiTheme="majorHAnsi" w:eastAsiaTheme="majorEastAsia" w:hAnsiTheme="majorHAnsi" w:cstheme="majorHAnsi"/>
          <w:b/>
          <w:sz w:val="24"/>
          <w:szCs w:val="24"/>
          <w:shd w:val="clear" w:color="auto" w:fill="FFFFFF"/>
          <w:lang w:val="ro-MD"/>
        </w:rPr>
        <w:t>III. SFERA ȘI ABORDAREA AUDITULUI</w:t>
      </w:r>
      <w:bookmarkEnd w:id="7"/>
      <w:r w:rsidRPr="009E5B39">
        <w:rPr>
          <w:rFonts w:asciiTheme="majorHAnsi" w:eastAsiaTheme="majorEastAsia" w:hAnsiTheme="majorHAnsi" w:cstheme="majorHAnsi"/>
          <w:b/>
          <w:sz w:val="24"/>
          <w:szCs w:val="24"/>
          <w:shd w:val="clear" w:color="auto" w:fill="FFFFFF"/>
          <w:lang w:val="ro-MD"/>
        </w:rPr>
        <w:t xml:space="preserve"> </w:t>
      </w:r>
    </w:p>
    <w:p w14:paraId="3874EA36" w14:textId="77777777" w:rsidR="00992FEF" w:rsidRPr="009E5B39" w:rsidRDefault="00992FEF" w:rsidP="00EF4BC3">
      <w:pPr>
        <w:spacing w:after="0"/>
        <w:rPr>
          <w:rFonts w:asciiTheme="majorHAnsi" w:hAnsiTheme="majorHAnsi" w:cstheme="majorHAnsi"/>
          <w:b/>
          <w:i/>
          <w:color w:val="000000" w:themeColor="text1"/>
          <w:sz w:val="24"/>
          <w:szCs w:val="24"/>
          <w:lang w:val="ro-MD"/>
        </w:rPr>
      </w:pPr>
      <w:r w:rsidRPr="009E5B39">
        <w:rPr>
          <w:rFonts w:asciiTheme="majorHAnsi" w:hAnsiTheme="majorHAnsi" w:cstheme="majorHAnsi"/>
          <w:b/>
          <w:i/>
          <w:color w:val="000000" w:themeColor="text1"/>
          <w:spacing w:val="-3"/>
          <w:sz w:val="24"/>
          <w:szCs w:val="24"/>
          <w:lang w:val="ro-MD"/>
        </w:rPr>
        <w:t xml:space="preserve">3.1. </w:t>
      </w:r>
      <w:r w:rsidRPr="009E5B39">
        <w:rPr>
          <w:rFonts w:asciiTheme="majorHAnsi" w:hAnsiTheme="majorHAnsi" w:cstheme="majorHAnsi"/>
          <w:b/>
          <w:i/>
          <w:color w:val="000000" w:themeColor="text1"/>
          <w:sz w:val="24"/>
          <w:szCs w:val="24"/>
          <w:lang w:val="ro-MD"/>
        </w:rPr>
        <w:t>Mandatul legal și scopul auditului</w:t>
      </w:r>
    </w:p>
    <w:p w14:paraId="7849E90A" w14:textId="33F7C85E" w:rsidR="00992FEF" w:rsidRPr="009E5B39" w:rsidRDefault="00992FEF" w:rsidP="00EF4BC3">
      <w:pPr>
        <w:spacing w:after="0" w:line="276" w:lineRule="auto"/>
        <w:ind w:firstLine="709"/>
        <w:jc w:val="both"/>
        <w:rPr>
          <w:rFonts w:asciiTheme="majorHAnsi" w:hAnsiTheme="majorHAnsi" w:cstheme="majorHAnsi"/>
          <w:bCs/>
          <w:iCs/>
          <w:sz w:val="24"/>
          <w:szCs w:val="24"/>
          <w:lang w:val="ro-MD" w:eastAsia="ru-RU"/>
        </w:rPr>
      </w:pPr>
      <w:r w:rsidRPr="009E5B39">
        <w:rPr>
          <w:rFonts w:asciiTheme="majorHAnsi" w:hAnsiTheme="majorHAnsi" w:cstheme="majorHAnsi"/>
          <w:spacing w:val="-3"/>
          <w:sz w:val="24"/>
          <w:szCs w:val="24"/>
          <w:lang w:val="ro-MD"/>
        </w:rPr>
        <w:t xml:space="preserve">Misiunea de audit a fost desfășurată în temeiul prevederilor art.31 și art.32 </w:t>
      </w:r>
      <w:r w:rsidRPr="009E5B39">
        <w:rPr>
          <w:rFonts w:asciiTheme="majorHAnsi" w:hAnsiTheme="majorHAnsi" w:cstheme="majorHAnsi"/>
          <w:sz w:val="24"/>
          <w:szCs w:val="24"/>
          <w:lang w:val="ro-MD"/>
        </w:rPr>
        <w:t>din</w:t>
      </w:r>
      <w:r w:rsidRPr="009E5B39">
        <w:rPr>
          <w:rFonts w:asciiTheme="majorHAnsi" w:hAnsiTheme="majorHAnsi" w:cstheme="majorHAnsi"/>
          <w:spacing w:val="-3"/>
          <w:sz w:val="24"/>
          <w:szCs w:val="24"/>
          <w:lang w:val="ro-MD"/>
        </w:rPr>
        <w:t xml:space="preserve"> Legea privind organizarea și funcționarea Curții de Conturi a Republicii Moldova</w:t>
      </w:r>
      <w:r w:rsidRPr="009E5B39">
        <w:rPr>
          <w:rFonts w:asciiTheme="majorHAnsi" w:hAnsiTheme="majorHAnsi" w:cstheme="majorHAnsi"/>
          <w:spacing w:val="-3"/>
          <w:sz w:val="24"/>
          <w:szCs w:val="24"/>
          <w:vertAlign w:val="superscript"/>
          <w:lang w:val="ro-MD"/>
        </w:rPr>
        <w:footnoteReference w:id="17"/>
      </w:r>
      <w:r w:rsidRPr="009E5B39">
        <w:rPr>
          <w:rFonts w:asciiTheme="majorHAnsi" w:hAnsiTheme="majorHAnsi" w:cstheme="majorHAnsi"/>
          <w:spacing w:val="-3"/>
          <w:sz w:val="24"/>
          <w:szCs w:val="24"/>
          <w:lang w:val="ro-MD"/>
        </w:rPr>
        <w:t xml:space="preserve"> </w:t>
      </w:r>
      <w:r w:rsidRPr="009E5B39">
        <w:rPr>
          <w:rFonts w:asciiTheme="majorHAnsi" w:hAnsiTheme="majorHAnsi" w:cstheme="majorHAnsi"/>
          <w:spacing w:val="-1"/>
          <w:sz w:val="24"/>
          <w:szCs w:val="24"/>
          <w:lang w:val="ro-MD"/>
        </w:rPr>
        <w:t xml:space="preserve">și în conformitate cu Programele activității de audit a Curții de </w:t>
      </w:r>
      <w:r w:rsidRPr="009E5B39">
        <w:rPr>
          <w:rFonts w:asciiTheme="majorHAnsi" w:hAnsiTheme="majorHAnsi" w:cstheme="majorHAnsi"/>
          <w:sz w:val="24"/>
          <w:szCs w:val="24"/>
          <w:lang w:val="ro-MD"/>
        </w:rPr>
        <w:t>Conturi</w:t>
      </w:r>
      <w:r w:rsidRPr="009E5B39">
        <w:rPr>
          <w:rFonts w:asciiTheme="majorHAnsi" w:hAnsiTheme="majorHAnsi" w:cstheme="majorHAnsi"/>
          <w:sz w:val="24"/>
          <w:szCs w:val="24"/>
          <w:vertAlign w:val="superscript"/>
          <w:lang w:val="ro-MD"/>
        </w:rPr>
        <w:footnoteReference w:id="18"/>
      </w:r>
      <w:r w:rsidRPr="009E5B39">
        <w:rPr>
          <w:rFonts w:asciiTheme="majorHAnsi" w:hAnsiTheme="majorHAnsi" w:cstheme="majorHAnsi"/>
          <w:sz w:val="24"/>
          <w:szCs w:val="24"/>
          <w:lang w:val="ro-MD"/>
        </w:rPr>
        <w:t xml:space="preserve"> pentru anii 2021 și 2022, având drept scop evaluarea conformității procesului bugetar și gestionării patrimoniului public la UAT mun.</w:t>
      </w:r>
      <w:r w:rsidR="00EE3A42"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Chișinău în anii 2018-2020,</w:t>
      </w:r>
      <w:r w:rsidRPr="009E5B39">
        <w:rPr>
          <w:rFonts w:asciiTheme="majorHAnsi" w:hAnsiTheme="majorHAnsi" w:cstheme="majorHAnsi"/>
          <w:bCs/>
          <w:iCs/>
          <w:sz w:val="24"/>
          <w:szCs w:val="24"/>
          <w:lang w:val="ro-MD" w:eastAsia="ru-RU"/>
        </w:rPr>
        <w:t xml:space="preserve"> în raport cu criteriile regulamentare de ordin legal</w:t>
      </w:r>
      <w:r w:rsidRPr="009E5B39">
        <w:rPr>
          <w:rFonts w:asciiTheme="majorHAnsi" w:hAnsiTheme="majorHAnsi" w:cstheme="majorHAnsi"/>
          <w:sz w:val="24"/>
          <w:szCs w:val="24"/>
          <w:lang w:val="ro-MD" w:eastAsia="ru-RU"/>
        </w:rPr>
        <w:t>.</w:t>
      </w:r>
    </w:p>
    <w:p w14:paraId="467E1327" w14:textId="77777777" w:rsidR="00992FEF" w:rsidRPr="009E5B39" w:rsidRDefault="00992FEF" w:rsidP="00EF4BC3">
      <w:pPr>
        <w:spacing w:after="0" w:line="276" w:lineRule="auto"/>
        <w:ind w:firstLine="709"/>
        <w:jc w:val="both"/>
        <w:rPr>
          <w:rFonts w:asciiTheme="majorHAnsi" w:hAnsiTheme="majorHAnsi" w:cstheme="majorHAnsi"/>
          <w:sz w:val="24"/>
          <w:szCs w:val="24"/>
          <w:lang w:val="ro-MD"/>
        </w:rPr>
      </w:pPr>
      <w:r w:rsidRPr="009E5B39">
        <w:rPr>
          <w:rFonts w:asciiTheme="majorHAnsi" w:eastAsia="Arial" w:hAnsiTheme="majorHAnsi" w:cstheme="majorHAnsi"/>
          <w:spacing w:val="1"/>
          <w:sz w:val="24"/>
          <w:szCs w:val="24"/>
          <w:lang w:val="ro-MD"/>
        </w:rPr>
        <w:t>Î</w:t>
      </w:r>
      <w:r w:rsidRPr="009E5B39">
        <w:rPr>
          <w:rFonts w:asciiTheme="majorHAnsi" w:hAnsiTheme="majorHAnsi" w:cstheme="majorHAnsi"/>
          <w:sz w:val="24"/>
          <w:szCs w:val="24"/>
          <w:lang w:val="ro-MD"/>
        </w:rPr>
        <w:t>n contextul realizării scopului misiunii de audit, au fost determinate următoarele obiective specifice:</w:t>
      </w:r>
    </w:p>
    <w:p w14:paraId="6DB19602" w14:textId="77777777" w:rsidR="00992FEF" w:rsidRPr="009E5B39" w:rsidRDefault="00992FEF" w:rsidP="00EF4BC3">
      <w:pPr>
        <w:numPr>
          <w:ilvl w:val="0"/>
          <w:numId w:val="1"/>
        </w:numPr>
        <w:spacing w:after="0" w:line="276" w:lineRule="auto"/>
        <w:ind w:left="0" w:firstLine="426"/>
        <w:contextualSpacing/>
        <w:jc w:val="both"/>
        <w:rPr>
          <w:rFonts w:asciiTheme="majorHAnsi" w:hAnsiTheme="majorHAnsi" w:cstheme="majorHAnsi"/>
          <w:b/>
          <w:iCs/>
          <w:sz w:val="24"/>
          <w:szCs w:val="24"/>
          <w:u w:val="single"/>
          <w:lang w:val="ro-MD"/>
        </w:rPr>
      </w:pPr>
      <w:r w:rsidRPr="009E5B39">
        <w:rPr>
          <w:rFonts w:asciiTheme="majorHAnsi" w:hAnsiTheme="majorHAnsi" w:cstheme="majorHAnsi"/>
          <w:b/>
          <w:sz w:val="24"/>
          <w:szCs w:val="24"/>
          <w:shd w:val="clear" w:color="auto" w:fill="FFFFFF"/>
          <w:lang w:val="ro-MD"/>
        </w:rPr>
        <w:t>Obiectivul I</w:t>
      </w:r>
      <w:r w:rsidRPr="009E5B39">
        <w:rPr>
          <w:rFonts w:asciiTheme="majorHAnsi" w:hAnsiTheme="majorHAnsi" w:cstheme="majorHAnsi"/>
          <w:b/>
          <w:sz w:val="24"/>
          <w:szCs w:val="24"/>
          <w:u w:val="single"/>
          <w:shd w:val="clear" w:color="auto" w:fill="FFFFFF"/>
          <w:lang w:val="ro-MD"/>
        </w:rPr>
        <w:t xml:space="preserve">: </w:t>
      </w:r>
      <w:r w:rsidRPr="009E5B39">
        <w:rPr>
          <w:rFonts w:asciiTheme="majorHAnsi" w:hAnsiTheme="majorHAnsi" w:cstheme="majorHAnsi"/>
          <w:b/>
          <w:sz w:val="24"/>
          <w:szCs w:val="24"/>
          <w:u w:val="single"/>
          <w:lang w:val="ro-MD"/>
        </w:rPr>
        <w:t xml:space="preserve">A identificat, a evaluat și a colectat </w:t>
      </w:r>
      <w:r w:rsidRPr="009E5B39">
        <w:rPr>
          <w:rFonts w:asciiTheme="majorHAnsi" w:hAnsiTheme="majorHAnsi" w:cstheme="majorHAnsi"/>
          <w:b/>
          <w:sz w:val="24"/>
          <w:szCs w:val="24"/>
          <w:u w:val="single"/>
          <w:shd w:val="clear" w:color="auto" w:fill="FFFFFF"/>
          <w:lang w:val="ro-MD"/>
        </w:rPr>
        <w:t>UAT</w:t>
      </w:r>
      <w:r w:rsidRPr="009E5B39">
        <w:rPr>
          <w:rFonts w:asciiTheme="majorHAnsi" w:hAnsiTheme="majorHAnsi" w:cstheme="majorHAnsi"/>
          <w:b/>
          <w:sz w:val="24"/>
          <w:szCs w:val="24"/>
          <w:u w:val="single"/>
          <w:lang w:val="ro-MD"/>
        </w:rPr>
        <w:t xml:space="preserve"> veniturile bugetare în conformitate cu cadrul legal și regulator aferent?</w:t>
      </w:r>
    </w:p>
    <w:p w14:paraId="50D4B892" w14:textId="4FA8C200" w:rsidR="00992FEF" w:rsidRPr="009E5B39" w:rsidRDefault="00992FEF" w:rsidP="00EF4BC3">
      <w:pPr>
        <w:numPr>
          <w:ilvl w:val="0"/>
          <w:numId w:val="1"/>
        </w:numPr>
        <w:spacing w:after="0" w:line="276" w:lineRule="auto"/>
        <w:ind w:left="0" w:firstLine="426"/>
        <w:contextualSpacing/>
        <w:jc w:val="both"/>
        <w:rPr>
          <w:rFonts w:asciiTheme="majorHAnsi" w:hAnsiTheme="majorHAnsi" w:cstheme="majorHAnsi"/>
          <w:b/>
          <w:iCs/>
          <w:sz w:val="24"/>
          <w:szCs w:val="24"/>
          <w:u w:val="single"/>
          <w:lang w:val="ro-MD"/>
        </w:rPr>
      </w:pPr>
      <w:r w:rsidRPr="009E5B39">
        <w:rPr>
          <w:rFonts w:asciiTheme="majorHAnsi" w:hAnsiTheme="majorHAnsi" w:cstheme="majorHAnsi"/>
          <w:b/>
          <w:sz w:val="24"/>
          <w:szCs w:val="24"/>
          <w:shd w:val="clear" w:color="auto" w:fill="FFFFFF"/>
          <w:lang w:val="ro-MD"/>
        </w:rPr>
        <w:t xml:space="preserve">Obiectivul II: </w:t>
      </w:r>
      <w:r w:rsidRPr="009E5B39">
        <w:rPr>
          <w:rFonts w:asciiTheme="majorHAnsi" w:hAnsiTheme="majorHAnsi" w:cstheme="majorHAnsi"/>
          <w:b/>
          <w:sz w:val="24"/>
          <w:szCs w:val="24"/>
          <w:u w:val="single"/>
          <w:shd w:val="clear" w:color="auto" w:fill="FFFFFF"/>
          <w:lang w:val="ro-MD"/>
        </w:rPr>
        <w:t xml:space="preserve">A </w:t>
      </w:r>
      <w:r w:rsidRPr="009E5B39">
        <w:rPr>
          <w:rFonts w:asciiTheme="majorHAnsi" w:hAnsiTheme="majorHAnsi" w:cstheme="majorHAnsi"/>
          <w:b/>
          <w:iCs/>
          <w:sz w:val="24"/>
          <w:szCs w:val="24"/>
          <w:u w:val="single"/>
          <w:lang w:val="ro-MD"/>
        </w:rPr>
        <w:t>justificat</w:t>
      </w:r>
      <w:r w:rsidRPr="009E5B39">
        <w:rPr>
          <w:rFonts w:asciiTheme="majorHAnsi" w:hAnsiTheme="majorHAnsi" w:cstheme="majorHAnsi"/>
          <w:b/>
          <w:sz w:val="24"/>
          <w:szCs w:val="24"/>
          <w:u w:val="single"/>
          <w:shd w:val="clear" w:color="auto" w:fill="FFFFFF"/>
          <w:lang w:val="ro-MD"/>
        </w:rPr>
        <w:t xml:space="preserve"> </w:t>
      </w:r>
      <w:r w:rsidR="009F471F" w:rsidRPr="009E5B39">
        <w:rPr>
          <w:rFonts w:asciiTheme="majorHAnsi" w:hAnsiTheme="majorHAnsi" w:cstheme="majorHAnsi"/>
          <w:b/>
          <w:sz w:val="24"/>
          <w:szCs w:val="24"/>
          <w:u w:val="single"/>
          <w:shd w:val="clear" w:color="auto" w:fill="FFFFFF"/>
          <w:lang w:val="ro-MD"/>
        </w:rPr>
        <w:t xml:space="preserve">UAT </w:t>
      </w:r>
      <w:r w:rsidRPr="009E5B39">
        <w:rPr>
          <w:rFonts w:asciiTheme="majorHAnsi" w:hAnsiTheme="majorHAnsi" w:cstheme="majorHAnsi"/>
          <w:b/>
          <w:iCs/>
          <w:sz w:val="24"/>
          <w:szCs w:val="24"/>
          <w:u w:val="single"/>
          <w:lang w:val="ro-MD"/>
        </w:rPr>
        <w:t xml:space="preserve">angajarea și gestionarea cheltuielilor potrivit cadrului regulator? </w:t>
      </w:r>
    </w:p>
    <w:p w14:paraId="0BB99DF9" w14:textId="437C7953" w:rsidR="00992FEF" w:rsidRPr="009E5B39" w:rsidRDefault="00992FEF" w:rsidP="00EF4BC3">
      <w:pPr>
        <w:numPr>
          <w:ilvl w:val="0"/>
          <w:numId w:val="1"/>
        </w:numPr>
        <w:spacing w:after="0" w:line="276" w:lineRule="auto"/>
        <w:ind w:left="0" w:firstLine="426"/>
        <w:contextualSpacing/>
        <w:jc w:val="both"/>
        <w:rPr>
          <w:rFonts w:asciiTheme="majorHAnsi" w:hAnsiTheme="majorHAnsi" w:cstheme="majorHAnsi"/>
          <w:b/>
          <w:sz w:val="24"/>
          <w:szCs w:val="24"/>
          <w:shd w:val="clear" w:color="auto" w:fill="FFFFFF"/>
          <w:lang w:val="ro-MD"/>
        </w:rPr>
      </w:pPr>
      <w:r w:rsidRPr="009E5B39">
        <w:rPr>
          <w:rFonts w:asciiTheme="majorHAnsi" w:hAnsiTheme="majorHAnsi" w:cstheme="majorHAnsi"/>
          <w:b/>
          <w:sz w:val="24"/>
          <w:szCs w:val="24"/>
          <w:shd w:val="clear" w:color="auto" w:fill="FFFFFF"/>
          <w:lang w:val="ro-MD"/>
        </w:rPr>
        <w:t xml:space="preserve">Obiectivul III: </w:t>
      </w:r>
      <w:r w:rsidRPr="009E5B39">
        <w:rPr>
          <w:rFonts w:asciiTheme="majorHAnsi" w:hAnsiTheme="majorHAnsi" w:cstheme="majorHAnsi"/>
          <w:b/>
          <w:sz w:val="24"/>
          <w:szCs w:val="24"/>
          <w:u w:val="single"/>
          <w:shd w:val="clear" w:color="auto" w:fill="FFFFFF"/>
          <w:lang w:val="ro-MD"/>
        </w:rPr>
        <w:t>A înregistrat, a administrat și a gestionat UAT în modul corespunzător patrimoniul public</w:t>
      </w:r>
      <w:r w:rsidRPr="009E5B39">
        <w:rPr>
          <w:rFonts w:asciiTheme="majorHAnsi" w:hAnsiTheme="majorHAnsi" w:cstheme="majorHAnsi"/>
          <w:b/>
          <w:sz w:val="24"/>
          <w:szCs w:val="24"/>
          <w:shd w:val="clear" w:color="auto" w:fill="FFFFFF"/>
          <w:lang w:val="ro-MD"/>
        </w:rPr>
        <w:t>?</w:t>
      </w:r>
    </w:p>
    <w:p w14:paraId="19473A80" w14:textId="77777777" w:rsidR="007F2C21" w:rsidRPr="009E5B39" w:rsidRDefault="007F2C21" w:rsidP="00EF4BC3">
      <w:pPr>
        <w:numPr>
          <w:ilvl w:val="0"/>
          <w:numId w:val="1"/>
        </w:numPr>
        <w:spacing w:after="0" w:line="276" w:lineRule="auto"/>
        <w:ind w:left="0" w:firstLine="426"/>
        <w:contextualSpacing/>
        <w:jc w:val="both"/>
        <w:rPr>
          <w:rFonts w:asciiTheme="majorHAnsi" w:hAnsiTheme="majorHAnsi" w:cstheme="majorHAnsi"/>
          <w:b/>
          <w:sz w:val="24"/>
          <w:szCs w:val="24"/>
          <w:shd w:val="clear" w:color="auto" w:fill="FFFFFF"/>
          <w:lang w:val="ro-MD"/>
        </w:rPr>
      </w:pPr>
      <w:r w:rsidRPr="009E5B39">
        <w:rPr>
          <w:rFonts w:asciiTheme="majorHAnsi" w:hAnsiTheme="majorHAnsi" w:cstheme="majorHAnsi"/>
          <w:b/>
          <w:sz w:val="24"/>
          <w:szCs w:val="24"/>
          <w:shd w:val="clear" w:color="auto" w:fill="FFFFFF"/>
          <w:lang w:val="ro-MD"/>
        </w:rPr>
        <w:t xml:space="preserve">Obiectivul IV: </w:t>
      </w:r>
      <w:r w:rsidRPr="009E5B39">
        <w:rPr>
          <w:rFonts w:asciiTheme="majorHAnsi" w:hAnsiTheme="majorHAnsi" w:cstheme="majorHAnsi"/>
          <w:b/>
          <w:sz w:val="24"/>
          <w:szCs w:val="24"/>
          <w:u w:val="single"/>
          <w:shd w:val="clear" w:color="auto" w:fill="FFFFFF"/>
          <w:lang w:val="ro-MD"/>
        </w:rPr>
        <w:t>Evaluarea implementării recomandărilor anterioare ale Curții de Conturi.</w:t>
      </w:r>
      <w:r w:rsidRPr="009E5B39">
        <w:rPr>
          <w:rFonts w:asciiTheme="majorHAnsi" w:hAnsiTheme="majorHAnsi" w:cstheme="majorHAnsi"/>
          <w:b/>
          <w:sz w:val="24"/>
          <w:szCs w:val="24"/>
          <w:shd w:val="clear" w:color="auto" w:fill="FFFFFF"/>
          <w:lang w:val="ro-MD"/>
        </w:rPr>
        <w:t xml:space="preserve"> </w:t>
      </w:r>
    </w:p>
    <w:p w14:paraId="6AEE0045" w14:textId="7C6E5533" w:rsidR="00992FEF" w:rsidRPr="009E5B39" w:rsidRDefault="00992FEF" w:rsidP="00EF4BC3">
      <w:pPr>
        <w:spacing w:after="0"/>
        <w:rPr>
          <w:rFonts w:asciiTheme="majorHAnsi" w:hAnsiTheme="majorHAnsi" w:cstheme="majorHAnsi"/>
          <w:b/>
          <w:i/>
          <w:color w:val="000000" w:themeColor="text1"/>
          <w:sz w:val="24"/>
          <w:szCs w:val="24"/>
          <w:lang w:val="ro-MD"/>
        </w:rPr>
      </w:pPr>
      <w:r w:rsidRPr="009E5B39">
        <w:rPr>
          <w:rFonts w:asciiTheme="majorHAnsi" w:hAnsiTheme="majorHAnsi" w:cstheme="majorHAnsi"/>
          <w:b/>
          <w:i/>
          <w:color w:val="000000" w:themeColor="text1"/>
          <w:sz w:val="24"/>
          <w:szCs w:val="24"/>
          <w:lang w:val="ro-MD"/>
        </w:rPr>
        <w:t>3.2. Abordarea auditului</w:t>
      </w:r>
    </w:p>
    <w:p w14:paraId="478D345A" w14:textId="7DF65F12" w:rsidR="00992FEF" w:rsidRPr="009E5B39" w:rsidRDefault="00992FEF" w:rsidP="00EF4BC3">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Activitățile de audit au fost ghidate de Standardele Internaționale ale Instituțiilor Supreme de Audit (</w:t>
      </w:r>
      <w:r w:rsidRPr="009E5B39">
        <w:rPr>
          <w:rFonts w:asciiTheme="majorHAnsi" w:hAnsiTheme="majorHAnsi" w:cstheme="majorHAnsi"/>
          <w:sz w:val="24"/>
          <w:szCs w:val="24"/>
          <w:shd w:val="clear" w:color="auto" w:fill="FFFFFF"/>
          <w:lang w:val="ro-MD"/>
        </w:rPr>
        <w:t xml:space="preserve">ISSAI 100, ISSAI 400, precum și </w:t>
      </w:r>
      <w:r w:rsidRPr="009E5B39">
        <w:rPr>
          <w:rFonts w:asciiTheme="majorHAnsi" w:hAnsiTheme="majorHAnsi" w:cstheme="majorHAnsi"/>
          <w:sz w:val="24"/>
          <w:szCs w:val="24"/>
          <w:lang w:val="ro-MD"/>
        </w:rPr>
        <w:t>ISSAI 4000)</w:t>
      </w:r>
      <w:r w:rsidRPr="009E5B39">
        <w:rPr>
          <w:rFonts w:asciiTheme="majorHAnsi" w:hAnsiTheme="majorHAnsi" w:cstheme="majorHAnsi"/>
          <w:sz w:val="24"/>
          <w:szCs w:val="24"/>
          <w:vertAlign w:val="superscript"/>
          <w:lang w:val="ro-MD"/>
        </w:rPr>
        <w:footnoteReference w:id="19"/>
      </w:r>
      <w:r w:rsidRPr="009E5B39">
        <w:rPr>
          <w:rFonts w:asciiTheme="majorHAnsi" w:hAnsiTheme="majorHAnsi" w:cstheme="majorHAnsi"/>
          <w:sz w:val="24"/>
          <w:szCs w:val="24"/>
          <w:lang w:val="ro-MD"/>
        </w:rPr>
        <w:t>.</w:t>
      </w:r>
    </w:p>
    <w:p w14:paraId="72B3BD87" w14:textId="135F2B59" w:rsidR="00767E1F" w:rsidRPr="009E5B39" w:rsidRDefault="00AD788C" w:rsidP="00EF4BC3">
      <w:pPr>
        <w:spacing w:after="0" w:line="276" w:lineRule="auto"/>
        <w:ind w:firstLine="709"/>
        <w:jc w:val="both"/>
        <w:rPr>
          <w:rFonts w:asciiTheme="majorHAnsi" w:hAnsiTheme="majorHAnsi" w:cstheme="majorHAnsi"/>
          <w:color w:val="000000" w:themeColor="text1"/>
          <w:sz w:val="24"/>
          <w:szCs w:val="24"/>
          <w:lang w:val="ro-MD"/>
        </w:rPr>
      </w:pPr>
      <w:r w:rsidRPr="009E5B39">
        <w:rPr>
          <w:rFonts w:asciiTheme="majorHAnsi" w:hAnsiTheme="majorHAnsi" w:cstheme="majorHAnsi"/>
          <w:color w:val="000000" w:themeColor="text1"/>
          <w:sz w:val="24"/>
          <w:szCs w:val="24"/>
          <w:lang w:val="ro-MD"/>
        </w:rPr>
        <w:t xml:space="preserve">Abordarea auditului s-a bazat pe evaluarea </w:t>
      </w:r>
      <w:r w:rsidR="00767E1F" w:rsidRPr="009E5B39">
        <w:rPr>
          <w:rFonts w:asciiTheme="majorHAnsi" w:hAnsiTheme="majorHAnsi" w:cstheme="majorHAnsi"/>
          <w:color w:val="000000" w:themeColor="text1"/>
          <w:sz w:val="24"/>
          <w:szCs w:val="24"/>
          <w:lang w:val="ro-MD"/>
        </w:rPr>
        <w:t xml:space="preserve">mai multor proceduri specifice, implicate în procesul bugetar și </w:t>
      </w:r>
      <w:r w:rsidR="009F471F" w:rsidRPr="009E5B39">
        <w:rPr>
          <w:rFonts w:asciiTheme="majorHAnsi" w:hAnsiTheme="majorHAnsi" w:cstheme="majorHAnsi"/>
          <w:color w:val="000000" w:themeColor="text1"/>
          <w:sz w:val="24"/>
          <w:szCs w:val="24"/>
          <w:lang w:val="ro-MD"/>
        </w:rPr>
        <w:t xml:space="preserve">în </w:t>
      </w:r>
      <w:r w:rsidR="00767E1F" w:rsidRPr="009E5B39">
        <w:rPr>
          <w:rFonts w:asciiTheme="majorHAnsi" w:hAnsiTheme="majorHAnsi" w:cstheme="majorHAnsi"/>
          <w:color w:val="000000" w:themeColor="text1"/>
          <w:sz w:val="24"/>
          <w:szCs w:val="24"/>
          <w:lang w:val="ro-MD"/>
        </w:rPr>
        <w:t xml:space="preserve">gestionarea patrimoniului public, </w:t>
      </w:r>
      <w:r w:rsidR="00767E1F" w:rsidRPr="009E5B39">
        <w:rPr>
          <w:rFonts w:asciiTheme="majorHAnsi" w:hAnsiTheme="majorHAnsi" w:cstheme="majorHAnsi"/>
          <w:color w:val="000000" w:themeColor="text1"/>
          <w:sz w:val="24"/>
          <w:szCs w:val="24"/>
          <w:shd w:val="clear" w:color="auto" w:fill="FFFFFF"/>
          <w:lang w:val="ro-MD"/>
        </w:rPr>
        <w:t>expuse riscurilor de neconformitate cu impact major</w:t>
      </w:r>
      <w:r w:rsidR="00767E1F" w:rsidRPr="009E5B39">
        <w:rPr>
          <w:rFonts w:asciiTheme="majorHAnsi" w:hAnsiTheme="majorHAnsi" w:cstheme="majorHAnsi"/>
          <w:color w:val="000000" w:themeColor="text1"/>
          <w:sz w:val="24"/>
          <w:szCs w:val="24"/>
          <w:lang w:val="ro-MD"/>
        </w:rPr>
        <w:t>, din cadrul UAT mun. Chișinău.</w:t>
      </w:r>
    </w:p>
    <w:p w14:paraId="0F1E4015" w14:textId="18E375CA" w:rsidR="00992FEF" w:rsidRPr="009E5B39" w:rsidRDefault="00AD788C" w:rsidP="00EF4BC3">
      <w:pPr>
        <w:spacing w:after="0" w:line="276" w:lineRule="auto"/>
        <w:ind w:firstLine="709"/>
        <w:jc w:val="both"/>
        <w:rPr>
          <w:rFonts w:asciiTheme="majorHAnsi" w:hAnsiTheme="majorHAnsi" w:cstheme="majorHAnsi"/>
          <w:bCs/>
          <w:sz w:val="24"/>
          <w:szCs w:val="24"/>
          <w:lang w:val="ro-MD"/>
        </w:rPr>
      </w:pPr>
      <w:r w:rsidRPr="009E5B39">
        <w:rPr>
          <w:rFonts w:asciiTheme="majorHAnsi" w:hAnsiTheme="majorHAnsi" w:cstheme="majorHAnsi"/>
          <w:color w:val="000000" w:themeColor="text1"/>
          <w:sz w:val="24"/>
          <w:szCs w:val="24"/>
          <w:lang w:val="ro-MD"/>
        </w:rPr>
        <w:t>P</w:t>
      </w:r>
      <w:r w:rsidR="00992FEF" w:rsidRPr="009E5B39">
        <w:rPr>
          <w:rFonts w:asciiTheme="majorHAnsi" w:hAnsiTheme="majorHAnsi" w:cstheme="majorHAnsi"/>
          <w:color w:val="000000" w:themeColor="text1"/>
          <w:sz w:val="24"/>
          <w:szCs w:val="24"/>
          <w:lang w:val="ro-MD"/>
        </w:rPr>
        <w:t>robel</w:t>
      </w:r>
      <w:r w:rsidRPr="009E5B39">
        <w:rPr>
          <w:rFonts w:asciiTheme="majorHAnsi" w:hAnsiTheme="majorHAnsi" w:cstheme="majorHAnsi"/>
          <w:color w:val="000000" w:themeColor="text1"/>
          <w:sz w:val="24"/>
          <w:szCs w:val="24"/>
          <w:lang w:val="ro-MD"/>
        </w:rPr>
        <w:t>e de audit au fost colectate</w:t>
      </w:r>
      <w:r w:rsidR="00992FEF" w:rsidRPr="009E5B39">
        <w:rPr>
          <w:rFonts w:asciiTheme="majorHAnsi" w:hAnsiTheme="majorHAnsi" w:cstheme="majorHAnsi"/>
          <w:color w:val="000000" w:themeColor="text1"/>
          <w:sz w:val="24"/>
          <w:szCs w:val="24"/>
          <w:lang w:val="ro-MD"/>
        </w:rPr>
        <w:t xml:space="preserve"> </w:t>
      </w:r>
      <w:r w:rsidR="00992FEF" w:rsidRPr="009E5B39">
        <w:rPr>
          <w:rFonts w:asciiTheme="majorHAnsi" w:hAnsiTheme="majorHAnsi" w:cstheme="majorHAnsi"/>
          <w:sz w:val="24"/>
          <w:szCs w:val="24"/>
          <w:lang w:val="ro-MD"/>
        </w:rPr>
        <w:t xml:space="preserve">la fața locului și la distanță în cadrul Primăriei mun. Chișinău și instituțiilor din subordine, prin observări la fața locului, intervievări, confirmări. </w:t>
      </w:r>
      <w:r w:rsidR="00992FEF" w:rsidRPr="009E5B39">
        <w:rPr>
          <w:rFonts w:asciiTheme="majorHAnsi" w:eastAsia="Arial" w:hAnsiTheme="majorHAnsi" w:cstheme="majorHAnsi"/>
          <w:spacing w:val="1"/>
          <w:sz w:val="24"/>
          <w:szCs w:val="24"/>
          <w:lang w:val="ro-MD"/>
        </w:rPr>
        <w:t xml:space="preserve"> </w:t>
      </w:r>
    </w:p>
    <w:p w14:paraId="3F59435A" w14:textId="2B877FC8" w:rsidR="00992FEF" w:rsidRPr="009E5B39" w:rsidRDefault="00992FEF" w:rsidP="00EF4BC3">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Sfera de cuprindere a auditului, criteriile de audit care au stat la baza constatărilor și procedurilor de audit aplicate se prezintă în </w:t>
      </w:r>
      <w:r w:rsidRPr="009E5B39">
        <w:rPr>
          <w:rFonts w:asciiTheme="majorHAnsi" w:hAnsiTheme="majorHAnsi" w:cstheme="majorHAnsi"/>
          <w:i/>
          <w:sz w:val="24"/>
          <w:szCs w:val="24"/>
          <w:lang w:val="ro-MD"/>
        </w:rPr>
        <w:t>Anex</w:t>
      </w:r>
      <w:r w:rsidR="00691360" w:rsidRPr="009E5B39">
        <w:rPr>
          <w:rFonts w:asciiTheme="majorHAnsi" w:hAnsiTheme="majorHAnsi" w:cstheme="majorHAnsi"/>
          <w:i/>
          <w:sz w:val="24"/>
          <w:szCs w:val="24"/>
          <w:lang w:val="ro-MD"/>
        </w:rPr>
        <w:t xml:space="preserve">ele nr.1 și nr.2 </w:t>
      </w:r>
      <w:r w:rsidRPr="009E5B39">
        <w:rPr>
          <w:rFonts w:asciiTheme="majorHAnsi" w:hAnsiTheme="majorHAnsi" w:cstheme="majorHAnsi"/>
          <w:sz w:val="24"/>
          <w:szCs w:val="24"/>
          <w:lang w:val="ro-MD"/>
        </w:rPr>
        <w:t xml:space="preserve"> la prezentul Raport de audit.  </w:t>
      </w:r>
    </w:p>
    <w:p w14:paraId="5E799747" w14:textId="2AD42642" w:rsidR="00992FEF" w:rsidRPr="009E5B39" w:rsidRDefault="00992FEF" w:rsidP="007102DC">
      <w:pPr>
        <w:spacing w:before="240" w:after="0"/>
        <w:rPr>
          <w:rFonts w:asciiTheme="majorHAnsi" w:eastAsia="Arial" w:hAnsiTheme="majorHAnsi" w:cstheme="majorHAnsi"/>
          <w:strike/>
          <w:color w:val="000000" w:themeColor="text1"/>
          <w:spacing w:val="1"/>
          <w:sz w:val="24"/>
          <w:szCs w:val="24"/>
          <w:lang w:val="ro-MD"/>
        </w:rPr>
      </w:pPr>
      <w:r w:rsidRPr="009E5B39">
        <w:rPr>
          <w:rFonts w:asciiTheme="majorHAnsi" w:hAnsiTheme="majorHAnsi" w:cstheme="majorHAnsi"/>
          <w:b/>
          <w:i/>
          <w:color w:val="000000" w:themeColor="text1"/>
          <w:sz w:val="24"/>
          <w:szCs w:val="24"/>
          <w:lang w:val="ro-MD"/>
        </w:rPr>
        <w:t>3.</w:t>
      </w:r>
      <w:r w:rsidR="00A45A54" w:rsidRPr="009E5B39">
        <w:rPr>
          <w:rFonts w:asciiTheme="majorHAnsi" w:hAnsiTheme="majorHAnsi" w:cstheme="majorHAnsi"/>
          <w:b/>
          <w:i/>
          <w:color w:val="000000" w:themeColor="text1"/>
          <w:sz w:val="24"/>
          <w:szCs w:val="24"/>
          <w:lang w:val="ro-MD"/>
        </w:rPr>
        <w:t>3</w:t>
      </w:r>
      <w:r w:rsidRPr="009E5B39">
        <w:rPr>
          <w:rFonts w:asciiTheme="majorHAnsi" w:hAnsiTheme="majorHAnsi" w:cstheme="majorHAnsi"/>
          <w:b/>
          <w:i/>
          <w:color w:val="000000" w:themeColor="text1"/>
          <w:sz w:val="24"/>
          <w:szCs w:val="24"/>
          <w:lang w:val="ro-MD"/>
        </w:rPr>
        <w:t>. Responsabilitatea auditorului</w:t>
      </w:r>
      <w:r w:rsidRPr="009E5B39">
        <w:rPr>
          <w:rFonts w:asciiTheme="majorHAnsi" w:hAnsiTheme="majorHAnsi" w:cstheme="majorHAnsi"/>
          <w:color w:val="000000" w:themeColor="text1"/>
          <w:sz w:val="24"/>
          <w:szCs w:val="24"/>
          <w:lang w:val="ro-MD"/>
        </w:rPr>
        <w:t xml:space="preserve"> </w:t>
      </w:r>
    </w:p>
    <w:p w14:paraId="79AD78D9" w14:textId="7D5385B8" w:rsidR="00992FEF" w:rsidRPr="009E5B39" w:rsidRDefault="00992FEF" w:rsidP="00EF4BC3">
      <w:pPr>
        <w:tabs>
          <w:tab w:val="left" w:pos="270"/>
          <w:tab w:val="left" w:pos="1170"/>
        </w:tabs>
        <w:spacing w:after="0" w:line="276" w:lineRule="auto"/>
        <w:ind w:firstLine="709"/>
        <w:contextualSpacing/>
        <w:jc w:val="both"/>
        <w:rPr>
          <w:rFonts w:asciiTheme="majorHAnsi" w:hAnsiTheme="majorHAnsi" w:cstheme="majorHAnsi"/>
          <w:sz w:val="24"/>
          <w:szCs w:val="24"/>
          <w:lang w:val="ro-MD"/>
        </w:rPr>
      </w:pPr>
      <w:r w:rsidRPr="009E5B39">
        <w:rPr>
          <w:rFonts w:asciiTheme="majorHAnsi" w:hAnsiTheme="majorHAnsi" w:cstheme="majorHAnsi"/>
          <w:b/>
          <w:i/>
          <w:sz w:val="24"/>
          <w:szCs w:val="24"/>
          <w:lang w:val="ro-MD"/>
        </w:rPr>
        <w:t>Responsabilitatea echipei de audit</w:t>
      </w:r>
      <w:r w:rsidRPr="009E5B39">
        <w:rPr>
          <w:rFonts w:asciiTheme="majorHAnsi" w:eastAsia="Arial" w:hAnsiTheme="majorHAnsi" w:cstheme="majorHAnsi"/>
          <w:spacing w:val="1"/>
          <w:sz w:val="24"/>
          <w:szCs w:val="24"/>
          <w:lang w:val="ro-MD"/>
        </w:rPr>
        <w:t xml:space="preserve"> </w:t>
      </w:r>
      <w:r w:rsidRPr="009E5B39">
        <w:rPr>
          <w:rFonts w:asciiTheme="majorHAnsi" w:eastAsia="Calibri" w:hAnsiTheme="majorHAnsi" w:cstheme="majorHAnsi"/>
          <w:sz w:val="24"/>
          <w:szCs w:val="24"/>
          <w:lang w:val="ro-MD"/>
        </w:rPr>
        <w:t xml:space="preserve">a constat în colectarea unor probe de audit suficiente, pertinente și fiabile, care ar permite susținerea și justificarea constatărilor și concluziilor de audit referitor la conformitatea </w:t>
      </w:r>
      <w:r w:rsidRPr="009E5B39">
        <w:rPr>
          <w:rFonts w:asciiTheme="majorHAnsi" w:hAnsiTheme="majorHAnsi" w:cstheme="majorHAnsi"/>
          <w:sz w:val="24"/>
          <w:szCs w:val="24"/>
          <w:lang w:val="ro-MD"/>
        </w:rPr>
        <w:t xml:space="preserve">procesului bugetar și </w:t>
      </w:r>
      <w:r w:rsidR="003A26F4"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 xml:space="preserve">gestionării patrimoniului public de către UAT </w:t>
      </w:r>
      <w:r w:rsidR="00EC524A" w:rsidRPr="009E5B39">
        <w:rPr>
          <w:rFonts w:asciiTheme="majorHAnsi" w:hAnsiTheme="majorHAnsi" w:cstheme="majorHAnsi"/>
          <w:sz w:val="24"/>
          <w:szCs w:val="24"/>
          <w:lang w:val="ro-MD"/>
        </w:rPr>
        <w:t xml:space="preserve">mun. </w:t>
      </w:r>
      <w:r w:rsidRPr="009E5B39">
        <w:rPr>
          <w:rFonts w:asciiTheme="majorHAnsi" w:hAnsiTheme="majorHAnsi" w:cstheme="majorHAnsi"/>
          <w:sz w:val="24"/>
          <w:szCs w:val="24"/>
          <w:lang w:val="ro-MD"/>
        </w:rPr>
        <w:t>Chișinău în perioada anilor 2018 - 2020.</w:t>
      </w:r>
    </w:p>
    <w:p w14:paraId="0F0218EB" w14:textId="4D496438" w:rsidR="00992FEF" w:rsidRPr="009E5B39" w:rsidRDefault="00992FEF" w:rsidP="00EF4BC3">
      <w:pPr>
        <w:tabs>
          <w:tab w:val="left" w:pos="270"/>
        </w:tabs>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b/>
        <w:t>Auditorii au fost independenți față de entitățile în cadrul cărora au colectat probele de audit și și-au îndeplinit responsabilitățile de etică în conformitate cu cerințele Codului etic al Curții de Conturi</w:t>
      </w:r>
      <w:r w:rsidRPr="009E5B39">
        <w:rPr>
          <w:rFonts w:asciiTheme="majorHAnsi" w:eastAsia="Times New Roman" w:hAnsiTheme="majorHAnsi" w:cstheme="majorHAnsi"/>
          <w:sz w:val="24"/>
          <w:szCs w:val="24"/>
          <w:vertAlign w:val="superscript"/>
          <w:lang w:val="ro-MD"/>
        </w:rPr>
        <w:footnoteReference w:id="20"/>
      </w:r>
      <w:r w:rsidRPr="009E5B39">
        <w:rPr>
          <w:rFonts w:asciiTheme="majorHAnsi" w:hAnsiTheme="majorHAnsi" w:cstheme="majorHAnsi"/>
          <w:sz w:val="24"/>
          <w:szCs w:val="24"/>
          <w:lang w:val="ro-MD"/>
        </w:rPr>
        <w:t>. Auditorul nu este responsabil de prevenirea faptelor de fraudă și eroare.</w:t>
      </w:r>
    </w:p>
    <w:p w14:paraId="021FA10E" w14:textId="77777777" w:rsidR="00D6572D" w:rsidRPr="009E5B39" w:rsidRDefault="00D6572D" w:rsidP="006B4149">
      <w:pPr>
        <w:spacing w:after="0"/>
        <w:rPr>
          <w:lang w:val="ro-MD"/>
        </w:rPr>
      </w:pPr>
    </w:p>
    <w:p w14:paraId="3242DB32" w14:textId="437F34F6" w:rsidR="009860FA" w:rsidRPr="009E5B39" w:rsidRDefault="009860FA" w:rsidP="006B4149">
      <w:pPr>
        <w:keepNext/>
        <w:keepLines/>
        <w:spacing w:after="0" w:line="276" w:lineRule="auto"/>
        <w:jc w:val="both"/>
        <w:outlineLvl w:val="0"/>
        <w:rPr>
          <w:rFonts w:asciiTheme="majorHAnsi" w:eastAsiaTheme="majorEastAsia" w:hAnsiTheme="majorHAnsi" w:cstheme="majorHAnsi"/>
          <w:b/>
          <w:sz w:val="28"/>
          <w:szCs w:val="28"/>
          <w:lang w:val="ro-MD"/>
        </w:rPr>
      </w:pPr>
      <w:bookmarkStart w:id="8" w:name="_Toc116026876"/>
      <w:r w:rsidRPr="009E5B39">
        <w:rPr>
          <w:rFonts w:asciiTheme="majorHAnsi" w:eastAsiaTheme="majorEastAsia" w:hAnsiTheme="majorHAnsi" w:cstheme="majorHAnsi"/>
          <w:b/>
          <w:sz w:val="28"/>
          <w:szCs w:val="28"/>
          <w:lang w:val="ro-MD"/>
        </w:rPr>
        <w:t>IV. CONSTATĂRI</w:t>
      </w:r>
      <w:bookmarkEnd w:id="8"/>
    </w:p>
    <w:p w14:paraId="49DFC98E" w14:textId="10F29785" w:rsidR="009860FA" w:rsidRPr="009E5B39" w:rsidRDefault="0093295F" w:rsidP="007102DC">
      <w:pPr>
        <w:keepNext/>
        <w:keepLines/>
        <w:spacing w:after="0" w:line="276" w:lineRule="auto"/>
        <w:jc w:val="both"/>
        <w:outlineLvl w:val="1"/>
        <w:rPr>
          <w:rFonts w:asciiTheme="majorHAnsi" w:eastAsiaTheme="majorEastAsia" w:hAnsiTheme="majorHAnsi" w:cstheme="majorHAnsi"/>
          <w:b/>
          <w:i/>
          <w:sz w:val="24"/>
          <w:szCs w:val="24"/>
          <w:lang w:val="ro-MD"/>
        </w:rPr>
      </w:pPr>
      <w:bookmarkStart w:id="9" w:name="_Toc116026877"/>
      <w:r w:rsidRPr="009E5B39">
        <w:rPr>
          <w:rFonts w:asciiTheme="majorHAnsi" w:eastAsiaTheme="majorEastAsia" w:hAnsiTheme="majorHAnsi" w:cstheme="majorHAnsi"/>
          <w:b/>
          <w:i/>
          <w:iCs/>
          <w:sz w:val="24"/>
          <w:szCs w:val="24"/>
          <w:lang w:val="ro-MD"/>
        </w:rPr>
        <w:t xml:space="preserve">4.1. </w:t>
      </w:r>
      <w:r w:rsidR="00C8463B" w:rsidRPr="009E5B39">
        <w:rPr>
          <w:rFonts w:asciiTheme="majorHAnsi" w:eastAsiaTheme="majorEastAsia" w:hAnsiTheme="majorHAnsi" w:cstheme="majorHAnsi"/>
          <w:b/>
          <w:i/>
          <w:iCs/>
          <w:sz w:val="24"/>
          <w:szCs w:val="24"/>
          <w:lang w:val="ro-MD"/>
        </w:rPr>
        <w:t>Obiectivul I</w:t>
      </w:r>
      <w:r w:rsidR="002B5A5A" w:rsidRPr="009E5B39">
        <w:rPr>
          <w:rFonts w:asciiTheme="majorHAnsi" w:eastAsiaTheme="majorEastAsia" w:hAnsiTheme="majorHAnsi" w:cstheme="majorHAnsi"/>
          <w:b/>
          <w:i/>
          <w:iCs/>
          <w:sz w:val="24"/>
          <w:szCs w:val="24"/>
          <w:lang w:val="ro-MD"/>
        </w:rPr>
        <w:t xml:space="preserve"> :</w:t>
      </w:r>
      <w:r w:rsidR="009860FA" w:rsidRPr="009E5B39">
        <w:rPr>
          <w:rFonts w:asciiTheme="majorHAnsi" w:eastAsiaTheme="majorEastAsia" w:hAnsiTheme="majorHAnsi" w:cstheme="majorHAnsi"/>
          <w:b/>
          <w:i/>
          <w:sz w:val="24"/>
          <w:szCs w:val="24"/>
          <w:lang w:val="ro-MD"/>
        </w:rPr>
        <w:t xml:space="preserve"> A identificat, a evaluat și a colectat </w:t>
      </w:r>
      <w:r w:rsidR="009860FA" w:rsidRPr="009E5B39">
        <w:rPr>
          <w:rFonts w:asciiTheme="majorHAnsi" w:eastAsiaTheme="majorEastAsia" w:hAnsiTheme="majorHAnsi" w:cstheme="majorHAnsi"/>
          <w:b/>
          <w:i/>
          <w:sz w:val="24"/>
          <w:szCs w:val="24"/>
          <w:shd w:val="clear" w:color="auto" w:fill="FFFFFF"/>
          <w:lang w:val="ro-MD"/>
        </w:rPr>
        <w:t xml:space="preserve">UAT </w:t>
      </w:r>
      <w:r w:rsidR="009860FA" w:rsidRPr="009E5B39">
        <w:rPr>
          <w:rFonts w:asciiTheme="majorHAnsi" w:eastAsiaTheme="majorEastAsia" w:hAnsiTheme="majorHAnsi" w:cstheme="majorHAnsi"/>
          <w:b/>
          <w:i/>
          <w:sz w:val="24"/>
          <w:szCs w:val="24"/>
          <w:lang w:val="ro-MD"/>
        </w:rPr>
        <w:t>veniturile bugetare în conformitate cu cadrul legal și regulator aferent?</w:t>
      </w:r>
      <w:bookmarkEnd w:id="9"/>
    </w:p>
    <w:p w14:paraId="79EF3568" w14:textId="3DD74137" w:rsidR="00691360" w:rsidRPr="009E5B39" w:rsidRDefault="00691360" w:rsidP="0026150B">
      <w:pPr>
        <w:spacing w:after="0"/>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Procesul de planificare a veniturilor bugetului mun</w:t>
      </w:r>
      <w:r w:rsidR="00D6572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00D6572D" w:rsidRPr="009E5B39">
        <w:rPr>
          <w:rFonts w:asciiTheme="majorHAnsi" w:hAnsiTheme="majorHAnsi" w:cstheme="majorHAnsi"/>
          <w:sz w:val="24"/>
          <w:szCs w:val="24"/>
          <w:lang w:val="ro-MD"/>
        </w:rPr>
        <w:t>Chișinău</w:t>
      </w:r>
      <w:r w:rsidRPr="009E5B39">
        <w:rPr>
          <w:rFonts w:asciiTheme="majorHAnsi" w:hAnsiTheme="majorHAnsi" w:cstheme="majorHAnsi"/>
          <w:sz w:val="24"/>
          <w:szCs w:val="24"/>
          <w:lang w:val="ro-MD"/>
        </w:rPr>
        <w:t xml:space="preserve"> este unul fragmentar  și  neracordat la principiul </w:t>
      </w:r>
      <w:r w:rsidR="0093295F" w:rsidRPr="009E5B39">
        <w:rPr>
          <w:rFonts w:asciiTheme="majorHAnsi" w:hAnsiTheme="majorHAnsi" w:cstheme="majorHAnsi"/>
          <w:sz w:val="24"/>
          <w:szCs w:val="24"/>
          <w:lang w:val="ro-MD"/>
        </w:rPr>
        <w:t>bunei guvernări</w:t>
      </w:r>
      <w:r w:rsidRPr="009E5B39">
        <w:rPr>
          <w:rFonts w:asciiTheme="majorHAnsi" w:hAnsiTheme="majorHAnsi" w:cstheme="majorHAnsi"/>
          <w:sz w:val="24"/>
          <w:szCs w:val="24"/>
          <w:lang w:val="ro-MD"/>
        </w:rPr>
        <w:t xml:space="preserve">. Această situație este cauzată de imperfecțiunea cadrului normativ, precum și de preocuparea insuficientă a </w:t>
      </w:r>
      <w:r w:rsidR="0093295F" w:rsidRPr="009E5B39">
        <w:rPr>
          <w:rFonts w:asciiTheme="majorHAnsi" w:hAnsiTheme="majorHAnsi" w:cstheme="majorHAnsi"/>
          <w:sz w:val="24"/>
          <w:szCs w:val="24"/>
          <w:lang w:val="ro-MD"/>
        </w:rPr>
        <w:t xml:space="preserve">APL </w:t>
      </w:r>
      <w:r w:rsidRPr="009E5B39">
        <w:rPr>
          <w:rFonts w:asciiTheme="majorHAnsi" w:hAnsiTheme="majorHAnsi" w:cstheme="majorHAnsi"/>
          <w:sz w:val="24"/>
          <w:szCs w:val="24"/>
          <w:lang w:val="ro-MD"/>
        </w:rPr>
        <w:t xml:space="preserve">în </w:t>
      </w:r>
      <w:r w:rsidR="00C8463B" w:rsidRPr="009E5B39">
        <w:rPr>
          <w:rFonts w:asciiTheme="majorHAnsi" w:hAnsiTheme="majorHAnsi" w:cstheme="majorHAnsi"/>
          <w:sz w:val="24"/>
          <w:szCs w:val="24"/>
          <w:lang w:val="ro-MD"/>
        </w:rPr>
        <w:t>ce privește</w:t>
      </w:r>
      <w:r w:rsidRPr="009E5B39">
        <w:rPr>
          <w:rFonts w:asciiTheme="majorHAnsi" w:hAnsiTheme="majorHAnsi" w:cstheme="majorHAnsi"/>
          <w:sz w:val="24"/>
          <w:szCs w:val="24"/>
          <w:lang w:val="ro-MD"/>
        </w:rPr>
        <w:t xml:space="preserve"> deținer</w:t>
      </w:r>
      <w:r w:rsidR="00C8463B" w:rsidRPr="009E5B39">
        <w:rPr>
          <w:rFonts w:asciiTheme="majorHAnsi" w:hAnsiTheme="majorHAnsi" w:cstheme="majorHAnsi"/>
          <w:sz w:val="24"/>
          <w:szCs w:val="24"/>
          <w:lang w:val="ro-MD"/>
        </w:rPr>
        <w:t>ea</w:t>
      </w:r>
      <w:r w:rsidRPr="009E5B39">
        <w:rPr>
          <w:rFonts w:asciiTheme="majorHAnsi" w:hAnsiTheme="majorHAnsi" w:cstheme="majorHAnsi"/>
          <w:sz w:val="24"/>
          <w:szCs w:val="24"/>
          <w:lang w:val="ro-MD"/>
        </w:rPr>
        <w:t xml:space="preserve"> informației exhaustive și veridice ce țin</w:t>
      </w:r>
      <w:r w:rsidR="00C8463B"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de indicatorii care stau la baza calculării veniturilor din taxele locale stabilite pe teritoriul UAT </w:t>
      </w:r>
      <w:r w:rsidR="00EC524A" w:rsidRPr="009E5B39">
        <w:rPr>
          <w:rFonts w:asciiTheme="majorHAnsi" w:hAnsiTheme="majorHAnsi" w:cstheme="majorHAnsi"/>
          <w:sz w:val="24"/>
          <w:szCs w:val="24"/>
          <w:lang w:val="ro-MD"/>
        </w:rPr>
        <w:t>mun.</w:t>
      </w:r>
      <w:r w:rsidR="00264362"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Chișinău, ceea ce condiționează planificarea neadecvată a acestora si afectează calitatea serviciilor acordate cetățenilor.</w:t>
      </w:r>
    </w:p>
    <w:p w14:paraId="070852FA" w14:textId="21E7F96E" w:rsidR="00F73FFB" w:rsidRPr="009E5B39" w:rsidRDefault="009860FA" w:rsidP="00733EAC">
      <w:pPr>
        <w:spacing w:after="0" w:line="276" w:lineRule="auto"/>
        <w:jc w:val="both"/>
        <w:rPr>
          <w:rFonts w:asciiTheme="majorHAnsi" w:eastAsia="Calibri" w:hAnsiTheme="majorHAnsi" w:cstheme="majorHAnsi"/>
          <w:i/>
          <w:sz w:val="24"/>
          <w:szCs w:val="24"/>
          <w:lang w:val="ro-MD"/>
        </w:rPr>
      </w:pPr>
      <w:r w:rsidRPr="009E5B39">
        <w:rPr>
          <w:rFonts w:asciiTheme="majorHAnsi" w:hAnsiTheme="majorHAnsi" w:cstheme="majorHAnsi"/>
          <w:b/>
          <w:i/>
          <w:iCs/>
          <w:sz w:val="24"/>
          <w:szCs w:val="24"/>
          <w:lang w:val="ro-MD"/>
        </w:rPr>
        <w:t>4.1.1.</w:t>
      </w:r>
      <w:r w:rsidRPr="009E5B39">
        <w:rPr>
          <w:rFonts w:asciiTheme="majorHAnsi" w:hAnsiTheme="majorHAnsi" w:cstheme="majorHAnsi"/>
          <w:i/>
          <w:iCs/>
          <w:sz w:val="24"/>
          <w:szCs w:val="24"/>
          <w:lang w:val="ro-MD"/>
        </w:rPr>
        <w:t xml:space="preserve"> </w:t>
      </w:r>
      <w:r w:rsidRPr="009E5B39">
        <w:rPr>
          <w:rFonts w:asciiTheme="majorHAnsi" w:eastAsia="Calibri" w:hAnsiTheme="majorHAnsi" w:cstheme="majorHAnsi"/>
          <w:b/>
          <w:i/>
          <w:iCs/>
          <w:sz w:val="24"/>
          <w:szCs w:val="24"/>
          <w:lang w:val="ro-MD"/>
        </w:rPr>
        <w:t xml:space="preserve"> </w:t>
      </w:r>
      <w:r w:rsidR="00295664" w:rsidRPr="009E5B39">
        <w:rPr>
          <w:rFonts w:asciiTheme="majorHAnsi" w:eastAsia="Calibri" w:hAnsiTheme="majorHAnsi" w:cstheme="majorHAnsi"/>
          <w:b/>
          <w:i/>
          <w:sz w:val="24"/>
          <w:szCs w:val="24"/>
          <w:lang w:val="ro-MD"/>
        </w:rPr>
        <w:t>Lipsa</w:t>
      </w:r>
      <w:r w:rsidRPr="009E5B39">
        <w:rPr>
          <w:rFonts w:asciiTheme="majorHAnsi" w:eastAsia="Calibri" w:hAnsiTheme="majorHAnsi" w:cstheme="majorHAnsi"/>
          <w:b/>
          <w:i/>
          <w:sz w:val="24"/>
          <w:szCs w:val="24"/>
          <w:lang w:val="ro-MD"/>
        </w:rPr>
        <w:t xml:space="preserve"> cadrul</w:t>
      </w:r>
      <w:r w:rsidR="00295664" w:rsidRPr="009E5B39">
        <w:rPr>
          <w:rFonts w:asciiTheme="majorHAnsi" w:eastAsia="Calibri" w:hAnsiTheme="majorHAnsi" w:cstheme="majorHAnsi"/>
          <w:b/>
          <w:i/>
          <w:sz w:val="24"/>
          <w:szCs w:val="24"/>
          <w:lang w:val="ro-MD"/>
        </w:rPr>
        <w:t>ui</w:t>
      </w:r>
      <w:r w:rsidRPr="009E5B39">
        <w:rPr>
          <w:rFonts w:asciiTheme="majorHAnsi" w:eastAsia="Calibri" w:hAnsiTheme="majorHAnsi" w:cstheme="majorHAnsi"/>
          <w:b/>
          <w:i/>
          <w:sz w:val="24"/>
          <w:szCs w:val="24"/>
          <w:lang w:val="ro-MD"/>
        </w:rPr>
        <w:t xml:space="preserve"> normativ care ar reglementa mecanismul de reflectare și raportare</w:t>
      </w:r>
      <w:r w:rsidR="00295664" w:rsidRPr="009E5B39">
        <w:rPr>
          <w:rFonts w:asciiTheme="majorHAnsi" w:eastAsia="Calibri" w:hAnsiTheme="majorHAnsi" w:cstheme="majorHAnsi"/>
          <w:b/>
          <w:i/>
          <w:sz w:val="24"/>
          <w:szCs w:val="24"/>
          <w:lang w:val="ro-MD"/>
        </w:rPr>
        <w:t xml:space="preserve"> </w:t>
      </w:r>
      <w:r w:rsidRPr="009E5B39">
        <w:rPr>
          <w:rFonts w:asciiTheme="majorHAnsi" w:eastAsia="Calibri" w:hAnsiTheme="majorHAnsi" w:cstheme="majorHAnsi"/>
          <w:b/>
          <w:i/>
          <w:sz w:val="24"/>
          <w:szCs w:val="24"/>
          <w:lang w:val="ro-MD"/>
        </w:rPr>
        <w:t xml:space="preserve"> </w:t>
      </w:r>
      <w:r w:rsidR="00F73FFB" w:rsidRPr="009E5B39">
        <w:rPr>
          <w:rFonts w:asciiTheme="majorHAnsi" w:eastAsia="Calibri" w:hAnsiTheme="majorHAnsi" w:cstheme="majorHAnsi"/>
          <w:b/>
          <w:bCs/>
          <w:i/>
          <w:sz w:val="24"/>
          <w:szCs w:val="24"/>
          <w:lang w:val="ro-MD"/>
        </w:rPr>
        <w:t>de către APL</w:t>
      </w:r>
      <w:r w:rsidR="00F73FFB" w:rsidRPr="009E5B39">
        <w:rPr>
          <w:rFonts w:asciiTheme="majorHAnsi" w:eastAsia="Calibri" w:hAnsiTheme="majorHAnsi" w:cstheme="majorHAnsi"/>
          <w:i/>
          <w:sz w:val="24"/>
          <w:szCs w:val="24"/>
          <w:lang w:val="ro-MD"/>
        </w:rPr>
        <w:t xml:space="preserve"> </w:t>
      </w:r>
      <w:r w:rsidRPr="009E5B39">
        <w:rPr>
          <w:rFonts w:asciiTheme="majorHAnsi" w:eastAsia="Calibri" w:hAnsiTheme="majorHAnsi" w:cstheme="majorHAnsi"/>
          <w:b/>
          <w:i/>
          <w:sz w:val="24"/>
          <w:szCs w:val="24"/>
          <w:lang w:val="ro-MD"/>
        </w:rPr>
        <w:t xml:space="preserve">a soldurilor creanțelor și datoriilor, calculelor și achitărilor, aferente impozitelor și taxelor locale, </w:t>
      </w:r>
      <w:r w:rsidR="00F200AD" w:rsidRPr="009E5B39">
        <w:rPr>
          <w:rFonts w:asciiTheme="majorHAnsi" w:eastAsia="Calibri" w:hAnsiTheme="majorHAnsi" w:cstheme="majorHAnsi"/>
          <w:b/>
          <w:i/>
          <w:sz w:val="24"/>
          <w:szCs w:val="24"/>
          <w:lang w:val="ro-MD"/>
        </w:rPr>
        <w:t xml:space="preserve">provoacă efecte nefaste care pun AAPL în imposibilitatea de a respecta  principiul evidenței de angajamente. </w:t>
      </w:r>
      <w:r w:rsidR="00FB0BEB" w:rsidRPr="009E5B39">
        <w:rPr>
          <w:rFonts w:asciiTheme="majorHAnsi" w:eastAsia="Calibri" w:hAnsiTheme="majorHAnsi" w:cstheme="majorHAnsi"/>
          <w:b/>
          <w:i/>
          <w:iCs/>
          <w:sz w:val="24"/>
          <w:szCs w:val="24"/>
          <w:lang w:val="ro-MD"/>
        </w:rPr>
        <w:t>Ministerul</w:t>
      </w:r>
      <w:r w:rsidR="00FB0BEB" w:rsidRPr="009E5B39">
        <w:rPr>
          <w:rFonts w:asciiTheme="majorHAnsi" w:eastAsia="Calibri" w:hAnsiTheme="majorHAnsi" w:cstheme="majorHAnsi"/>
          <w:b/>
          <w:i/>
          <w:sz w:val="24"/>
          <w:szCs w:val="24"/>
          <w:lang w:val="ro-MD"/>
        </w:rPr>
        <w:t xml:space="preserve"> Finanțelor ar trebui să-și planifice pe termen scurt/mediu activitatea de elaborare și aprobare a unui asemenea mecanism.</w:t>
      </w:r>
      <w:r w:rsidR="00F73FFB" w:rsidRPr="009E5B39">
        <w:rPr>
          <w:rFonts w:asciiTheme="majorHAnsi" w:eastAsia="Calibri" w:hAnsiTheme="majorHAnsi" w:cstheme="majorHAnsi"/>
          <w:b/>
          <w:i/>
          <w:sz w:val="24"/>
          <w:szCs w:val="24"/>
          <w:lang w:val="ro-MD"/>
        </w:rPr>
        <w:t xml:space="preserve"> </w:t>
      </w:r>
      <w:r w:rsidRPr="009E5B39">
        <w:rPr>
          <w:rFonts w:asciiTheme="majorHAnsi" w:eastAsia="Calibri" w:hAnsiTheme="majorHAnsi" w:cstheme="majorHAnsi"/>
          <w:bCs/>
          <w:sz w:val="24"/>
          <w:szCs w:val="24"/>
          <w:lang w:val="ro-MD"/>
        </w:rPr>
        <w:t xml:space="preserve">Deși </w:t>
      </w:r>
      <w:r w:rsidRPr="009E5B39">
        <w:rPr>
          <w:rFonts w:asciiTheme="majorHAnsi" w:eastAsia="Calibri" w:hAnsiTheme="majorHAnsi" w:cstheme="majorHAnsi"/>
          <w:sz w:val="24"/>
          <w:szCs w:val="24"/>
          <w:lang w:val="ro-MD"/>
        </w:rPr>
        <w:t>autoritățile executive locale administrează bugetele locale și urmează să asigure corectitudinea și veridicitatea datelor, ale indicilor și ale altor informații în baza cărora a fost elaborat bugetul respectiv</w:t>
      </w:r>
      <w:r w:rsidRPr="009E5B39">
        <w:rPr>
          <w:rFonts w:asciiTheme="majorHAnsi" w:eastAsia="Calibri" w:hAnsiTheme="majorHAnsi" w:cstheme="majorHAnsi"/>
          <w:sz w:val="24"/>
          <w:szCs w:val="24"/>
          <w:vertAlign w:val="superscript"/>
          <w:lang w:val="ro-MD"/>
        </w:rPr>
        <w:footnoteReference w:id="21"/>
      </w:r>
      <w:r w:rsidRPr="009E5B39">
        <w:rPr>
          <w:rFonts w:asciiTheme="majorHAnsi" w:eastAsia="Calibri" w:hAnsiTheme="majorHAnsi" w:cstheme="majorHAnsi"/>
          <w:sz w:val="24"/>
          <w:szCs w:val="24"/>
          <w:lang w:val="ro-MD"/>
        </w:rPr>
        <w:t>,</w:t>
      </w:r>
      <w:r w:rsidRPr="009E5B39">
        <w:rPr>
          <w:rFonts w:asciiTheme="majorHAnsi" w:eastAsia="Calibri" w:hAnsiTheme="majorHAnsi" w:cstheme="majorHAnsi"/>
          <w:bCs/>
          <w:i/>
          <w:sz w:val="24"/>
          <w:szCs w:val="24"/>
          <w:lang w:val="ro-MD"/>
        </w:rPr>
        <w:t xml:space="preserve"> sarcinile de încasare și de administrare a veniturilor, inclusiv a plăților nefiscale, sunt îndeplinite de către SFS.</w:t>
      </w:r>
      <w:r w:rsidRPr="009E5B39">
        <w:rPr>
          <w:rFonts w:asciiTheme="majorHAnsi" w:eastAsia="Calibri" w:hAnsiTheme="majorHAnsi" w:cstheme="majorHAnsi"/>
          <w:bCs/>
          <w:sz w:val="24"/>
          <w:szCs w:val="24"/>
          <w:lang w:val="ro-MD"/>
        </w:rPr>
        <w:t xml:space="preserve"> Această situație este justificată prin prevederile cadrului normativ existent</w:t>
      </w:r>
      <w:r w:rsidRPr="009E5B39">
        <w:rPr>
          <w:rFonts w:asciiTheme="majorHAnsi" w:eastAsia="Calibri" w:hAnsiTheme="majorHAnsi" w:cstheme="majorHAnsi"/>
          <w:sz w:val="24"/>
          <w:szCs w:val="24"/>
          <w:vertAlign w:val="superscript"/>
          <w:lang w:val="ro-MD"/>
        </w:rPr>
        <w:footnoteReference w:id="22"/>
      </w:r>
      <w:r w:rsidRPr="009E5B39">
        <w:rPr>
          <w:rFonts w:asciiTheme="majorHAnsi" w:eastAsia="Calibri" w:hAnsiTheme="majorHAnsi" w:cstheme="majorHAnsi"/>
          <w:bCs/>
          <w:sz w:val="24"/>
          <w:szCs w:val="24"/>
          <w:lang w:val="ro-MD"/>
        </w:rPr>
        <w:t>, cu excepția a patru tipuri de impozite și taxe</w:t>
      </w:r>
      <w:r w:rsidRPr="009E5B39">
        <w:rPr>
          <w:rFonts w:asciiTheme="majorHAnsi" w:eastAsia="Calibri" w:hAnsiTheme="majorHAnsi" w:cstheme="majorHAnsi"/>
          <w:bCs/>
          <w:sz w:val="24"/>
          <w:szCs w:val="24"/>
          <w:vertAlign w:val="superscript"/>
          <w:lang w:val="ro-MD"/>
        </w:rPr>
        <w:footnoteReference w:id="23"/>
      </w:r>
      <w:r w:rsidRPr="009E5B39">
        <w:rPr>
          <w:rFonts w:asciiTheme="majorHAnsi" w:eastAsia="Calibri" w:hAnsiTheme="majorHAnsi" w:cstheme="majorHAnsi"/>
          <w:bCs/>
          <w:sz w:val="24"/>
          <w:szCs w:val="24"/>
          <w:lang w:val="ro-MD"/>
        </w:rPr>
        <w:t>, administrate de către Direcția de colectare a impozitelor și taxelor locale</w:t>
      </w:r>
      <w:r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bCs/>
          <w:sz w:val="24"/>
          <w:szCs w:val="24"/>
          <w:lang w:val="ro-MD"/>
        </w:rPr>
        <w:t>din cadrul primăriei. Chiar dacă legislația fiscală prevede că SFS exercită controlul asupra modului în care autoritățile publice locale (APL) execută atribuțiile stabilite</w:t>
      </w:r>
      <w:r w:rsidRPr="009E5B39">
        <w:rPr>
          <w:rFonts w:asciiTheme="majorHAnsi" w:eastAsia="Calibri" w:hAnsiTheme="majorHAnsi" w:cstheme="majorHAnsi"/>
          <w:sz w:val="24"/>
          <w:szCs w:val="24"/>
          <w:vertAlign w:val="superscript"/>
          <w:lang w:val="ro-MD"/>
        </w:rPr>
        <w:footnoteReference w:id="24"/>
      </w:r>
      <w:r w:rsidRPr="009E5B39">
        <w:rPr>
          <w:rFonts w:asciiTheme="majorHAnsi" w:eastAsia="Calibri" w:hAnsiTheme="majorHAnsi" w:cstheme="majorHAnsi"/>
          <w:bCs/>
          <w:sz w:val="24"/>
          <w:szCs w:val="24"/>
          <w:lang w:val="ro-MD"/>
        </w:rPr>
        <w:t>, în realitate SFS deține controlul integral asupra administrării acestor taxe.</w:t>
      </w:r>
      <w:r w:rsidRPr="009E5B39">
        <w:rPr>
          <w:rFonts w:asciiTheme="majorHAnsi" w:eastAsia="Calibri" w:hAnsiTheme="majorHAnsi" w:cstheme="majorHAnsi"/>
          <w:sz w:val="24"/>
          <w:szCs w:val="24"/>
          <w:lang w:val="ro-MD"/>
        </w:rPr>
        <w:t xml:space="preserve"> E</w:t>
      </w:r>
      <w:r w:rsidRPr="009E5B39">
        <w:rPr>
          <w:rFonts w:asciiTheme="majorHAnsi" w:eastAsia="Calibri" w:hAnsiTheme="majorHAnsi" w:cstheme="majorHAnsi"/>
          <w:bCs/>
          <w:sz w:val="24"/>
          <w:szCs w:val="24"/>
          <w:lang w:val="ro-MD"/>
        </w:rPr>
        <w:t>vidența ținută de SFS nu asigură AAPL cu informația necesară pentru ținerea evidenței conforme a veniturilor calculate, a datoriilor și a plăților efectuate de contribuabili în avans.</w:t>
      </w:r>
      <w:r w:rsidR="00521256" w:rsidRPr="009E5B39">
        <w:rPr>
          <w:rFonts w:asciiTheme="majorHAnsi" w:eastAsia="Calibri" w:hAnsiTheme="majorHAnsi" w:cstheme="majorHAnsi"/>
          <w:bCs/>
          <w:sz w:val="24"/>
          <w:szCs w:val="24"/>
          <w:lang w:val="ro-MD"/>
        </w:rPr>
        <w:t xml:space="preserve"> </w:t>
      </w:r>
      <w:r w:rsidR="00521256" w:rsidRPr="009E5B39">
        <w:rPr>
          <w:rFonts w:asciiTheme="majorHAnsi" w:eastAsia="Calibri" w:hAnsiTheme="majorHAnsi" w:cstheme="majorHAnsi"/>
          <w:i/>
          <w:sz w:val="24"/>
          <w:szCs w:val="24"/>
          <w:lang w:val="ro-MD"/>
        </w:rPr>
        <w:t>Informația privind sumele calculate</w:t>
      </w:r>
      <w:r w:rsidR="00EC1413" w:rsidRPr="009E5B39">
        <w:rPr>
          <w:rFonts w:asciiTheme="majorHAnsi" w:eastAsia="Calibri" w:hAnsiTheme="majorHAnsi" w:cstheme="majorHAnsi"/>
          <w:i/>
          <w:sz w:val="24"/>
          <w:szCs w:val="24"/>
          <w:lang w:val="ro-MD"/>
        </w:rPr>
        <w:t>,</w:t>
      </w:r>
      <w:r w:rsidR="00521256" w:rsidRPr="009E5B39">
        <w:rPr>
          <w:rFonts w:asciiTheme="majorHAnsi" w:eastAsia="Calibri" w:hAnsiTheme="majorHAnsi" w:cstheme="majorHAnsi"/>
          <w:i/>
          <w:sz w:val="24"/>
          <w:szCs w:val="24"/>
          <w:lang w:val="ro-MD"/>
        </w:rPr>
        <w:t xml:space="preserve"> stinse (achitate) și restante aferente clasificației veniturilor bugetare </w:t>
      </w:r>
      <w:r w:rsidR="00704932" w:rsidRPr="00F14EEC">
        <w:rPr>
          <w:rFonts w:asciiTheme="majorHAnsi" w:eastAsia="Calibri" w:hAnsiTheme="majorHAnsi" w:cstheme="majorHAnsi"/>
          <w:i/>
          <w:sz w:val="24"/>
          <w:szCs w:val="24"/>
          <w:lang w:val="ro-MD"/>
        </w:rPr>
        <w:t>neînregistrate în evidența contabilă a APL</w:t>
      </w:r>
      <w:r w:rsidR="00704932" w:rsidRPr="009E5B39">
        <w:rPr>
          <w:rFonts w:asciiTheme="majorHAnsi" w:eastAsia="Calibri" w:hAnsiTheme="majorHAnsi" w:cstheme="majorHAnsi"/>
          <w:i/>
          <w:sz w:val="24"/>
          <w:szCs w:val="24"/>
          <w:lang w:val="ro-MD"/>
        </w:rPr>
        <w:t xml:space="preserve"> </w:t>
      </w:r>
      <w:r w:rsidR="00521256" w:rsidRPr="009E5B39">
        <w:rPr>
          <w:rFonts w:asciiTheme="majorHAnsi" w:eastAsia="Calibri" w:hAnsiTheme="majorHAnsi" w:cstheme="majorHAnsi"/>
          <w:i/>
          <w:sz w:val="24"/>
          <w:szCs w:val="24"/>
          <w:lang w:val="ro-MD"/>
        </w:rPr>
        <w:t>se prezintă în Anexa nr.3 la Raport.</w:t>
      </w:r>
    </w:p>
    <w:p w14:paraId="15B166EF" w14:textId="6548DF16" w:rsidR="009860FA" w:rsidRPr="009E5B39" w:rsidRDefault="009860FA" w:rsidP="003C5073">
      <w:pPr>
        <w:spacing w:after="0" w:line="276" w:lineRule="auto"/>
        <w:jc w:val="both"/>
        <w:rPr>
          <w:rFonts w:asciiTheme="majorHAnsi" w:eastAsia="Calibri" w:hAnsiTheme="majorHAnsi" w:cstheme="majorHAnsi"/>
          <w:sz w:val="24"/>
          <w:szCs w:val="24"/>
          <w:lang w:val="ro-MD"/>
        </w:rPr>
      </w:pPr>
      <w:r w:rsidRPr="009E5B39">
        <w:rPr>
          <w:rFonts w:asciiTheme="majorHAnsi" w:eastAsia="Calibri" w:hAnsiTheme="majorHAnsi" w:cstheme="majorHAnsi"/>
          <w:b/>
          <w:bCs/>
          <w:i/>
          <w:iCs/>
          <w:sz w:val="24"/>
          <w:szCs w:val="24"/>
          <w:lang w:val="ro-MD"/>
        </w:rPr>
        <w:t>4.1.2.</w:t>
      </w:r>
      <w:r w:rsidRPr="009E5B39">
        <w:rPr>
          <w:rFonts w:asciiTheme="majorHAnsi" w:eastAsia="Calibri" w:hAnsiTheme="majorHAnsi" w:cstheme="majorHAnsi"/>
          <w:bCs/>
          <w:sz w:val="24"/>
          <w:szCs w:val="24"/>
          <w:lang w:val="ro-MD"/>
        </w:rPr>
        <w:t xml:space="preserve"> </w:t>
      </w:r>
      <w:r w:rsidRPr="009E5B39">
        <w:rPr>
          <w:rFonts w:asciiTheme="majorHAnsi" w:eastAsia="Calibri" w:hAnsiTheme="majorHAnsi" w:cstheme="majorHAnsi"/>
          <w:b/>
          <w:i/>
          <w:sz w:val="24"/>
          <w:szCs w:val="24"/>
          <w:lang w:val="ro-MD"/>
        </w:rPr>
        <w:t>SFS și DCITL nu asigură o evidență analitică conformă a soldurilor creanțelor și datoriilor, calculelor și achitărilor aferente impozitelor și taxelor locale.</w:t>
      </w:r>
      <w:r w:rsidRPr="009E5B39">
        <w:rPr>
          <w:rFonts w:asciiTheme="majorHAnsi" w:eastAsia="Calibri" w:hAnsiTheme="majorHAnsi" w:cstheme="majorHAnsi"/>
          <w:sz w:val="24"/>
          <w:szCs w:val="24"/>
          <w:lang w:val="ro-MD"/>
        </w:rPr>
        <w:t xml:space="preserve"> Astfel, SFS nu a asigurat introducerea în sistemul său informațional a calculelor pentru toate tipurile de impozite, taxe și plăți, veniturile de la care s-au încasat în BUAT</w:t>
      </w:r>
      <w:r w:rsidRPr="009E5B39">
        <w:rPr>
          <w:rFonts w:asciiTheme="majorHAnsi" w:eastAsia="Calibri" w:hAnsiTheme="majorHAnsi" w:cstheme="majorHAnsi"/>
          <w:sz w:val="24"/>
          <w:szCs w:val="24"/>
          <w:vertAlign w:val="superscript"/>
          <w:lang w:val="ro-MD"/>
        </w:rPr>
        <w:footnoteReference w:id="25"/>
      </w:r>
      <w:r w:rsidRPr="009E5B39">
        <w:rPr>
          <w:rFonts w:asciiTheme="majorHAnsi" w:eastAsia="Calibri" w:hAnsiTheme="majorHAnsi" w:cstheme="majorHAnsi"/>
          <w:sz w:val="24"/>
          <w:szCs w:val="24"/>
          <w:lang w:val="ro-MD"/>
        </w:rPr>
        <w:t xml:space="preserve">. Ca urmare, SFS, la sfârșitul anului, anulează soldurile </w:t>
      </w:r>
      <w:r w:rsidR="00320313" w:rsidRPr="009E5B39">
        <w:rPr>
          <w:rFonts w:asciiTheme="majorHAnsi" w:eastAsia="Calibri" w:hAnsiTheme="majorHAnsi" w:cstheme="majorHAnsi"/>
          <w:sz w:val="24"/>
          <w:szCs w:val="24"/>
          <w:lang w:val="ro-MD"/>
        </w:rPr>
        <w:t>la</w:t>
      </w:r>
      <w:r w:rsidRPr="009E5B39">
        <w:rPr>
          <w:rFonts w:asciiTheme="majorHAnsi" w:eastAsia="Calibri" w:hAnsiTheme="majorHAnsi" w:cstheme="majorHAnsi"/>
          <w:sz w:val="24"/>
          <w:szCs w:val="24"/>
          <w:lang w:val="ro-MD"/>
        </w:rPr>
        <w:t xml:space="preserve"> aceste tipuri de venituri. De asemenea, modul de calculare a soldurilor în SIA „Contul </w:t>
      </w:r>
      <w:r w:rsidR="002F3C6E" w:rsidRPr="009E5B39">
        <w:rPr>
          <w:rFonts w:asciiTheme="majorHAnsi" w:eastAsia="Calibri" w:hAnsiTheme="majorHAnsi" w:cstheme="majorHAnsi"/>
          <w:sz w:val="24"/>
          <w:szCs w:val="24"/>
          <w:lang w:val="ro-MD"/>
        </w:rPr>
        <w:t>c</w:t>
      </w:r>
      <w:r w:rsidRPr="009E5B39">
        <w:rPr>
          <w:rFonts w:asciiTheme="majorHAnsi" w:eastAsia="Calibri" w:hAnsiTheme="majorHAnsi" w:cstheme="majorHAnsi"/>
          <w:sz w:val="24"/>
          <w:szCs w:val="24"/>
          <w:lang w:val="ro-MD"/>
        </w:rPr>
        <w:t xml:space="preserve">urent al </w:t>
      </w:r>
      <w:r w:rsidR="002F3C6E" w:rsidRPr="009E5B39">
        <w:rPr>
          <w:rFonts w:asciiTheme="majorHAnsi" w:eastAsia="Calibri" w:hAnsiTheme="majorHAnsi" w:cstheme="majorHAnsi"/>
          <w:sz w:val="24"/>
          <w:szCs w:val="24"/>
          <w:lang w:val="ro-MD"/>
        </w:rPr>
        <w:t>c</w:t>
      </w:r>
      <w:r w:rsidRPr="009E5B39">
        <w:rPr>
          <w:rFonts w:asciiTheme="majorHAnsi" w:eastAsia="Calibri" w:hAnsiTheme="majorHAnsi" w:cstheme="majorHAnsi"/>
          <w:sz w:val="24"/>
          <w:szCs w:val="24"/>
          <w:lang w:val="ro-MD"/>
        </w:rPr>
        <w:t>ontribuabilului” (</w:t>
      </w:r>
      <w:r w:rsidR="00B54360" w:rsidRPr="009E5B39">
        <w:rPr>
          <w:rFonts w:asciiTheme="majorHAnsi" w:eastAsia="Calibri" w:hAnsiTheme="majorHAnsi" w:cstheme="majorHAnsi"/>
          <w:sz w:val="24"/>
          <w:szCs w:val="24"/>
          <w:lang w:val="ro-MD"/>
        </w:rPr>
        <w:t>F</w:t>
      </w:r>
      <w:r w:rsidRPr="009E5B39">
        <w:rPr>
          <w:rFonts w:asciiTheme="majorHAnsi" w:eastAsia="Calibri" w:hAnsiTheme="majorHAnsi" w:cstheme="majorHAnsi"/>
          <w:sz w:val="24"/>
          <w:szCs w:val="24"/>
          <w:lang w:val="ro-MD"/>
        </w:rPr>
        <w:t xml:space="preserve">orma CC10CV) nu corespunde principiilor contabile, valoarea soldului final nefiind egală cu cea a soldului inițial, plus calculările și minus achitările. Analiza în contrapunere a datele privind </w:t>
      </w:r>
      <w:r w:rsidRPr="009E5B39">
        <w:rPr>
          <w:rFonts w:asciiTheme="majorHAnsi" w:eastAsia="Calibri" w:hAnsiTheme="majorHAnsi" w:cstheme="majorHAnsi"/>
          <w:b/>
          <w:bCs/>
          <w:i/>
          <w:iCs/>
          <w:sz w:val="24"/>
          <w:szCs w:val="24"/>
          <w:lang w:val="ro-MD"/>
        </w:rPr>
        <w:t>calculele</w:t>
      </w:r>
      <w:r w:rsidRPr="009E5B39">
        <w:rPr>
          <w:rFonts w:asciiTheme="majorHAnsi" w:eastAsia="Calibri" w:hAnsiTheme="majorHAnsi" w:cstheme="majorHAnsi"/>
          <w:sz w:val="24"/>
          <w:szCs w:val="24"/>
          <w:lang w:val="ro-MD"/>
        </w:rPr>
        <w:t xml:space="preserve"> și </w:t>
      </w:r>
      <w:r w:rsidRPr="009E5B39">
        <w:rPr>
          <w:rFonts w:asciiTheme="majorHAnsi" w:eastAsia="Calibri" w:hAnsiTheme="majorHAnsi" w:cstheme="majorHAnsi"/>
          <w:b/>
          <w:bCs/>
          <w:i/>
          <w:iCs/>
          <w:sz w:val="24"/>
          <w:szCs w:val="24"/>
          <w:lang w:val="ro-MD"/>
        </w:rPr>
        <w:t>achitările</w:t>
      </w:r>
      <w:r w:rsidRPr="009E5B39">
        <w:rPr>
          <w:rFonts w:asciiTheme="majorHAnsi" w:eastAsia="Calibri" w:hAnsiTheme="majorHAnsi" w:cstheme="majorHAnsi"/>
          <w:sz w:val="24"/>
          <w:szCs w:val="24"/>
          <w:lang w:val="ro-MD"/>
        </w:rPr>
        <w:t xml:space="preserve"> aferente impozitelor și taxelor locale pentru anul 2020, generate de </w:t>
      </w:r>
      <w:r w:rsidR="00506DAC" w:rsidRPr="009E5B39">
        <w:rPr>
          <w:rFonts w:asciiTheme="majorHAnsi" w:eastAsia="Calibri" w:hAnsiTheme="majorHAnsi" w:cstheme="majorHAnsi"/>
          <w:sz w:val="24"/>
          <w:szCs w:val="24"/>
          <w:lang w:val="ro-MD"/>
        </w:rPr>
        <w:t xml:space="preserve">SIA a </w:t>
      </w:r>
      <w:r w:rsidRPr="009E5B39">
        <w:rPr>
          <w:rFonts w:asciiTheme="majorHAnsi" w:eastAsia="Calibri" w:hAnsiTheme="majorHAnsi" w:cstheme="majorHAnsi"/>
          <w:sz w:val="24"/>
          <w:szCs w:val="24"/>
          <w:lang w:val="ro-MD"/>
        </w:rPr>
        <w:t>SFS (Forma CC10CV)</w:t>
      </w:r>
      <w:r w:rsidR="003231DA"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w:t>
      </w:r>
      <w:r w:rsidR="003231DA" w:rsidRPr="009E5B39">
        <w:rPr>
          <w:rFonts w:asciiTheme="majorHAnsi" w:eastAsia="Calibri" w:hAnsiTheme="majorHAnsi" w:cstheme="majorHAnsi"/>
          <w:sz w:val="24"/>
          <w:szCs w:val="24"/>
          <w:lang w:val="ro-MD"/>
        </w:rPr>
        <w:t>cu</w:t>
      </w:r>
      <w:r w:rsidRPr="009E5B39">
        <w:rPr>
          <w:rFonts w:asciiTheme="majorHAnsi" w:eastAsia="Calibri" w:hAnsiTheme="majorHAnsi" w:cstheme="majorHAnsi"/>
          <w:sz w:val="24"/>
          <w:szCs w:val="24"/>
          <w:lang w:val="ro-MD"/>
        </w:rPr>
        <w:t xml:space="preserve"> cele raportare de către UAT (Forma FD-044) a </w:t>
      </w:r>
      <w:r w:rsidR="003231DA" w:rsidRPr="009E5B39">
        <w:rPr>
          <w:rFonts w:asciiTheme="majorHAnsi" w:eastAsia="Calibri" w:hAnsiTheme="majorHAnsi" w:cstheme="majorHAnsi"/>
          <w:sz w:val="24"/>
          <w:szCs w:val="24"/>
          <w:lang w:val="ro-MD"/>
        </w:rPr>
        <w:t>relevat</w:t>
      </w:r>
      <w:r w:rsidRPr="009E5B39">
        <w:rPr>
          <w:rFonts w:asciiTheme="majorHAnsi" w:eastAsia="Calibri" w:hAnsiTheme="majorHAnsi" w:cstheme="majorHAnsi"/>
          <w:sz w:val="24"/>
          <w:szCs w:val="24"/>
          <w:lang w:val="ro-MD"/>
        </w:rPr>
        <w:t xml:space="preserve"> divergențe în</w:t>
      </w:r>
      <w:r w:rsidR="003231DA" w:rsidRPr="009E5B39">
        <w:rPr>
          <w:rFonts w:asciiTheme="majorHAnsi" w:eastAsia="Calibri" w:hAnsiTheme="majorHAnsi" w:cstheme="majorHAnsi"/>
          <w:sz w:val="24"/>
          <w:szCs w:val="24"/>
          <w:lang w:val="ro-MD"/>
        </w:rPr>
        <w:t xml:space="preserve"> sumă</w:t>
      </w:r>
      <w:r w:rsidRPr="009E5B39">
        <w:rPr>
          <w:rFonts w:asciiTheme="majorHAnsi" w:eastAsia="Calibri" w:hAnsiTheme="majorHAnsi" w:cstheme="majorHAnsi"/>
          <w:sz w:val="24"/>
          <w:szCs w:val="24"/>
          <w:lang w:val="ro-MD"/>
        </w:rPr>
        <w:t xml:space="preserve"> de </w:t>
      </w:r>
      <w:r w:rsidRPr="009E5B39">
        <w:rPr>
          <w:rFonts w:asciiTheme="majorHAnsi" w:eastAsia="Calibri" w:hAnsiTheme="majorHAnsi" w:cstheme="majorHAnsi"/>
          <w:b/>
          <w:bCs/>
          <w:i/>
          <w:iCs/>
          <w:sz w:val="24"/>
          <w:szCs w:val="24"/>
          <w:lang w:val="ro-MD"/>
        </w:rPr>
        <w:t>33</w:t>
      </w:r>
      <w:r w:rsidR="003B6CE8" w:rsidRPr="009E5B39">
        <w:rPr>
          <w:rFonts w:asciiTheme="majorHAnsi" w:eastAsia="Calibri" w:hAnsiTheme="majorHAnsi" w:cstheme="majorHAnsi"/>
          <w:b/>
          <w:bCs/>
          <w:i/>
          <w:iCs/>
          <w:sz w:val="24"/>
          <w:szCs w:val="24"/>
          <w:lang w:val="ro-MD"/>
        </w:rPr>
        <w:t>,88 mil</w:t>
      </w:r>
      <w:r w:rsidR="003231DA" w:rsidRPr="009E5B39">
        <w:rPr>
          <w:rFonts w:asciiTheme="majorHAnsi" w:eastAsia="Calibri" w:hAnsiTheme="majorHAnsi" w:cstheme="majorHAnsi"/>
          <w:b/>
          <w:bCs/>
          <w:i/>
          <w:iCs/>
          <w:sz w:val="24"/>
          <w:szCs w:val="24"/>
          <w:lang w:val="ro-MD"/>
        </w:rPr>
        <w:t>.</w:t>
      </w:r>
      <w:r w:rsidRPr="009E5B39">
        <w:rPr>
          <w:rFonts w:asciiTheme="majorHAnsi" w:eastAsia="Calibri" w:hAnsiTheme="majorHAnsi" w:cstheme="majorHAnsi"/>
          <w:b/>
          <w:bCs/>
          <w:i/>
          <w:iCs/>
          <w:sz w:val="24"/>
          <w:szCs w:val="24"/>
          <w:lang w:val="ro-MD"/>
        </w:rPr>
        <w:t xml:space="preserve"> lei</w:t>
      </w:r>
      <w:r w:rsidRPr="009E5B39">
        <w:rPr>
          <w:rFonts w:asciiTheme="majorHAnsi" w:eastAsia="Calibri" w:hAnsiTheme="majorHAnsi" w:cstheme="majorHAnsi"/>
          <w:sz w:val="24"/>
          <w:szCs w:val="24"/>
          <w:lang w:val="ro-MD"/>
        </w:rPr>
        <w:t xml:space="preserve"> și</w:t>
      </w:r>
      <w:r w:rsidR="003231DA"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respectiv</w:t>
      </w:r>
      <w:r w:rsidR="003231DA"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de </w:t>
      </w:r>
      <w:r w:rsidR="003B6CE8" w:rsidRPr="009E5B39">
        <w:rPr>
          <w:rFonts w:asciiTheme="majorHAnsi" w:eastAsia="Calibri" w:hAnsiTheme="majorHAnsi" w:cstheme="majorHAnsi"/>
          <w:b/>
          <w:i/>
          <w:sz w:val="24"/>
          <w:szCs w:val="24"/>
          <w:lang w:val="ro-MD"/>
        </w:rPr>
        <w:t>0,16 mil</w:t>
      </w:r>
      <w:r w:rsidR="00320313" w:rsidRPr="009E5B39">
        <w:rPr>
          <w:rFonts w:asciiTheme="majorHAnsi" w:eastAsia="Calibri" w:hAnsiTheme="majorHAnsi" w:cstheme="majorHAnsi"/>
          <w:b/>
          <w:i/>
          <w:sz w:val="24"/>
          <w:szCs w:val="24"/>
          <w:lang w:val="ro-MD"/>
        </w:rPr>
        <w:t>.</w:t>
      </w:r>
      <w:r w:rsidRPr="009E5B39">
        <w:rPr>
          <w:rFonts w:asciiTheme="majorHAnsi" w:eastAsia="Calibri" w:hAnsiTheme="majorHAnsi" w:cstheme="majorHAnsi"/>
          <w:b/>
          <w:bCs/>
          <w:i/>
          <w:iCs/>
          <w:sz w:val="24"/>
          <w:szCs w:val="24"/>
          <w:lang w:val="ro-MD"/>
        </w:rPr>
        <w:t xml:space="preserve"> lei.</w:t>
      </w:r>
      <w:r w:rsidRPr="009E5B39">
        <w:rPr>
          <w:rFonts w:asciiTheme="majorHAnsi" w:eastAsia="Calibri" w:hAnsiTheme="majorHAnsi" w:cstheme="majorHAnsi"/>
          <w:bCs/>
          <w:iCs/>
          <w:sz w:val="24"/>
          <w:szCs w:val="24"/>
          <w:lang w:val="ro-MD"/>
        </w:rPr>
        <w:t xml:space="preserve"> Unele taxe și plăți</w:t>
      </w:r>
      <w:r w:rsidRPr="009E5B39">
        <w:rPr>
          <w:rFonts w:asciiTheme="majorHAnsi" w:eastAsia="Calibri" w:hAnsiTheme="majorHAnsi" w:cstheme="majorHAnsi"/>
          <w:bCs/>
          <w:iCs/>
          <w:sz w:val="24"/>
          <w:szCs w:val="24"/>
          <w:vertAlign w:val="superscript"/>
          <w:lang w:val="ro-MD"/>
        </w:rPr>
        <w:footnoteReference w:id="26"/>
      </w:r>
      <w:r w:rsidRPr="009E5B39">
        <w:rPr>
          <w:rFonts w:asciiTheme="majorHAnsi" w:eastAsia="Calibri" w:hAnsiTheme="majorHAnsi" w:cstheme="majorHAnsi"/>
          <w:bCs/>
          <w:iCs/>
          <w:sz w:val="24"/>
          <w:szCs w:val="24"/>
          <w:lang w:val="ro-MD"/>
        </w:rPr>
        <w:t>, deși în Rapoartele financiare a</w:t>
      </w:r>
      <w:r w:rsidR="00A03A52" w:rsidRPr="009E5B39">
        <w:rPr>
          <w:rFonts w:asciiTheme="majorHAnsi" w:eastAsia="Calibri" w:hAnsiTheme="majorHAnsi" w:cstheme="majorHAnsi"/>
          <w:bCs/>
          <w:iCs/>
          <w:sz w:val="24"/>
          <w:szCs w:val="24"/>
          <w:lang w:val="ro-MD"/>
        </w:rPr>
        <w:t>le</w:t>
      </w:r>
      <w:r w:rsidRPr="009E5B39">
        <w:rPr>
          <w:rFonts w:asciiTheme="majorHAnsi" w:eastAsia="Calibri" w:hAnsiTheme="majorHAnsi" w:cstheme="majorHAnsi"/>
          <w:bCs/>
          <w:iCs/>
          <w:sz w:val="24"/>
          <w:szCs w:val="24"/>
          <w:lang w:val="ro-MD"/>
        </w:rPr>
        <w:t xml:space="preserve"> UAT (Forma</w:t>
      </w:r>
      <w:r w:rsidRPr="009E5B39">
        <w:rPr>
          <w:rFonts w:asciiTheme="majorHAnsi" w:eastAsia="Calibri" w:hAnsiTheme="majorHAnsi" w:cstheme="majorHAnsi"/>
          <w:b/>
          <w:bCs/>
          <w:i/>
          <w:iCs/>
          <w:sz w:val="24"/>
          <w:szCs w:val="24"/>
          <w:lang w:val="ro-MD"/>
        </w:rPr>
        <w:t xml:space="preserve"> </w:t>
      </w:r>
      <w:r w:rsidRPr="009E5B39">
        <w:rPr>
          <w:rFonts w:asciiTheme="majorHAnsi" w:eastAsia="Calibri" w:hAnsiTheme="majorHAnsi" w:cstheme="majorHAnsi"/>
          <w:sz w:val="24"/>
          <w:szCs w:val="24"/>
          <w:lang w:val="ro-MD"/>
        </w:rPr>
        <w:t>FD-044) au fost calculate, nu se regăsesc în informația generată de SFS (</w:t>
      </w:r>
      <w:r w:rsidR="00B54360" w:rsidRPr="009E5B39">
        <w:rPr>
          <w:rFonts w:asciiTheme="majorHAnsi" w:eastAsia="Calibri" w:hAnsiTheme="majorHAnsi" w:cstheme="majorHAnsi"/>
          <w:sz w:val="24"/>
          <w:szCs w:val="24"/>
          <w:lang w:val="ro-MD"/>
        </w:rPr>
        <w:t>F</w:t>
      </w:r>
      <w:r w:rsidRPr="009E5B39">
        <w:rPr>
          <w:rFonts w:asciiTheme="majorHAnsi" w:eastAsia="Calibri" w:hAnsiTheme="majorHAnsi" w:cstheme="majorHAnsi"/>
          <w:sz w:val="24"/>
          <w:szCs w:val="24"/>
          <w:lang w:val="ro-MD"/>
        </w:rPr>
        <w:t xml:space="preserve">orma CC10CV), </w:t>
      </w:r>
      <w:r w:rsidR="00A03A52" w:rsidRPr="009E5B39">
        <w:rPr>
          <w:rFonts w:asciiTheme="majorHAnsi" w:eastAsia="Calibri" w:hAnsiTheme="majorHAnsi" w:cstheme="majorHAnsi"/>
          <w:sz w:val="24"/>
          <w:szCs w:val="24"/>
          <w:lang w:val="ro-MD"/>
        </w:rPr>
        <w:t xml:space="preserve">iar la </w:t>
      </w:r>
      <w:r w:rsidRPr="009E5B39">
        <w:rPr>
          <w:rFonts w:asciiTheme="majorHAnsi" w:eastAsia="Calibri" w:hAnsiTheme="majorHAnsi" w:cstheme="majorHAnsi"/>
          <w:sz w:val="24"/>
          <w:szCs w:val="24"/>
          <w:lang w:val="ro-MD"/>
        </w:rPr>
        <w:t>altele, deși se regăsesc ca achitate atât în Rapoartele financiare a</w:t>
      </w:r>
      <w:r w:rsidR="00A03A52" w:rsidRPr="009E5B39">
        <w:rPr>
          <w:rFonts w:asciiTheme="majorHAnsi" w:eastAsia="Calibri" w:hAnsiTheme="majorHAnsi" w:cstheme="majorHAnsi"/>
          <w:sz w:val="24"/>
          <w:szCs w:val="24"/>
          <w:lang w:val="ro-MD"/>
        </w:rPr>
        <w:t>le</w:t>
      </w:r>
      <w:r w:rsidRPr="009E5B39">
        <w:rPr>
          <w:rFonts w:asciiTheme="majorHAnsi" w:eastAsia="Calibri" w:hAnsiTheme="majorHAnsi" w:cstheme="majorHAnsi"/>
          <w:sz w:val="24"/>
          <w:szCs w:val="24"/>
          <w:lang w:val="ro-MD"/>
        </w:rPr>
        <w:t xml:space="preserve"> UAT (Forma FD-044)</w:t>
      </w:r>
      <w:r w:rsidR="00A03A52"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cât și în informația generată de SFS</w:t>
      </w:r>
      <w:r w:rsidRPr="009E5B39">
        <w:rPr>
          <w:rFonts w:asciiTheme="majorHAnsi" w:eastAsia="Calibri" w:hAnsiTheme="majorHAnsi" w:cstheme="majorHAnsi"/>
          <w:sz w:val="24"/>
          <w:szCs w:val="24"/>
          <w:vertAlign w:val="superscript"/>
          <w:lang w:val="ro-MD"/>
        </w:rPr>
        <w:footnoteReference w:id="27"/>
      </w:r>
      <w:r w:rsidRPr="009E5B39">
        <w:rPr>
          <w:rFonts w:asciiTheme="majorHAnsi" w:eastAsia="Calibri" w:hAnsiTheme="majorHAnsi" w:cstheme="majorHAnsi"/>
          <w:sz w:val="24"/>
          <w:szCs w:val="24"/>
          <w:lang w:val="ro-MD"/>
        </w:rPr>
        <w:t xml:space="preserve"> (</w:t>
      </w:r>
      <w:r w:rsidR="00B54360" w:rsidRPr="009E5B39">
        <w:rPr>
          <w:rFonts w:asciiTheme="majorHAnsi" w:eastAsia="Calibri" w:hAnsiTheme="majorHAnsi" w:cstheme="majorHAnsi"/>
          <w:sz w:val="24"/>
          <w:szCs w:val="24"/>
          <w:lang w:val="ro-MD"/>
        </w:rPr>
        <w:t>F</w:t>
      </w:r>
      <w:r w:rsidRPr="009E5B39">
        <w:rPr>
          <w:rFonts w:asciiTheme="majorHAnsi" w:eastAsia="Calibri" w:hAnsiTheme="majorHAnsi" w:cstheme="majorHAnsi"/>
          <w:sz w:val="24"/>
          <w:szCs w:val="24"/>
          <w:lang w:val="ro-MD"/>
        </w:rPr>
        <w:t>orma CC10CV), lipsește</w:t>
      </w:r>
      <w:r w:rsidR="00496DD5"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 xml:space="preserve"> în </w:t>
      </w:r>
      <w:r w:rsidR="00B54360" w:rsidRPr="009E5B39">
        <w:rPr>
          <w:rFonts w:asciiTheme="majorHAnsi" w:eastAsia="Calibri" w:hAnsiTheme="majorHAnsi" w:cstheme="majorHAnsi"/>
          <w:sz w:val="24"/>
          <w:szCs w:val="24"/>
          <w:lang w:val="ro-MD"/>
        </w:rPr>
        <w:t>F</w:t>
      </w:r>
      <w:r w:rsidRPr="009E5B39">
        <w:rPr>
          <w:rFonts w:asciiTheme="majorHAnsi" w:eastAsia="Calibri" w:hAnsiTheme="majorHAnsi" w:cstheme="majorHAnsi"/>
          <w:sz w:val="24"/>
          <w:szCs w:val="24"/>
          <w:lang w:val="ro-MD"/>
        </w:rPr>
        <w:t>orma CC10CV</w:t>
      </w:r>
      <w:r w:rsidR="00496DD5" w:rsidRPr="009E5B39">
        <w:rPr>
          <w:rFonts w:asciiTheme="majorHAnsi" w:eastAsia="Calibri" w:hAnsiTheme="majorHAnsi" w:cstheme="majorHAnsi"/>
          <w:sz w:val="24"/>
          <w:szCs w:val="24"/>
          <w:lang w:val="ro-MD"/>
        </w:rPr>
        <w:t xml:space="preserve"> calculul </w:t>
      </w:r>
      <w:r w:rsidRPr="009E5B39">
        <w:rPr>
          <w:rFonts w:asciiTheme="majorHAnsi" w:eastAsia="Calibri" w:hAnsiTheme="majorHAnsi" w:cstheme="majorHAnsi"/>
          <w:sz w:val="24"/>
          <w:szCs w:val="24"/>
          <w:lang w:val="ro-MD"/>
        </w:rPr>
        <w:t xml:space="preserve">impozitului, astfel fiind </w:t>
      </w:r>
      <w:r w:rsidR="00496DD5" w:rsidRPr="009E5B39">
        <w:rPr>
          <w:rFonts w:asciiTheme="majorHAnsi" w:eastAsia="Calibri" w:hAnsiTheme="majorHAnsi" w:cstheme="majorHAnsi"/>
          <w:sz w:val="24"/>
          <w:szCs w:val="24"/>
          <w:lang w:val="ro-MD"/>
        </w:rPr>
        <w:t>im</w:t>
      </w:r>
      <w:r w:rsidRPr="009E5B39">
        <w:rPr>
          <w:rFonts w:asciiTheme="majorHAnsi" w:eastAsia="Calibri" w:hAnsiTheme="majorHAnsi" w:cstheme="majorHAnsi"/>
          <w:sz w:val="24"/>
          <w:szCs w:val="24"/>
          <w:lang w:val="ro-MD"/>
        </w:rPr>
        <w:t>posibil</w:t>
      </w:r>
      <w:r w:rsidR="00496DD5" w:rsidRPr="009E5B39">
        <w:rPr>
          <w:rFonts w:asciiTheme="majorHAnsi" w:eastAsia="Calibri" w:hAnsiTheme="majorHAnsi" w:cstheme="majorHAnsi"/>
          <w:sz w:val="24"/>
          <w:szCs w:val="24"/>
          <w:lang w:val="ro-MD"/>
        </w:rPr>
        <w:t>ă</w:t>
      </w:r>
      <w:r w:rsidRPr="009E5B39">
        <w:rPr>
          <w:rFonts w:asciiTheme="majorHAnsi" w:eastAsia="Calibri" w:hAnsiTheme="majorHAnsi" w:cstheme="majorHAnsi"/>
          <w:sz w:val="24"/>
          <w:szCs w:val="24"/>
          <w:lang w:val="ro-MD"/>
        </w:rPr>
        <w:t xml:space="preserve"> verifica</w:t>
      </w:r>
      <w:r w:rsidR="00496DD5" w:rsidRPr="009E5B39">
        <w:rPr>
          <w:rFonts w:asciiTheme="majorHAnsi" w:eastAsia="Calibri" w:hAnsiTheme="majorHAnsi" w:cstheme="majorHAnsi"/>
          <w:sz w:val="24"/>
          <w:szCs w:val="24"/>
          <w:lang w:val="ro-MD"/>
        </w:rPr>
        <w:t>rea</w:t>
      </w:r>
      <w:r w:rsidRPr="009E5B39">
        <w:rPr>
          <w:rFonts w:asciiTheme="majorHAnsi" w:eastAsia="Calibri" w:hAnsiTheme="majorHAnsi" w:cstheme="majorHAnsi"/>
          <w:sz w:val="24"/>
          <w:szCs w:val="24"/>
          <w:lang w:val="ro-MD"/>
        </w:rPr>
        <w:t xml:space="preserve"> calculul</w:t>
      </w:r>
      <w:r w:rsidR="00496DD5" w:rsidRPr="009E5B39">
        <w:rPr>
          <w:rFonts w:asciiTheme="majorHAnsi" w:eastAsia="Calibri" w:hAnsiTheme="majorHAnsi" w:cstheme="majorHAnsi"/>
          <w:sz w:val="24"/>
          <w:szCs w:val="24"/>
          <w:lang w:val="ro-MD"/>
        </w:rPr>
        <w:t>ui</w:t>
      </w:r>
      <w:r w:rsidRPr="009E5B39">
        <w:rPr>
          <w:rFonts w:asciiTheme="majorHAnsi" w:eastAsia="Calibri" w:hAnsiTheme="majorHAnsi" w:cstheme="majorHAnsi"/>
          <w:sz w:val="24"/>
          <w:szCs w:val="24"/>
          <w:lang w:val="ro-MD"/>
        </w:rPr>
        <w:t xml:space="preserve"> și creanțel</w:t>
      </w:r>
      <w:r w:rsidR="00496DD5" w:rsidRPr="009E5B39">
        <w:rPr>
          <w:rFonts w:asciiTheme="majorHAnsi" w:eastAsia="Calibri" w:hAnsiTheme="majorHAnsi" w:cstheme="majorHAnsi"/>
          <w:sz w:val="24"/>
          <w:szCs w:val="24"/>
          <w:lang w:val="ro-MD"/>
        </w:rPr>
        <w:t>or</w:t>
      </w:r>
      <w:r w:rsidRPr="009E5B39">
        <w:rPr>
          <w:rFonts w:asciiTheme="majorHAnsi" w:eastAsia="Calibri" w:hAnsiTheme="majorHAnsi" w:cstheme="majorHAnsi"/>
          <w:sz w:val="24"/>
          <w:szCs w:val="24"/>
          <w:lang w:val="ro-MD"/>
        </w:rPr>
        <w:t>/datoriil</w:t>
      </w:r>
      <w:r w:rsidR="00496DD5" w:rsidRPr="009E5B39">
        <w:rPr>
          <w:rFonts w:asciiTheme="majorHAnsi" w:eastAsia="Calibri" w:hAnsiTheme="majorHAnsi" w:cstheme="majorHAnsi"/>
          <w:sz w:val="24"/>
          <w:szCs w:val="24"/>
          <w:lang w:val="ro-MD"/>
        </w:rPr>
        <w:t>or</w:t>
      </w:r>
      <w:r w:rsidRPr="009E5B39">
        <w:rPr>
          <w:rFonts w:asciiTheme="majorHAnsi" w:eastAsia="Calibri" w:hAnsiTheme="majorHAnsi" w:cstheme="majorHAnsi"/>
          <w:sz w:val="24"/>
          <w:szCs w:val="24"/>
          <w:lang w:val="ro-MD"/>
        </w:rPr>
        <w:t xml:space="preserve"> înregistrate la finele perioadei de gestiune. </w:t>
      </w:r>
      <w:r w:rsidR="00521256" w:rsidRPr="009E5B39">
        <w:rPr>
          <w:rFonts w:asciiTheme="majorHAnsi" w:eastAsia="Calibri" w:hAnsiTheme="majorHAnsi" w:cstheme="majorHAnsi"/>
          <w:i/>
          <w:sz w:val="24"/>
          <w:szCs w:val="24"/>
          <w:lang w:val="ro-MD"/>
        </w:rPr>
        <w:t>Informația privind sumele calculate și stinse (achitate) aferente clasificației veniturilor bugetare prezentate în Forma FD-044 și Forma CC10CV se prezintă în Anexa nr.4 la Raport</w:t>
      </w:r>
      <w:r w:rsidR="00496DD5" w:rsidRPr="009E5B39">
        <w:rPr>
          <w:rFonts w:asciiTheme="majorHAnsi" w:eastAsia="Calibri" w:hAnsiTheme="majorHAnsi" w:cstheme="majorHAnsi"/>
          <w:i/>
          <w:sz w:val="24"/>
          <w:szCs w:val="24"/>
          <w:lang w:val="ro-MD"/>
        </w:rPr>
        <w:t>ul de audit</w:t>
      </w:r>
      <w:r w:rsidR="00521256" w:rsidRPr="009E5B39">
        <w:rPr>
          <w:rFonts w:asciiTheme="majorHAnsi" w:eastAsia="Calibri" w:hAnsiTheme="majorHAnsi" w:cstheme="majorHAnsi"/>
          <w:i/>
          <w:sz w:val="24"/>
          <w:szCs w:val="24"/>
          <w:lang w:val="ro-MD"/>
        </w:rPr>
        <w:t>.</w:t>
      </w:r>
    </w:p>
    <w:p w14:paraId="2B0B6AA5" w14:textId="4F3E1D84" w:rsidR="009860FA" w:rsidRPr="009E5B39" w:rsidRDefault="003841C5" w:rsidP="003C5073">
      <w:pPr>
        <w:spacing w:after="0" w:line="276" w:lineRule="auto"/>
        <w:jc w:val="both"/>
        <w:rPr>
          <w:rFonts w:asciiTheme="majorHAnsi" w:hAnsiTheme="majorHAnsi" w:cstheme="majorHAnsi"/>
          <w:b/>
          <w:i/>
          <w:sz w:val="24"/>
          <w:szCs w:val="24"/>
          <w:lang w:val="ro-MD"/>
        </w:rPr>
      </w:pPr>
      <w:r w:rsidRPr="009E5B39">
        <w:rPr>
          <w:rFonts w:asciiTheme="majorHAnsi" w:eastAsia="Calibri" w:hAnsiTheme="majorHAnsi" w:cstheme="majorHAnsi"/>
          <w:b/>
          <w:i/>
          <w:iCs/>
          <w:sz w:val="24"/>
          <w:szCs w:val="24"/>
          <w:lang w:val="ro-MD"/>
        </w:rPr>
        <w:t xml:space="preserve">4.1.3. </w:t>
      </w:r>
      <w:r w:rsidR="009860FA" w:rsidRPr="009E5B39">
        <w:rPr>
          <w:rFonts w:asciiTheme="majorHAnsi" w:eastAsia="Calibri" w:hAnsiTheme="majorHAnsi" w:cstheme="majorHAnsi"/>
          <w:b/>
          <w:i/>
          <w:iCs/>
          <w:sz w:val="24"/>
          <w:szCs w:val="24"/>
          <w:lang w:val="ro-MD"/>
        </w:rPr>
        <w:t>Im</w:t>
      </w:r>
      <w:r w:rsidR="009860FA" w:rsidRPr="009E5B39">
        <w:rPr>
          <w:rFonts w:asciiTheme="majorHAnsi" w:eastAsia="Calibri" w:hAnsiTheme="majorHAnsi" w:cstheme="majorHAnsi"/>
          <w:b/>
          <w:i/>
          <w:sz w:val="24"/>
          <w:szCs w:val="24"/>
          <w:lang w:val="ro-MD"/>
        </w:rPr>
        <w:t>perfecțiunea sistemelor informaționale</w:t>
      </w:r>
      <w:r w:rsidR="00496DD5" w:rsidRPr="009E5B39">
        <w:rPr>
          <w:rFonts w:asciiTheme="majorHAnsi" w:eastAsia="Calibri" w:hAnsiTheme="majorHAnsi" w:cstheme="majorHAnsi"/>
          <w:b/>
          <w:i/>
          <w:sz w:val="24"/>
          <w:szCs w:val="24"/>
          <w:lang w:val="ro-MD"/>
        </w:rPr>
        <w:t>,</w:t>
      </w:r>
      <w:r w:rsidR="009860FA" w:rsidRPr="009E5B39">
        <w:rPr>
          <w:rFonts w:asciiTheme="majorHAnsi" w:eastAsia="Calibri" w:hAnsiTheme="majorHAnsi" w:cstheme="majorHAnsi"/>
          <w:b/>
          <w:i/>
          <w:sz w:val="24"/>
          <w:szCs w:val="24"/>
          <w:lang w:val="ro-MD"/>
        </w:rPr>
        <w:t xml:space="preserve"> administrate de către ASP și SFS, </w:t>
      </w:r>
      <w:r w:rsidR="009860FA" w:rsidRPr="009E5B39">
        <w:rPr>
          <w:rFonts w:asciiTheme="majorHAnsi" w:hAnsiTheme="majorHAnsi" w:cstheme="majorHAnsi"/>
          <w:b/>
          <w:i/>
          <w:sz w:val="24"/>
          <w:szCs w:val="24"/>
          <w:lang w:val="ro-MD"/>
        </w:rPr>
        <w:t xml:space="preserve">privind impozitele/taxele/plățile calculate și încasate la bugetul local creează unele dificultăți în activitatea DCITL a mun. Chișinău, </w:t>
      </w:r>
      <w:r w:rsidR="00496DD5" w:rsidRPr="009E5B39">
        <w:rPr>
          <w:rFonts w:asciiTheme="majorHAnsi" w:hAnsiTheme="majorHAnsi" w:cstheme="majorHAnsi"/>
          <w:b/>
          <w:i/>
          <w:sz w:val="24"/>
          <w:szCs w:val="24"/>
          <w:lang w:val="ro-MD"/>
        </w:rPr>
        <w:t xml:space="preserve">fapt </w:t>
      </w:r>
      <w:r w:rsidR="009860FA" w:rsidRPr="009E5B39">
        <w:rPr>
          <w:rFonts w:asciiTheme="majorHAnsi" w:hAnsiTheme="majorHAnsi" w:cstheme="majorHAnsi"/>
          <w:b/>
          <w:i/>
          <w:sz w:val="24"/>
          <w:szCs w:val="24"/>
          <w:lang w:val="ro-MD"/>
        </w:rPr>
        <w:t>c</w:t>
      </w:r>
      <w:r w:rsidR="00496DD5" w:rsidRPr="009E5B39">
        <w:rPr>
          <w:rFonts w:asciiTheme="majorHAnsi" w:hAnsiTheme="majorHAnsi" w:cstheme="majorHAnsi"/>
          <w:b/>
          <w:i/>
          <w:sz w:val="24"/>
          <w:szCs w:val="24"/>
          <w:lang w:val="ro-MD"/>
        </w:rPr>
        <w:t>ar</w:t>
      </w:r>
      <w:r w:rsidR="009860FA" w:rsidRPr="009E5B39">
        <w:rPr>
          <w:rFonts w:asciiTheme="majorHAnsi" w:hAnsiTheme="majorHAnsi" w:cstheme="majorHAnsi"/>
          <w:b/>
          <w:i/>
          <w:sz w:val="24"/>
          <w:szCs w:val="24"/>
          <w:lang w:val="ro-MD"/>
        </w:rPr>
        <w:t>e influențează monitorizarea calculării și achitării impozitelor și taxelor, administrate de către DCITL, la bugetul municipal, precum și calit</w:t>
      </w:r>
      <w:r w:rsidR="002F3C6E" w:rsidRPr="009E5B39">
        <w:rPr>
          <w:rFonts w:asciiTheme="majorHAnsi" w:hAnsiTheme="majorHAnsi" w:cstheme="majorHAnsi"/>
          <w:b/>
          <w:i/>
          <w:sz w:val="24"/>
          <w:szCs w:val="24"/>
          <w:lang w:val="ro-MD"/>
        </w:rPr>
        <w:t>atea</w:t>
      </w:r>
      <w:r w:rsidR="009860FA" w:rsidRPr="009E5B39">
        <w:rPr>
          <w:rFonts w:asciiTheme="majorHAnsi" w:hAnsiTheme="majorHAnsi" w:cstheme="majorHAnsi"/>
          <w:b/>
          <w:i/>
          <w:sz w:val="24"/>
          <w:szCs w:val="24"/>
          <w:lang w:val="ro-MD"/>
        </w:rPr>
        <w:t xml:space="preserve"> serviciilor prestate populației/cetățeanului. </w:t>
      </w:r>
    </w:p>
    <w:p w14:paraId="7006F8B5" w14:textId="2BF27C84" w:rsidR="009860FA" w:rsidRPr="009E5B39" w:rsidRDefault="009860FA" w:rsidP="0004488C">
      <w:pPr>
        <w:spacing w:after="0" w:line="276" w:lineRule="auto"/>
        <w:ind w:firstLine="720"/>
        <w:jc w:val="both"/>
        <w:rPr>
          <w:rFonts w:asciiTheme="majorHAnsi" w:eastAsia="Calibri" w:hAnsiTheme="majorHAnsi" w:cstheme="majorHAnsi"/>
          <w:sz w:val="24"/>
          <w:szCs w:val="24"/>
          <w:lang w:val="ro-MD"/>
        </w:rPr>
      </w:pPr>
      <w:r w:rsidRPr="009E5B39">
        <w:rPr>
          <w:rFonts w:asciiTheme="majorHAnsi" w:hAnsiTheme="majorHAnsi" w:cstheme="majorHAnsi"/>
          <w:sz w:val="24"/>
          <w:szCs w:val="24"/>
          <w:lang w:val="ro-MD"/>
        </w:rPr>
        <w:t>SIA „Contul curent al contribuabilului”, administrat de SFS, nu asigură generalizarea Raportului privind impozitele/taxele/plățile calculate și încasate la bugetul mun. Chișinău. Această informație este dispersată pe sectoare și localități</w:t>
      </w:r>
      <w:r w:rsidRPr="009E5B39">
        <w:rPr>
          <w:rFonts w:asciiTheme="majorHAnsi" w:hAnsiTheme="majorHAnsi" w:cstheme="majorHAnsi"/>
          <w:sz w:val="24"/>
          <w:szCs w:val="24"/>
          <w:vertAlign w:val="superscript"/>
          <w:lang w:val="ro-MD"/>
        </w:rPr>
        <w:footnoteReference w:id="28"/>
      </w:r>
      <w:r w:rsidRPr="009E5B39">
        <w:rPr>
          <w:rFonts w:asciiTheme="majorHAnsi" w:hAnsiTheme="majorHAnsi" w:cstheme="majorHAnsi"/>
          <w:sz w:val="24"/>
          <w:szCs w:val="24"/>
          <w:lang w:val="ro-MD"/>
        </w:rPr>
        <w:t xml:space="preserve">, </w:t>
      </w:r>
      <w:r w:rsidR="00B83BFE" w:rsidRPr="009E5B39">
        <w:rPr>
          <w:rFonts w:asciiTheme="majorHAnsi" w:hAnsiTheme="majorHAnsi" w:cstheme="majorHAnsi"/>
          <w:sz w:val="24"/>
          <w:szCs w:val="24"/>
          <w:lang w:val="ro-MD"/>
        </w:rPr>
        <w:t xml:space="preserve">iar </w:t>
      </w:r>
      <w:r w:rsidRPr="009E5B39">
        <w:rPr>
          <w:rFonts w:asciiTheme="majorHAnsi" w:hAnsiTheme="majorHAnsi" w:cstheme="majorHAnsi"/>
          <w:sz w:val="24"/>
          <w:szCs w:val="24"/>
          <w:lang w:val="ro-MD"/>
        </w:rPr>
        <w:t xml:space="preserve">totalizarea acesteia se efectuează manual.  </w:t>
      </w:r>
    </w:p>
    <w:p w14:paraId="56801D81" w14:textId="58440A71" w:rsidR="009860FA" w:rsidRPr="009E5B39" w:rsidRDefault="009860FA" w:rsidP="0004488C">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SIA „Cadastru</w:t>
      </w:r>
      <w:r w:rsidR="002F3C6E" w:rsidRPr="009E5B39">
        <w:rPr>
          <w:rFonts w:asciiTheme="majorHAnsi" w:hAnsiTheme="majorHAnsi" w:cstheme="majorHAnsi"/>
          <w:sz w:val="24"/>
          <w:szCs w:val="24"/>
          <w:lang w:val="ro-MD"/>
        </w:rPr>
        <w:t>l</w:t>
      </w:r>
      <w:r w:rsidRPr="009E5B39">
        <w:rPr>
          <w:rFonts w:asciiTheme="majorHAnsi" w:hAnsiTheme="majorHAnsi" w:cstheme="majorHAnsi"/>
          <w:sz w:val="24"/>
          <w:szCs w:val="24"/>
          <w:lang w:val="ro-MD"/>
        </w:rPr>
        <w:t xml:space="preserve"> fiscal 2.0</w:t>
      </w:r>
      <w:r w:rsidRPr="009E5B39">
        <w:rPr>
          <w:rFonts w:asciiTheme="majorHAnsi" w:hAnsiTheme="majorHAnsi" w:cstheme="majorHAnsi"/>
          <w:sz w:val="24"/>
          <w:szCs w:val="24"/>
          <w:vertAlign w:val="superscript"/>
          <w:lang w:val="ro-MD"/>
        </w:rPr>
        <w:footnoteReference w:id="29"/>
      </w:r>
      <w:r w:rsidRPr="009E5B39">
        <w:rPr>
          <w:rFonts w:asciiTheme="majorHAnsi" w:hAnsiTheme="majorHAnsi" w:cstheme="majorHAnsi"/>
          <w:sz w:val="24"/>
          <w:szCs w:val="24"/>
          <w:lang w:val="ro-MD"/>
        </w:rPr>
        <w:t xml:space="preserve">” </w:t>
      </w:r>
      <w:r w:rsidR="008E43E4" w:rsidRPr="009E5B39">
        <w:rPr>
          <w:rFonts w:asciiTheme="majorHAnsi" w:hAnsiTheme="majorHAnsi" w:cstheme="majorHAnsi"/>
          <w:sz w:val="24"/>
          <w:szCs w:val="24"/>
          <w:lang w:val="ro-MD"/>
        </w:rPr>
        <w:t>conține</w:t>
      </w:r>
      <w:r w:rsidRPr="009E5B39">
        <w:rPr>
          <w:rFonts w:asciiTheme="majorHAnsi" w:hAnsiTheme="majorHAnsi" w:cstheme="majorHAnsi"/>
          <w:sz w:val="24"/>
          <w:szCs w:val="24"/>
          <w:lang w:val="ro-MD"/>
        </w:rPr>
        <w:t xml:space="preserve"> mai multe lacune,</w:t>
      </w:r>
      <w:r w:rsidRPr="009E5B39">
        <w:rPr>
          <w:rFonts w:asciiTheme="majorHAnsi" w:eastAsia="Calibri" w:hAnsiTheme="majorHAnsi" w:cstheme="majorHAnsi"/>
          <w:sz w:val="24"/>
          <w:szCs w:val="24"/>
          <w:lang w:val="ro-MD"/>
        </w:rPr>
        <w:t xml:space="preserve"> care condiționează prestarea necalitativă a serviciilor, </w:t>
      </w:r>
      <w:r w:rsidR="008E43E4" w:rsidRPr="009E5B39">
        <w:rPr>
          <w:rFonts w:asciiTheme="majorHAnsi" w:eastAsia="Calibri" w:hAnsiTheme="majorHAnsi" w:cstheme="majorHAnsi"/>
          <w:sz w:val="24"/>
          <w:szCs w:val="24"/>
          <w:lang w:val="ro-MD"/>
        </w:rPr>
        <w:t xml:space="preserve">de pe </w:t>
      </w:r>
      <w:r w:rsidRPr="009E5B39">
        <w:rPr>
          <w:rFonts w:asciiTheme="majorHAnsi" w:eastAsia="Calibri" w:hAnsiTheme="majorHAnsi" w:cstheme="majorHAnsi"/>
          <w:sz w:val="24"/>
          <w:szCs w:val="24"/>
          <w:lang w:val="ro-MD"/>
        </w:rPr>
        <w:t>urma cărora are de suferit</w:t>
      </w:r>
      <w:r w:rsidR="008E43E4"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în primul rând</w:t>
      </w:r>
      <w:r w:rsidR="008E43E4"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populația/cetățeanul,</w:t>
      </w:r>
      <w:r w:rsidRPr="009E5B39">
        <w:rPr>
          <w:rFonts w:asciiTheme="majorHAnsi" w:hAnsiTheme="majorHAnsi" w:cstheme="majorHAnsi"/>
          <w:sz w:val="24"/>
          <w:szCs w:val="24"/>
          <w:lang w:val="ro-MD"/>
        </w:rPr>
        <w:t xml:space="preserve"> cum ar fi: </w:t>
      </w:r>
      <w:r w:rsidRPr="009E5B39">
        <w:rPr>
          <w:rFonts w:asciiTheme="majorHAnsi" w:hAnsiTheme="majorHAnsi" w:cstheme="majorHAnsi"/>
          <w:b/>
          <w:sz w:val="24"/>
          <w:szCs w:val="24"/>
          <w:lang w:val="ro-MD"/>
        </w:rPr>
        <w:t>1)</w:t>
      </w:r>
      <w:r w:rsidRPr="009E5B39">
        <w:rPr>
          <w:rFonts w:asciiTheme="majorHAnsi" w:eastAsia="Calibri" w:hAnsiTheme="majorHAnsi" w:cstheme="majorHAnsi"/>
          <w:i/>
          <w:iCs/>
          <w:sz w:val="24"/>
          <w:szCs w:val="24"/>
          <w:lang w:val="ro-MD"/>
        </w:rPr>
        <w:t xml:space="preserve"> </w:t>
      </w:r>
      <w:r w:rsidRPr="009E5B39">
        <w:rPr>
          <w:rFonts w:asciiTheme="majorHAnsi" w:eastAsia="Calibri" w:hAnsiTheme="majorHAnsi" w:cstheme="majorHAnsi"/>
          <w:iCs/>
          <w:sz w:val="24"/>
          <w:szCs w:val="24"/>
          <w:lang w:val="ro-MD"/>
        </w:rPr>
        <w:t>Nu sunt actualizate datele despre proprietarii noi înregistrați</w:t>
      </w:r>
      <w:r w:rsidRPr="009E5B39">
        <w:rPr>
          <w:rFonts w:asciiTheme="majorHAnsi" w:eastAsia="Calibri" w:hAnsiTheme="majorHAnsi" w:cstheme="majorHAnsi"/>
          <w:iCs/>
          <w:sz w:val="24"/>
          <w:szCs w:val="24"/>
          <w:vertAlign w:val="superscript"/>
          <w:lang w:val="ro-MD"/>
        </w:rPr>
        <w:footnoteReference w:id="30"/>
      </w:r>
      <w:r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b/>
          <w:sz w:val="24"/>
          <w:szCs w:val="24"/>
          <w:lang w:val="ro-MD"/>
        </w:rPr>
        <w:t>2)</w:t>
      </w:r>
      <w:r w:rsidRPr="009E5B39">
        <w:rPr>
          <w:rFonts w:asciiTheme="majorHAnsi" w:eastAsia="Calibri" w:hAnsiTheme="majorHAnsi" w:cstheme="majorHAnsi"/>
          <w:sz w:val="24"/>
          <w:szCs w:val="24"/>
          <w:lang w:val="ro-MD"/>
        </w:rPr>
        <w:t xml:space="preserve"> </w:t>
      </w:r>
      <w:r w:rsidRPr="009E5B39">
        <w:rPr>
          <w:rFonts w:asciiTheme="majorHAnsi" w:hAnsiTheme="majorHAnsi" w:cstheme="majorHAnsi"/>
          <w:b/>
          <w:sz w:val="24"/>
          <w:szCs w:val="24"/>
          <w:lang w:val="ro-MD"/>
        </w:rPr>
        <w:t xml:space="preserve"> </w:t>
      </w:r>
      <w:r w:rsidRPr="009E5B39">
        <w:rPr>
          <w:rFonts w:asciiTheme="majorHAnsi" w:eastAsia="Calibri" w:hAnsiTheme="majorHAnsi" w:cstheme="majorHAnsi"/>
          <w:iCs/>
          <w:sz w:val="24"/>
          <w:szCs w:val="24"/>
          <w:lang w:val="ro-MD"/>
        </w:rPr>
        <w:t xml:space="preserve">Nu se înscrie achitarea penalităților. </w:t>
      </w:r>
      <w:r w:rsidR="00B83BFE" w:rsidRPr="009E5B39">
        <w:rPr>
          <w:rFonts w:asciiTheme="majorHAnsi" w:eastAsia="Calibri" w:hAnsiTheme="majorHAnsi" w:cstheme="majorHAnsi"/>
          <w:iCs/>
          <w:sz w:val="24"/>
          <w:szCs w:val="24"/>
          <w:lang w:val="ro-MD"/>
        </w:rPr>
        <w:t>Înscrierea</w:t>
      </w:r>
      <w:r w:rsidRPr="009E5B39">
        <w:rPr>
          <w:rFonts w:asciiTheme="majorHAnsi" w:eastAsia="Calibri" w:hAnsiTheme="majorHAnsi" w:cstheme="majorHAnsi"/>
          <w:iCs/>
          <w:sz w:val="24"/>
          <w:szCs w:val="24"/>
          <w:lang w:val="ro-MD"/>
        </w:rPr>
        <w:t xml:space="preserve"> se efectuează doar în SIA „Contul </w:t>
      </w:r>
      <w:r w:rsidR="00B83BFE" w:rsidRPr="009E5B39">
        <w:rPr>
          <w:rFonts w:asciiTheme="majorHAnsi" w:eastAsia="Calibri" w:hAnsiTheme="majorHAnsi" w:cstheme="majorHAnsi"/>
          <w:iCs/>
          <w:sz w:val="24"/>
          <w:szCs w:val="24"/>
          <w:lang w:val="ro-MD"/>
        </w:rPr>
        <w:t>c</w:t>
      </w:r>
      <w:r w:rsidRPr="009E5B39">
        <w:rPr>
          <w:rFonts w:asciiTheme="majorHAnsi" w:eastAsia="Calibri" w:hAnsiTheme="majorHAnsi" w:cstheme="majorHAnsi"/>
          <w:iCs/>
          <w:sz w:val="24"/>
          <w:szCs w:val="24"/>
          <w:lang w:val="ro-MD"/>
        </w:rPr>
        <w:t>urent</w:t>
      </w:r>
      <w:r w:rsidR="00B83BFE" w:rsidRPr="009E5B39">
        <w:rPr>
          <w:rFonts w:asciiTheme="majorHAnsi" w:eastAsia="Calibri" w:hAnsiTheme="majorHAnsi" w:cstheme="majorHAnsi"/>
          <w:iCs/>
          <w:sz w:val="24"/>
          <w:szCs w:val="24"/>
          <w:lang w:val="ro-MD"/>
        </w:rPr>
        <w:t xml:space="preserve"> al contribuabilului</w:t>
      </w:r>
      <w:r w:rsidRPr="009E5B39">
        <w:rPr>
          <w:rFonts w:asciiTheme="majorHAnsi" w:eastAsia="Calibri" w:hAnsiTheme="majorHAnsi" w:cstheme="majorHAnsi"/>
          <w:iCs/>
          <w:sz w:val="24"/>
          <w:szCs w:val="24"/>
          <w:lang w:val="ro-MD"/>
        </w:rPr>
        <w:t xml:space="preserve">”, ceea ce duce la întocmirea ulterioară incorectă a avizelor de plată și </w:t>
      </w:r>
      <w:r w:rsidR="009B6742" w:rsidRPr="009E5B39">
        <w:rPr>
          <w:rFonts w:asciiTheme="majorHAnsi" w:eastAsia="Calibri" w:hAnsiTheme="majorHAnsi" w:cstheme="majorHAnsi"/>
          <w:iCs/>
          <w:sz w:val="24"/>
          <w:szCs w:val="24"/>
          <w:lang w:val="ro-MD"/>
        </w:rPr>
        <w:t xml:space="preserve">la </w:t>
      </w:r>
      <w:r w:rsidRPr="009E5B39">
        <w:rPr>
          <w:rFonts w:asciiTheme="majorHAnsi" w:eastAsia="Calibri" w:hAnsiTheme="majorHAnsi" w:cstheme="majorHAnsi"/>
          <w:iCs/>
          <w:sz w:val="24"/>
          <w:szCs w:val="24"/>
          <w:lang w:val="ro-MD"/>
        </w:rPr>
        <w:t>major</w:t>
      </w:r>
      <w:r w:rsidR="009B6742" w:rsidRPr="009E5B39">
        <w:rPr>
          <w:rFonts w:asciiTheme="majorHAnsi" w:eastAsia="Calibri" w:hAnsiTheme="majorHAnsi" w:cstheme="majorHAnsi"/>
          <w:iCs/>
          <w:sz w:val="24"/>
          <w:szCs w:val="24"/>
          <w:lang w:val="ro-MD"/>
        </w:rPr>
        <w:t>area</w:t>
      </w:r>
      <w:r w:rsidRPr="009E5B39">
        <w:rPr>
          <w:rFonts w:asciiTheme="majorHAnsi" w:eastAsia="Calibri" w:hAnsiTheme="majorHAnsi" w:cstheme="majorHAnsi"/>
          <w:iCs/>
          <w:sz w:val="24"/>
          <w:szCs w:val="24"/>
          <w:lang w:val="ro-MD"/>
        </w:rPr>
        <w:t xml:space="preserve"> </w:t>
      </w:r>
      <w:r w:rsidR="009B6742" w:rsidRPr="009E5B39">
        <w:rPr>
          <w:rFonts w:asciiTheme="majorHAnsi" w:eastAsia="Calibri" w:hAnsiTheme="majorHAnsi" w:cstheme="majorHAnsi"/>
          <w:iCs/>
          <w:sz w:val="24"/>
          <w:szCs w:val="24"/>
          <w:lang w:val="ro-MD"/>
        </w:rPr>
        <w:t>sumei</w:t>
      </w:r>
      <w:r w:rsidRPr="009E5B39">
        <w:rPr>
          <w:rFonts w:asciiTheme="majorHAnsi" w:eastAsia="Calibri" w:hAnsiTheme="majorHAnsi" w:cstheme="majorHAnsi"/>
          <w:iCs/>
          <w:sz w:val="24"/>
          <w:szCs w:val="24"/>
          <w:lang w:val="ro-MD"/>
        </w:rPr>
        <w:t xml:space="preserve"> spre achitare</w:t>
      </w:r>
      <w:r w:rsidR="009B6742" w:rsidRPr="009E5B39">
        <w:rPr>
          <w:rFonts w:asciiTheme="majorHAnsi" w:eastAsia="Calibri" w:hAnsiTheme="majorHAnsi" w:cstheme="majorHAnsi"/>
          <w:iCs/>
          <w:sz w:val="24"/>
          <w:szCs w:val="24"/>
          <w:lang w:val="ro-MD"/>
        </w:rPr>
        <w:t>,</w:t>
      </w:r>
      <w:r w:rsidRPr="009E5B39">
        <w:rPr>
          <w:rFonts w:asciiTheme="majorHAnsi" w:eastAsia="Calibri" w:hAnsiTheme="majorHAnsi" w:cstheme="majorHAnsi"/>
          <w:iCs/>
          <w:sz w:val="24"/>
          <w:szCs w:val="24"/>
          <w:lang w:val="ro-MD"/>
        </w:rPr>
        <w:t xml:space="preserve"> care include repetat penalitatea achitată anterior.</w:t>
      </w:r>
      <w:r w:rsidRPr="009E5B39">
        <w:rPr>
          <w:rFonts w:asciiTheme="majorHAnsi" w:eastAsia="Calibri" w:hAnsiTheme="majorHAnsi" w:cstheme="majorHAnsi"/>
          <w:sz w:val="24"/>
          <w:szCs w:val="24"/>
          <w:lang w:val="ro-MD"/>
        </w:rPr>
        <w:t xml:space="preserve"> PMC a informat SFS (scrisoarea nr. 3615/22 din 03.06.2022) despre problema respectivă, însă deficiența menționată mai persistă</w:t>
      </w:r>
      <w:r w:rsidR="009B6742"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b/>
          <w:sz w:val="24"/>
          <w:szCs w:val="24"/>
          <w:lang w:val="ro-MD"/>
        </w:rPr>
        <w:t>3)</w:t>
      </w:r>
      <w:r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iCs/>
          <w:sz w:val="24"/>
          <w:szCs w:val="24"/>
          <w:lang w:val="ro-MD"/>
        </w:rPr>
        <w:t>Informațiile aferente restanțelor nu sunt reale nici în SIA „Cadastrul fiscal 2.0”</w:t>
      </w:r>
      <w:r w:rsidR="007B730E" w:rsidRPr="009E5B39">
        <w:rPr>
          <w:rFonts w:asciiTheme="majorHAnsi" w:eastAsia="Calibri" w:hAnsiTheme="majorHAnsi" w:cstheme="majorHAnsi"/>
          <w:iCs/>
          <w:sz w:val="24"/>
          <w:szCs w:val="24"/>
          <w:lang w:val="ro-MD"/>
        </w:rPr>
        <w:t>,</w:t>
      </w:r>
      <w:r w:rsidRPr="009E5B39">
        <w:rPr>
          <w:rFonts w:asciiTheme="majorHAnsi" w:eastAsia="Calibri" w:hAnsiTheme="majorHAnsi" w:cstheme="majorHAnsi"/>
          <w:iCs/>
          <w:sz w:val="24"/>
          <w:szCs w:val="24"/>
          <w:lang w:val="ro-MD"/>
        </w:rPr>
        <w:t xml:space="preserve"> nici în SIA „Contul </w:t>
      </w:r>
      <w:r w:rsidR="007B730E" w:rsidRPr="009E5B39">
        <w:rPr>
          <w:rFonts w:asciiTheme="majorHAnsi" w:eastAsia="Calibri" w:hAnsiTheme="majorHAnsi" w:cstheme="majorHAnsi"/>
          <w:iCs/>
          <w:sz w:val="24"/>
          <w:szCs w:val="24"/>
          <w:lang w:val="ro-MD"/>
        </w:rPr>
        <w:t>c</w:t>
      </w:r>
      <w:r w:rsidRPr="009E5B39">
        <w:rPr>
          <w:rFonts w:asciiTheme="majorHAnsi" w:eastAsia="Calibri" w:hAnsiTheme="majorHAnsi" w:cstheme="majorHAnsi"/>
          <w:iCs/>
          <w:sz w:val="24"/>
          <w:szCs w:val="24"/>
          <w:lang w:val="ro-MD"/>
        </w:rPr>
        <w:t>urent</w:t>
      </w:r>
      <w:r w:rsidR="007B730E" w:rsidRPr="009E5B39">
        <w:rPr>
          <w:rFonts w:asciiTheme="majorHAnsi" w:eastAsia="Calibri" w:hAnsiTheme="majorHAnsi" w:cstheme="majorHAnsi"/>
          <w:iCs/>
          <w:sz w:val="24"/>
          <w:szCs w:val="24"/>
          <w:lang w:val="ro-MD"/>
        </w:rPr>
        <w:t xml:space="preserve"> al contribuabilului</w:t>
      </w:r>
      <w:r w:rsidRPr="009E5B39">
        <w:rPr>
          <w:rFonts w:asciiTheme="majorHAnsi" w:eastAsia="Calibri" w:hAnsiTheme="majorHAnsi" w:cstheme="majorHAnsi"/>
          <w:iCs/>
          <w:sz w:val="24"/>
          <w:szCs w:val="24"/>
          <w:lang w:val="ro-MD"/>
        </w:rPr>
        <w:t>”.</w:t>
      </w:r>
      <w:r w:rsidRPr="009E5B39">
        <w:rPr>
          <w:rFonts w:asciiTheme="majorHAnsi" w:eastAsia="Calibri" w:hAnsiTheme="majorHAnsi" w:cstheme="majorHAnsi"/>
          <w:i/>
          <w:iCs/>
          <w:sz w:val="24"/>
          <w:szCs w:val="24"/>
          <w:lang w:val="ro-MD"/>
        </w:rPr>
        <w:t xml:space="preserve"> </w:t>
      </w:r>
      <w:r w:rsidRPr="009E5B39">
        <w:rPr>
          <w:rFonts w:asciiTheme="majorHAnsi" w:eastAsia="Calibri" w:hAnsiTheme="majorHAnsi" w:cstheme="majorHAnsi"/>
          <w:sz w:val="24"/>
          <w:szCs w:val="24"/>
          <w:lang w:val="ro-MD"/>
        </w:rPr>
        <w:t>Dacă persoana deține bunuri imobile în mai multe sectoare din mun. Chișinău, în CF-1 „Informația cu privire la obligațiile contribuabililor” pentru fiecare sector se indică valoarea restanțel</w:t>
      </w:r>
      <w:r w:rsidR="007B730E" w:rsidRPr="009E5B39">
        <w:rPr>
          <w:rFonts w:asciiTheme="majorHAnsi" w:eastAsia="Calibri" w:hAnsiTheme="majorHAnsi" w:cstheme="majorHAnsi"/>
          <w:sz w:val="24"/>
          <w:szCs w:val="24"/>
          <w:lang w:val="ro-MD"/>
        </w:rPr>
        <w:t>or</w:t>
      </w:r>
      <w:r w:rsidRPr="009E5B39">
        <w:rPr>
          <w:rFonts w:asciiTheme="majorHAnsi" w:eastAsia="Calibri" w:hAnsiTheme="majorHAnsi" w:cstheme="majorHAnsi"/>
          <w:sz w:val="24"/>
          <w:szCs w:val="24"/>
          <w:lang w:val="ro-MD"/>
        </w:rPr>
        <w:t xml:space="preserve"> aferent</w:t>
      </w:r>
      <w:r w:rsidR="007B730E" w:rsidRPr="009E5B39">
        <w:rPr>
          <w:rFonts w:asciiTheme="majorHAnsi" w:eastAsia="Calibri" w:hAnsiTheme="majorHAnsi" w:cstheme="majorHAnsi"/>
          <w:sz w:val="24"/>
          <w:szCs w:val="24"/>
          <w:lang w:val="ro-MD"/>
        </w:rPr>
        <w:t>e</w:t>
      </w:r>
      <w:r w:rsidRPr="009E5B39">
        <w:rPr>
          <w:rFonts w:asciiTheme="majorHAnsi" w:eastAsia="Calibri" w:hAnsiTheme="majorHAnsi" w:cstheme="majorHAnsi"/>
          <w:sz w:val="24"/>
          <w:szCs w:val="24"/>
          <w:lang w:val="ro-MD"/>
        </w:rPr>
        <w:t xml:space="preserve"> tuturor bunurilor imobile deținute. Astfel, unele restanțe se dublează, </w:t>
      </w:r>
      <w:r w:rsidR="007B730E" w:rsidRPr="009E5B39">
        <w:rPr>
          <w:rFonts w:asciiTheme="majorHAnsi" w:eastAsia="Calibri" w:hAnsiTheme="majorHAnsi" w:cstheme="majorHAnsi"/>
          <w:sz w:val="24"/>
          <w:szCs w:val="24"/>
          <w:lang w:val="ro-MD"/>
        </w:rPr>
        <w:t xml:space="preserve">se </w:t>
      </w:r>
      <w:r w:rsidRPr="009E5B39">
        <w:rPr>
          <w:rFonts w:asciiTheme="majorHAnsi" w:eastAsia="Calibri" w:hAnsiTheme="majorHAnsi" w:cstheme="majorHAnsi"/>
          <w:sz w:val="24"/>
          <w:szCs w:val="24"/>
          <w:lang w:val="ro-MD"/>
        </w:rPr>
        <w:t>triplează</w:t>
      </w:r>
      <w:r w:rsidRPr="009E5B39">
        <w:rPr>
          <w:rFonts w:asciiTheme="majorHAnsi" w:eastAsia="Calibri" w:hAnsiTheme="majorHAnsi" w:cstheme="majorHAnsi"/>
          <w:sz w:val="24"/>
          <w:szCs w:val="24"/>
          <w:vertAlign w:val="superscript"/>
          <w:lang w:val="ro-MD"/>
        </w:rPr>
        <w:footnoteReference w:id="31"/>
      </w:r>
      <w:r w:rsidRPr="009E5B39">
        <w:rPr>
          <w:rFonts w:asciiTheme="majorHAnsi" w:eastAsia="Calibri" w:hAnsiTheme="majorHAnsi" w:cstheme="majorHAnsi"/>
          <w:sz w:val="24"/>
          <w:szCs w:val="24"/>
          <w:lang w:val="ro-MD"/>
        </w:rPr>
        <w:t xml:space="preserve"> etc.</w:t>
      </w:r>
      <w:r w:rsidR="007B730E"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b/>
          <w:sz w:val="24"/>
          <w:szCs w:val="24"/>
          <w:lang w:val="ro-MD"/>
        </w:rPr>
        <w:t>4)</w:t>
      </w:r>
      <w:r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iCs/>
          <w:sz w:val="24"/>
          <w:szCs w:val="24"/>
          <w:lang w:val="ro-MD"/>
        </w:rPr>
        <w:t>Impozitul nu este calculat ținând</w:t>
      </w:r>
      <w:r w:rsidR="007B730E" w:rsidRPr="009E5B39">
        <w:rPr>
          <w:rFonts w:asciiTheme="majorHAnsi" w:eastAsia="Calibri" w:hAnsiTheme="majorHAnsi" w:cstheme="majorHAnsi"/>
          <w:iCs/>
          <w:sz w:val="24"/>
          <w:szCs w:val="24"/>
          <w:lang w:val="ro-MD"/>
        </w:rPr>
        <w:t>u-se</w:t>
      </w:r>
      <w:r w:rsidRPr="009E5B39">
        <w:rPr>
          <w:rFonts w:asciiTheme="majorHAnsi" w:eastAsia="Calibri" w:hAnsiTheme="majorHAnsi" w:cstheme="majorHAnsi"/>
          <w:iCs/>
          <w:sz w:val="24"/>
          <w:szCs w:val="24"/>
          <w:lang w:val="ro-MD"/>
        </w:rPr>
        <w:t xml:space="preserve"> cont de data apariției dreptului la scutire/facilități</w:t>
      </w:r>
      <w:r w:rsidR="007B730E" w:rsidRPr="009E5B39">
        <w:rPr>
          <w:rFonts w:asciiTheme="majorHAnsi" w:eastAsia="Calibri" w:hAnsiTheme="majorHAnsi" w:cstheme="majorHAnsi"/>
          <w:iCs/>
          <w:sz w:val="24"/>
          <w:szCs w:val="24"/>
          <w:lang w:val="ro-MD"/>
        </w:rPr>
        <w:t>, r</w:t>
      </w:r>
      <w:r w:rsidRPr="009E5B39">
        <w:rPr>
          <w:rFonts w:asciiTheme="majorHAnsi" w:eastAsia="Calibri" w:hAnsiTheme="majorHAnsi" w:cstheme="majorHAnsi"/>
          <w:iCs/>
          <w:sz w:val="24"/>
          <w:szCs w:val="24"/>
          <w:lang w:val="ro-MD"/>
        </w:rPr>
        <w:t>ecalculul respectiv urmând a fi efectuat ulterior</w:t>
      </w:r>
      <w:r w:rsidR="007B730E" w:rsidRPr="009E5B39">
        <w:rPr>
          <w:rFonts w:asciiTheme="majorHAnsi" w:eastAsia="Calibri" w:hAnsiTheme="majorHAnsi" w:cstheme="majorHAnsi"/>
          <w:iCs/>
          <w:sz w:val="24"/>
          <w:szCs w:val="24"/>
          <w:lang w:val="ro-MD"/>
        </w:rPr>
        <w:t>,</w:t>
      </w:r>
      <w:r w:rsidRPr="009E5B39">
        <w:rPr>
          <w:rFonts w:asciiTheme="majorHAnsi" w:eastAsia="Calibri" w:hAnsiTheme="majorHAnsi" w:cstheme="majorHAnsi"/>
          <w:iCs/>
          <w:sz w:val="24"/>
          <w:szCs w:val="24"/>
          <w:lang w:val="ro-MD"/>
        </w:rPr>
        <w:t xml:space="preserve"> manual, de </w:t>
      </w:r>
      <w:r w:rsidR="007B730E" w:rsidRPr="009E5B39">
        <w:rPr>
          <w:rFonts w:asciiTheme="majorHAnsi" w:eastAsia="Calibri" w:hAnsiTheme="majorHAnsi" w:cstheme="majorHAnsi"/>
          <w:iCs/>
          <w:sz w:val="24"/>
          <w:szCs w:val="24"/>
          <w:lang w:val="ro-MD"/>
        </w:rPr>
        <w:t xml:space="preserve">către </w:t>
      </w:r>
      <w:r w:rsidRPr="009E5B39">
        <w:rPr>
          <w:rFonts w:asciiTheme="majorHAnsi" w:eastAsia="Calibri" w:hAnsiTheme="majorHAnsi" w:cstheme="majorHAnsi"/>
          <w:iCs/>
          <w:sz w:val="24"/>
          <w:szCs w:val="24"/>
          <w:lang w:val="ro-MD"/>
        </w:rPr>
        <w:t>angajații DCITL</w:t>
      </w:r>
      <w:r w:rsidR="007B730E" w:rsidRPr="009E5B39">
        <w:rPr>
          <w:rFonts w:asciiTheme="majorHAnsi" w:eastAsia="Calibri" w:hAnsiTheme="majorHAnsi" w:cstheme="majorHAnsi"/>
          <w:iCs/>
          <w:sz w:val="24"/>
          <w:szCs w:val="24"/>
          <w:lang w:val="ro-MD"/>
        </w:rPr>
        <w:t>;</w:t>
      </w:r>
      <w:r w:rsidR="007B730E" w:rsidRPr="009E5B39">
        <w:rPr>
          <w:rFonts w:asciiTheme="majorHAnsi" w:eastAsia="Calibri" w:hAnsiTheme="majorHAnsi" w:cstheme="majorHAnsi"/>
          <w:i/>
          <w:iCs/>
          <w:sz w:val="24"/>
          <w:szCs w:val="24"/>
          <w:lang w:val="ro-MD"/>
        </w:rPr>
        <w:t xml:space="preserve"> </w:t>
      </w:r>
      <w:r w:rsidRPr="009E5B39">
        <w:rPr>
          <w:rFonts w:asciiTheme="majorHAnsi" w:eastAsia="Calibri" w:hAnsiTheme="majorHAnsi" w:cstheme="majorHAnsi"/>
          <w:i/>
          <w:iCs/>
          <w:sz w:val="24"/>
          <w:szCs w:val="24"/>
          <w:lang w:val="ro-MD"/>
        </w:rPr>
        <w:t xml:space="preserve"> </w:t>
      </w:r>
      <w:r w:rsidRPr="009E5B39">
        <w:rPr>
          <w:rFonts w:asciiTheme="majorHAnsi" w:eastAsia="Calibri" w:hAnsiTheme="majorHAnsi" w:cstheme="majorHAnsi"/>
          <w:b/>
          <w:iCs/>
          <w:sz w:val="24"/>
          <w:szCs w:val="24"/>
          <w:lang w:val="ro-MD"/>
        </w:rPr>
        <w:t>5)</w:t>
      </w:r>
      <w:r w:rsidRPr="009E5B39">
        <w:rPr>
          <w:rFonts w:asciiTheme="majorHAnsi" w:eastAsia="Calibri" w:hAnsiTheme="majorHAnsi" w:cstheme="majorHAnsi"/>
          <w:b/>
          <w:i/>
          <w:iCs/>
          <w:sz w:val="24"/>
          <w:szCs w:val="24"/>
          <w:lang w:val="ro-MD"/>
        </w:rPr>
        <w:t xml:space="preserve"> </w:t>
      </w:r>
      <w:r w:rsidRPr="009E5B39">
        <w:rPr>
          <w:rFonts w:asciiTheme="majorHAnsi" w:eastAsia="Calibri" w:hAnsiTheme="majorHAnsi" w:cstheme="majorHAnsi"/>
          <w:i/>
          <w:iCs/>
          <w:sz w:val="24"/>
          <w:szCs w:val="24"/>
          <w:lang w:val="ro-MD"/>
        </w:rPr>
        <w:t xml:space="preserve"> </w:t>
      </w:r>
      <w:r w:rsidRPr="009E5B39">
        <w:rPr>
          <w:rFonts w:asciiTheme="majorHAnsi" w:eastAsia="Calibri" w:hAnsiTheme="majorHAnsi" w:cstheme="majorHAnsi"/>
          <w:sz w:val="24"/>
          <w:szCs w:val="24"/>
          <w:lang w:val="ro-MD"/>
        </w:rPr>
        <w:t>În cazul existenței mai multor coproprietari a</w:t>
      </w:r>
      <w:r w:rsidR="007B730E" w:rsidRPr="009E5B39">
        <w:rPr>
          <w:rFonts w:asciiTheme="majorHAnsi" w:eastAsia="Calibri" w:hAnsiTheme="majorHAnsi" w:cstheme="majorHAnsi"/>
          <w:sz w:val="24"/>
          <w:szCs w:val="24"/>
          <w:lang w:val="ro-MD"/>
        </w:rPr>
        <w:t>i</w:t>
      </w:r>
      <w:r w:rsidRPr="009E5B39">
        <w:rPr>
          <w:rFonts w:asciiTheme="majorHAnsi" w:eastAsia="Calibri" w:hAnsiTheme="majorHAnsi" w:cstheme="majorHAnsi"/>
          <w:sz w:val="24"/>
          <w:szCs w:val="24"/>
          <w:lang w:val="ro-MD"/>
        </w:rPr>
        <w:t xml:space="preserve"> bunului imobil, impozitul </w:t>
      </w:r>
      <w:r w:rsidR="00E875ED" w:rsidRPr="009E5B39">
        <w:rPr>
          <w:rFonts w:asciiTheme="majorHAnsi" w:eastAsia="Calibri" w:hAnsiTheme="majorHAnsi" w:cstheme="majorHAnsi"/>
          <w:sz w:val="24"/>
          <w:szCs w:val="24"/>
          <w:lang w:val="ro-MD"/>
        </w:rPr>
        <w:t>pe bunuri</w:t>
      </w:r>
      <w:r w:rsidR="009301EC" w:rsidRPr="009E5B39">
        <w:rPr>
          <w:rFonts w:asciiTheme="majorHAnsi" w:eastAsia="Calibri" w:hAnsiTheme="majorHAnsi" w:cstheme="majorHAnsi"/>
          <w:sz w:val="24"/>
          <w:szCs w:val="24"/>
          <w:lang w:val="ro-MD"/>
        </w:rPr>
        <w:t>le</w:t>
      </w:r>
      <w:r w:rsidR="00E875ED" w:rsidRPr="009E5B39">
        <w:rPr>
          <w:rFonts w:asciiTheme="majorHAnsi" w:eastAsia="Calibri" w:hAnsiTheme="majorHAnsi" w:cstheme="majorHAnsi"/>
          <w:sz w:val="24"/>
          <w:szCs w:val="24"/>
          <w:lang w:val="ro-MD"/>
        </w:rPr>
        <w:t xml:space="preserve"> </w:t>
      </w:r>
      <w:r w:rsidR="00872CDF" w:rsidRPr="009E5B39">
        <w:rPr>
          <w:rFonts w:asciiTheme="majorHAnsi" w:eastAsia="Calibri" w:hAnsiTheme="majorHAnsi" w:cstheme="majorHAnsi"/>
          <w:sz w:val="24"/>
          <w:szCs w:val="24"/>
          <w:lang w:val="ro-MD"/>
        </w:rPr>
        <w:t xml:space="preserve">imobiliare </w:t>
      </w:r>
      <w:r w:rsidR="00E875ED" w:rsidRPr="009E5B39">
        <w:rPr>
          <w:rFonts w:asciiTheme="majorHAnsi" w:eastAsia="Calibri" w:hAnsiTheme="majorHAnsi" w:cstheme="majorHAnsi"/>
          <w:sz w:val="24"/>
          <w:szCs w:val="24"/>
          <w:lang w:val="ro-MD"/>
        </w:rPr>
        <w:t>aferente terenurilor</w:t>
      </w:r>
      <w:r w:rsidRPr="009E5B39">
        <w:rPr>
          <w:rFonts w:asciiTheme="majorHAnsi" w:eastAsia="Calibri" w:hAnsiTheme="majorHAnsi" w:cstheme="majorHAnsi"/>
          <w:sz w:val="24"/>
          <w:szCs w:val="24"/>
          <w:lang w:val="ro-MD"/>
        </w:rPr>
        <w:t xml:space="preserve"> este repartizat proporțional cotei sau suprafeței bunului imobil deținut, fără ca acest mecanism să fie stabilit și aprobat printr-un regulament intern. Ca urmare, exist</w:t>
      </w:r>
      <w:r w:rsidR="009301EC" w:rsidRPr="009E5B39">
        <w:rPr>
          <w:rFonts w:asciiTheme="majorHAnsi" w:eastAsia="Calibri" w:hAnsiTheme="majorHAnsi" w:cstheme="majorHAnsi"/>
          <w:sz w:val="24"/>
          <w:szCs w:val="24"/>
          <w:lang w:val="ro-MD"/>
        </w:rPr>
        <w:t xml:space="preserve">ă </w:t>
      </w:r>
      <w:r w:rsidRPr="009E5B39">
        <w:rPr>
          <w:rFonts w:asciiTheme="majorHAnsi" w:eastAsia="Calibri" w:hAnsiTheme="majorHAnsi" w:cstheme="majorHAnsi"/>
          <w:sz w:val="24"/>
          <w:szCs w:val="24"/>
          <w:lang w:val="ro-MD"/>
        </w:rPr>
        <w:t xml:space="preserve">riscul </w:t>
      </w:r>
      <w:r w:rsidR="009301EC" w:rsidRPr="009E5B39">
        <w:rPr>
          <w:rFonts w:asciiTheme="majorHAnsi" w:eastAsia="Calibri" w:hAnsiTheme="majorHAnsi" w:cstheme="majorHAnsi"/>
          <w:sz w:val="24"/>
          <w:szCs w:val="24"/>
          <w:lang w:val="ro-MD"/>
        </w:rPr>
        <w:t xml:space="preserve">de </w:t>
      </w:r>
      <w:r w:rsidRPr="009E5B39">
        <w:rPr>
          <w:rFonts w:asciiTheme="majorHAnsi" w:eastAsia="Calibri" w:hAnsiTheme="majorHAnsi" w:cstheme="majorHAnsi"/>
          <w:sz w:val="24"/>
          <w:szCs w:val="24"/>
          <w:lang w:val="ro-MD"/>
        </w:rPr>
        <w:t>repartiz</w:t>
      </w:r>
      <w:r w:rsidR="009301EC" w:rsidRPr="009E5B39">
        <w:rPr>
          <w:rFonts w:asciiTheme="majorHAnsi" w:eastAsia="Calibri" w:hAnsiTheme="majorHAnsi" w:cstheme="majorHAnsi"/>
          <w:sz w:val="24"/>
          <w:szCs w:val="24"/>
          <w:lang w:val="ro-MD"/>
        </w:rPr>
        <w:t>are a</w:t>
      </w:r>
      <w:r w:rsidRPr="009E5B39">
        <w:rPr>
          <w:rFonts w:asciiTheme="majorHAnsi" w:eastAsia="Calibri" w:hAnsiTheme="majorHAnsi" w:cstheme="majorHAnsi"/>
          <w:sz w:val="24"/>
          <w:szCs w:val="24"/>
          <w:lang w:val="ro-MD"/>
        </w:rPr>
        <w:t xml:space="preserve"> impozitului contrar folosinței reale a terenului</w:t>
      </w:r>
      <w:r w:rsidR="009301EC"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b/>
          <w:sz w:val="24"/>
          <w:szCs w:val="24"/>
          <w:lang w:val="ro-MD"/>
        </w:rPr>
        <w:t xml:space="preserve">6) </w:t>
      </w:r>
      <w:r w:rsidRPr="009E5B39">
        <w:rPr>
          <w:rFonts w:asciiTheme="majorHAnsi" w:eastAsia="Calibri" w:hAnsiTheme="majorHAnsi" w:cstheme="majorHAnsi"/>
          <w:sz w:val="24"/>
          <w:szCs w:val="24"/>
          <w:lang w:val="ro-MD"/>
        </w:rPr>
        <w:t xml:space="preserve"> DCITL nu are acces la SIA „Contul </w:t>
      </w:r>
      <w:r w:rsidR="009301EC" w:rsidRPr="009E5B39">
        <w:rPr>
          <w:rFonts w:asciiTheme="majorHAnsi" w:eastAsia="Calibri" w:hAnsiTheme="majorHAnsi" w:cstheme="majorHAnsi"/>
          <w:sz w:val="24"/>
          <w:szCs w:val="24"/>
          <w:lang w:val="ro-MD"/>
        </w:rPr>
        <w:t>c</w:t>
      </w:r>
      <w:r w:rsidRPr="009E5B39">
        <w:rPr>
          <w:rFonts w:asciiTheme="majorHAnsi" w:eastAsia="Calibri" w:hAnsiTheme="majorHAnsi" w:cstheme="majorHAnsi"/>
          <w:sz w:val="24"/>
          <w:szCs w:val="24"/>
          <w:lang w:val="ro-MD"/>
        </w:rPr>
        <w:t>urent</w:t>
      </w:r>
      <w:r w:rsidR="009301EC"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a</w:t>
      </w:r>
      <w:r w:rsidR="009301EC" w:rsidRPr="009E5B39">
        <w:rPr>
          <w:rFonts w:asciiTheme="majorHAnsi" w:eastAsia="Calibri" w:hAnsiTheme="majorHAnsi" w:cstheme="majorHAnsi"/>
          <w:sz w:val="24"/>
          <w:szCs w:val="24"/>
          <w:lang w:val="ro-MD"/>
        </w:rPr>
        <w:t>l</w:t>
      </w:r>
      <w:r w:rsidRPr="009E5B39">
        <w:rPr>
          <w:rFonts w:asciiTheme="majorHAnsi" w:eastAsia="Calibri" w:hAnsiTheme="majorHAnsi" w:cstheme="majorHAnsi"/>
          <w:sz w:val="24"/>
          <w:szCs w:val="24"/>
          <w:lang w:val="ro-MD"/>
        </w:rPr>
        <w:t xml:space="preserve"> contribuabilului</w:t>
      </w:r>
      <w:r w:rsidR="009301EC"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pentru a verifica și </w:t>
      </w:r>
      <w:r w:rsidR="009301EC" w:rsidRPr="009E5B39">
        <w:rPr>
          <w:rFonts w:asciiTheme="majorHAnsi" w:eastAsia="Calibri" w:hAnsiTheme="majorHAnsi" w:cstheme="majorHAnsi"/>
          <w:sz w:val="24"/>
          <w:szCs w:val="24"/>
          <w:lang w:val="ro-MD"/>
        </w:rPr>
        <w:t xml:space="preserve">a </w:t>
      </w:r>
      <w:r w:rsidRPr="009E5B39">
        <w:rPr>
          <w:rFonts w:asciiTheme="majorHAnsi" w:eastAsia="Calibri" w:hAnsiTheme="majorHAnsi" w:cstheme="majorHAnsi"/>
          <w:sz w:val="24"/>
          <w:szCs w:val="24"/>
          <w:lang w:val="ro-MD"/>
        </w:rPr>
        <w:t xml:space="preserve">confrunta datele aferente impozitelor din SIA „Cadastrul fiscal 2.0” și SIA „Contul </w:t>
      </w:r>
      <w:r w:rsidR="009301EC" w:rsidRPr="009E5B39">
        <w:rPr>
          <w:rFonts w:asciiTheme="majorHAnsi" w:eastAsia="Calibri" w:hAnsiTheme="majorHAnsi" w:cstheme="majorHAnsi"/>
          <w:sz w:val="24"/>
          <w:szCs w:val="24"/>
          <w:lang w:val="ro-MD"/>
        </w:rPr>
        <w:t>c</w:t>
      </w:r>
      <w:r w:rsidRPr="009E5B39">
        <w:rPr>
          <w:rFonts w:asciiTheme="majorHAnsi" w:eastAsia="Calibri" w:hAnsiTheme="majorHAnsi" w:cstheme="majorHAnsi"/>
          <w:sz w:val="24"/>
          <w:szCs w:val="24"/>
          <w:lang w:val="ro-MD"/>
        </w:rPr>
        <w:t>urent</w:t>
      </w:r>
      <w:r w:rsidR="009301EC" w:rsidRPr="009E5B39">
        <w:rPr>
          <w:rFonts w:asciiTheme="majorHAnsi" w:eastAsia="Calibri" w:hAnsiTheme="majorHAnsi" w:cstheme="majorHAnsi"/>
          <w:sz w:val="24"/>
          <w:szCs w:val="24"/>
          <w:lang w:val="ro-MD"/>
        </w:rPr>
        <w:t xml:space="preserve"> al contribuabilului</w:t>
      </w:r>
      <w:r w:rsidRPr="009E5B39">
        <w:rPr>
          <w:rFonts w:asciiTheme="majorHAnsi" w:eastAsia="Calibri" w:hAnsiTheme="majorHAnsi" w:cstheme="majorHAnsi"/>
          <w:sz w:val="24"/>
          <w:szCs w:val="24"/>
          <w:lang w:val="ro-MD"/>
        </w:rPr>
        <w:t>” și</w:t>
      </w:r>
      <w:r w:rsidR="009301EC"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respectiv</w:t>
      </w:r>
      <w:r w:rsidR="009301EC" w:rsidRPr="009E5B39">
        <w:rPr>
          <w:rFonts w:asciiTheme="majorHAnsi" w:eastAsia="Calibri" w:hAnsiTheme="majorHAnsi" w:cstheme="majorHAnsi"/>
          <w:sz w:val="24"/>
          <w:szCs w:val="24"/>
          <w:lang w:val="ro-MD"/>
        </w:rPr>
        <w:t>, pentru</w:t>
      </w:r>
      <w:r w:rsidRPr="009E5B39">
        <w:rPr>
          <w:rFonts w:asciiTheme="majorHAnsi" w:eastAsia="Calibri" w:hAnsiTheme="majorHAnsi" w:cstheme="majorHAnsi"/>
          <w:sz w:val="24"/>
          <w:szCs w:val="24"/>
          <w:lang w:val="ro-MD"/>
        </w:rPr>
        <w:t xml:space="preserve"> a determina modul de corectare a calculului sau achitării greșite, ceea ce </w:t>
      </w:r>
      <w:r w:rsidR="00BE39F0" w:rsidRPr="009E5B39">
        <w:rPr>
          <w:rFonts w:asciiTheme="majorHAnsi" w:eastAsia="Calibri" w:hAnsiTheme="majorHAnsi" w:cstheme="majorHAnsi"/>
          <w:sz w:val="24"/>
          <w:szCs w:val="24"/>
          <w:lang w:val="ro-MD"/>
        </w:rPr>
        <w:t xml:space="preserve">creează </w:t>
      </w:r>
      <w:r w:rsidRPr="009E5B39">
        <w:rPr>
          <w:rFonts w:asciiTheme="majorHAnsi" w:eastAsia="Calibri" w:hAnsiTheme="majorHAnsi" w:cstheme="majorHAnsi"/>
          <w:sz w:val="24"/>
          <w:szCs w:val="24"/>
          <w:lang w:val="ro-MD"/>
        </w:rPr>
        <w:t xml:space="preserve"> inconveniențe </w:t>
      </w:r>
      <w:r w:rsidR="009301EC" w:rsidRPr="009E5B39">
        <w:rPr>
          <w:rFonts w:asciiTheme="majorHAnsi" w:eastAsia="Calibri" w:hAnsiTheme="majorHAnsi" w:cstheme="majorHAnsi"/>
          <w:sz w:val="24"/>
          <w:szCs w:val="24"/>
          <w:lang w:val="ro-MD"/>
        </w:rPr>
        <w:t>cetățenilor, a</w:t>
      </w:r>
      <w:r w:rsidRPr="009E5B39">
        <w:rPr>
          <w:rFonts w:asciiTheme="majorHAnsi" w:eastAsia="Calibri" w:hAnsiTheme="majorHAnsi" w:cstheme="majorHAnsi"/>
          <w:sz w:val="24"/>
          <w:szCs w:val="24"/>
          <w:lang w:val="ro-MD"/>
        </w:rPr>
        <w:t>ceștia urmând să se adreseze la SFS</w:t>
      </w:r>
      <w:r w:rsidR="009301EC"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pentru eliminarea erorilor</w:t>
      </w:r>
      <w:r w:rsidR="009301EC"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b/>
          <w:sz w:val="24"/>
          <w:szCs w:val="24"/>
          <w:lang w:val="ro-MD"/>
        </w:rPr>
        <w:t>7)</w:t>
      </w:r>
      <w:r w:rsidRPr="009E5B39">
        <w:rPr>
          <w:rFonts w:asciiTheme="majorHAnsi" w:eastAsia="Calibri" w:hAnsiTheme="majorHAnsi" w:cstheme="majorHAnsi"/>
          <w:sz w:val="24"/>
          <w:szCs w:val="24"/>
          <w:lang w:val="ro-MD"/>
        </w:rPr>
        <w:t xml:space="preserve"> Lipsesc reg</w:t>
      </w:r>
      <w:r w:rsidR="00BE39F0" w:rsidRPr="009E5B39">
        <w:rPr>
          <w:rFonts w:asciiTheme="majorHAnsi" w:eastAsia="Calibri" w:hAnsiTheme="majorHAnsi" w:cstheme="majorHAnsi"/>
          <w:sz w:val="24"/>
          <w:szCs w:val="24"/>
          <w:lang w:val="ro-MD"/>
        </w:rPr>
        <w:t>lementări</w:t>
      </w:r>
      <w:r w:rsidRPr="009E5B39">
        <w:rPr>
          <w:rFonts w:asciiTheme="majorHAnsi" w:eastAsia="Calibri" w:hAnsiTheme="majorHAnsi" w:cstheme="majorHAnsi"/>
          <w:sz w:val="24"/>
          <w:szCs w:val="24"/>
          <w:lang w:val="ro-MD"/>
        </w:rPr>
        <w:t xml:space="preserve"> cu privire la asigurarea înregistrării în RBI a evacuării persoanelor care au pierdut dreptul de proprietate în urma neexecutării contractului de ipotecă. Ca urmare, avizele de plată continu</w:t>
      </w:r>
      <w:r w:rsidR="00BE39F0" w:rsidRPr="009E5B39">
        <w:rPr>
          <w:rFonts w:asciiTheme="majorHAnsi" w:eastAsia="Calibri" w:hAnsiTheme="majorHAnsi" w:cstheme="majorHAnsi"/>
          <w:sz w:val="24"/>
          <w:szCs w:val="24"/>
          <w:lang w:val="ro-MD"/>
        </w:rPr>
        <w:t>ă</w:t>
      </w:r>
      <w:r w:rsidRPr="009E5B39">
        <w:rPr>
          <w:rFonts w:asciiTheme="majorHAnsi" w:eastAsia="Calibri" w:hAnsiTheme="majorHAnsi" w:cstheme="majorHAnsi"/>
          <w:sz w:val="24"/>
          <w:szCs w:val="24"/>
          <w:lang w:val="ro-MD"/>
        </w:rPr>
        <w:t xml:space="preserve"> să fie emise pe numele respectivelor persoane, iar DCITL nu are acces la SIA „Contul </w:t>
      </w:r>
      <w:r w:rsidR="00BE39F0" w:rsidRPr="009E5B39">
        <w:rPr>
          <w:rFonts w:asciiTheme="majorHAnsi" w:eastAsia="Calibri" w:hAnsiTheme="majorHAnsi" w:cstheme="majorHAnsi"/>
          <w:sz w:val="24"/>
          <w:szCs w:val="24"/>
          <w:lang w:val="ro-MD"/>
        </w:rPr>
        <w:t>c</w:t>
      </w:r>
      <w:r w:rsidRPr="009E5B39">
        <w:rPr>
          <w:rFonts w:asciiTheme="majorHAnsi" w:eastAsia="Calibri" w:hAnsiTheme="majorHAnsi" w:cstheme="majorHAnsi"/>
          <w:sz w:val="24"/>
          <w:szCs w:val="24"/>
          <w:lang w:val="ro-MD"/>
        </w:rPr>
        <w:t>urent</w:t>
      </w:r>
      <w:r w:rsidR="00BE39F0" w:rsidRPr="009E5B39">
        <w:rPr>
          <w:rFonts w:asciiTheme="majorHAnsi" w:eastAsia="Calibri" w:hAnsiTheme="majorHAnsi" w:cstheme="majorHAnsi"/>
          <w:sz w:val="24"/>
          <w:szCs w:val="24"/>
          <w:lang w:val="ro-MD"/>
        </w:rPr>
        <w:t xml:space="preserve"> al contribuabilului</w:t>
      </w:r>
      <w:r w:rsidRPr="009E5B39">
        <w:rPr>
          <w:rFonts w:asciiTheme="majorHAnsi" w:eastAsia="Calibri" w:hAnsiTheme="majorHAnsi" w:cstheme="majorHAnsi"/>
          <w:sz w:val="24"/>
          <w:szCs w:val="24"/>
          <w:lang w:val="ro-MD"/>
        </w:rPr>
        <w:t>” și</w:t>
      </w:r>
      <w:r w:rsidR="00BE39F0" w:rsidRPr="009E5B39">
        <w:rPr>
          <w:rFonts w:asciiTheme="majorHAnsi" w:eastAsia="Calibri" w:hAnsiTheme="majorHAnsi" w:cstheme="majorHAnsi"/>
          <w:sz w:val="24"/>
          <w:szCs w:val="24"/>
          <w:lang w:val="ro-MD"/>
        </w:rPr>
        <w:t xml:space="preserve"> la</w:t>
      </w:r>
      <w:r w:rsidRPr="009E5B39">
        <w:rPr>
          <w:rFonts w:asciiTheme="majorHAnsi" w:eastAsia="Calibri" w:hAnsiTheme="majorHAnsi" w:cstheme="majorHAnsi"/>
          <w:sz w:val="24"/>
          <w:szCs w:val="24"/>
          <w:lang w:val="ro-MD"/>
        </w:rPr>
        <w:t xml:space="preserve"> Dările de seamă a</w:t>
      </w:r>
      <w:r w:rsidR="00BE39F0" w:rsidRPr="009E5B39">
        <w:rPr>
          <w:rFonts w:asciiTheme="majorHAnsi" w:eastAsia="Calibri" w:hAnsiTheme="majorHAnsi" w:cstheme="majorHAnsi"/>
          <w:sz w:val="24"/>
          <w:szCs w:val="24"/>
          <w:lang w:val="ro-MD"/>
        </w:rPr>
        <w:t>le</w:t>
      </w:r>
      <w:r w:rsidRPr="009E5B39">
        <w:rPr>
          <w:rFonts w:asciiTheme="majorHAnsi" w:eastAsia="Calibri" w:hAnsiTheme="majorHAnsi" w:cstheme="majorHAnsi"/>
          <w:sz w:val="24"/>
          <w:szCs w:val="24"/>
          <w:lang w:val="ro-MD"/>
        </w:rPr>
        <w:t xml:space="preserve"> persoanelor juridice</w:t>
      </w:r>
      <w:r w:rsidR="00BE39F0"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pentru a verifica dacă aceste bunuri au fost incluse spre plată de către ipotecar (beneficiarul ipotecii)</w:t>
      </w:r>
      <w:r w:rsidR="009301EC"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b/>
          <w:sz w:val="24"/>
          <w:szCs w:val="24"/>
          <w:lang w:val="ro-MD"/>
        </w:rPr>
        <w:t>8)</w:t>
      </w:r>
      <w:r w:rsidRPr="009E5B39">
        <w:rPr>
          <w:rFonts w:asciiTheme="majorHAnsi" w:eastAsia="Calibri" w:hAnsiTheme="majorHAnsi" w:cstheme="majorHAnsi"/>
          <w:sz w:val="24"/>
          <w:szCs w:val="24"/>
          <w:lang w:val="ro-MD"/>
        </w:rPr>
        <w:t xml:space="preserve"> Impozitarea terenurilor aferente blocurilor locative se efectuează neuniform. Astfel, SFS nu asigură prezentarea de către persoanele juridice a dărilor de seamă</w:t>
      </w:r>
      <w:r w:rsidR="00BE39F0"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pentru calcularea impozitului funciar</w:t>
      </w:r>
      <w:r w:rsidRPr="009E5B39">
        <w:rPr>
          <w:rFonts w:asciiTheme="majorHAnsi" w:eastAsia="Calibri" w:hAnsiTheme="majorHAnsi" w:cstheme="majorHAnsi"/>
          <w:sz w:val="24"/>
          <w:szCs w:val="24"/>
          <w:vertAlign w:val="superscript"/>
          <w:lang w:val="ro-MD"/>
        </w:rPr>
        <w:footnoteReference w:id="32"/>
      </w:r>
      <w:r w:rsidRPr="009E5B39">
        <w:rPr>
          <w:rFonts w:asciiTheme="majorHAnsi" w:eastAsia="Calibri" w:hAnsiTheme="majorHAnsi" w:cstheme="majorHAnsi"/>
          <w:sz w:val="24"/>
          <w:szCs w:val="24"/>
          <w:lang w:val="ro-MD"/>
        </w:rPr>
        <w:t xml:space="preserve"> (cod ECO 113161).</w:t>
      </w:r>
    </w:p>
    <w:p w14:paraId="0BF8D17B" w14:textId="0DD5417F" w:rsidR="009860FA" w:rsidRPr="009E5B39" w:rsidRDefault="009860FA" w:rsidP="00EF4BC3">
      <w:pPr>
        <w:spacing w:after="0" w:line="276" w:lineRule="auto"/>
        <w:ind w:firstLine="709"/>
        <w:jc w:val="both"/>
        <w:rPr>
          <w:rFonts w:asciiTheme="majorHAnsi" w:hAnsiTheme="majorHAnsi" w:cstheme="majorHAnsi"/>
          <w:b/>
          <w:i/>
          <w:sz w:val="24"/>
          <w:szCs w:val="24"/>
          <w:lang w:val="ro-MD"/>
        </w:rPr>
      </w:pPr>
      <w:r w:rsidRPr="009E5B39">
        <w:rPr>
          <w:rFonts w:asciiTheme="majorHAnsi" w:hAnsiTheme="majorHAnsi" w:cstheme="majorHAnsi"/>
          <w:sz w:val="24"/>
          <w:szCs w:val="24"/>
          <w:lang w:val="ro-MD"/>
        </w:rPr>
        <w:t xml:space="preserve">Pe motiv că </w:t>
      </w:r>
      <w:r w:rsidRPr="009E5B39">
        <w:rPr>
          <w:rFonts w:asciiTheme="majorHAnsi" w:eastAsia="Calibri" w:hAnsiTheme="majorHAnsi" w:cstheme="majorHAnsi"/>
          <w:sz w:val="24"/>
          <w:szCs w:val="24"/>
          <w:lang w:val="ro-MD"/>
        </w:rPr>
        <w:t xml:space="preserve">DCITL nu a putut genera din </w:t>
      </w:r>
      <w:r w:rsidRPr="009E5B39">
        <w:rPr>
          <w:rFonts w:asciiTheme="majorHAnsi" w:eastAsia="Calibri" w:hAnsiTheme="majorHAnsi" w:cstheme="majorHAnsi"/>
          <w:iCs/>
          <w:sz w:val="24"/>
          <w:szCs w:val="24"/>
          <w:lang w:val="ro-MD"/>
        </w:rPr>
        <w:t>SIA „Cadastrul fiscal</w:t>
      </w:r>
      <w:r w:rsidR="00BE39F0" w:rsidRPr="009E5B39">
        <w:rPr>
          <w:rFonts w:asciiTheme="majorHAnsi" w:eastAsia="Calibri" w:hAnsiTheme="majorHAnsi" w:cstheme="majorHAnsi"/>
          <w:iCs/>
          <w:sz w:val="24"/>
          <w:szCs w:val="24"/>
          <w:lang w:val="ro-MD"/>
        </w:rPr>
        <w:t xml:space="preserve"> 2.0</w:t>
      </w:r>
      <w:r w:rsidRPr="009E5B39">
        <w:rPr>
          <w:rFonts w:asciiTheme="majorHAnsi" w:eastAsia="Calibri" w:hAnsiTheme="majorHAnsi" w:cstheme="majorHAnsi"/>
          <w:iCs/>
          <w:sz w:val="24"/>
          <w:szCs w:val="24"/>
          <w:lang w:val="ro-MD"/>
        </w:rPr>
        <w:t xml:space="preserve">” </w:t>
      </w:r>
      <w:r w:rsidRPr="009E5B39">
        <w:rPr>
          <w:rFonts w:asciiTheme="majorHAnsi" w:eastAsia="Calibri" w:hAnsiTheme="majorHAnsi" w:cstheme="majorHAnsi"/>
          <w:sz w:val="24"/>
          <w:szCs w:val="24"/>
          <w:lang w:val="ro-MD"/>
        </w:rPr>
        <w:t>Informația cu privire la achitarea impozitelor pe bunuri</w:t>
      </w:r>
      <w:r w:rsidR="00BE39F0" w:rsidRPr="009E5B39">
        <w:rPr>
          <w:rFonts w:asciiTheme="majorHAnsi" w:eastAsia="Calibri" w:hAnsiTheme="majorHAnsi" w:cstheme="majorHAnsi"/>
          <w:sz w:val="24"/>
          <w:szCs w:val="24"/>
          <w:lang w:val="ro-MD"/>
        </w:rPr>
        <w:t>le</w:t>
      </w:r>
      <w:r w:rsidRPr="009E5B39">
        <w:rPr>
          <w:rFonts w:asciiTheme="majorHAnsi" w:eastAsia="Calibri" w:hAnsiTheme="majorHAnsi" w:cstheme="majorHAnsi"/>
          <w:sz w:val="24"/>
          <w:szCs w:val="24"/>
          <w:lang w:val="ro-MD"/>
        </w:rPr>
        <w:t xml:space="preserve"> imobiliare (raportul CF1) la situația din 31.12.2020, auditul nu a putut</w:t>
      </w:r>
      <w:r w:rsidR="00190FB0"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analiza datel</w:t>
      </w:r>
      <w:r w:rsidR="00190FB0" w:rsidRPr="009E5B39">
        <w:rPr>
          <w:rFonts w:asciiTheme="majorHAnsi" w:eastAsia="Calibri" w:hAnsiTheme="majorHAnsi" w:cstheme="majorHAnsi"/>
          <w:sz w:val="24"/>
          <w:szCs w:val="24"/>
          <w:lang w:val="ro-MD"/>
        </w:rPr>
        <w:t>e</w:t>
      </w:r>
      <w:r w:rsidRPr="009E5B39">
        <w:rPr>
          <w:rFonts w:asciiTheme="majorHAnsi" w:eastAsia="Calibri" w:hAnsiTheme="majorHAnsi" w:cstheme="majorHAnsi"/>
          <w:sz w:val="24"/>
          <w:szCs w:val="24"/>
          <w:lang w:val="ro-MD"/>
        </w:rPr>
        <w:t xml:space="preserve"> aferente </w:t>
      </w:r>
      <w:r w:rsidR="00190FB0" w:rsidRPr="009E5B39">
        <w:rPr>
          <w:rFonts w:asciiTheme="majorHAnsi" w:eastAsia="Calibri" w:hAnsiTheme="majorHAnsi" w:cstheme="majorHAnsi"/>
          <w:sz w:val="24"/>
          <w:szCs w:val="24"/>
          <w:lang w:val="ro-MD"/>
        </w:rPr>
        <w:t>i</w:t>
      </w:r>
      <w:r w:rsidRPr="009E5B39">
        <w:rPr>
          <w:rFonts w:asciiTheme="majorHAnsi" w:eastAsia="Calibri" w:hAnsiTheme="majorHAnsi" w:cstheme="majorHAnsi"/>
          <w:sz w:val="24"/>
          <w:szCs w:val="24"/>
          <w:lang w:val="ro-MD"/>
        </w:rPr>
        <w:t>mpozitului pe bunuri</w:t>
      </w:r>
      <w:r w:rsidR="00190FB0" w:rsidRPr="009E5B39">
        <w:rPr>
          <w:rFonts w:asciiTheme="majorHAnsi" w:eastAsia="Calibri" w:hAnsiTheme="majorHAnsi" w:cstheme="majorHAnsi"/>
          <w:sz w:val="24"/>
          <w:szCs w:val="24"/>
          <w:lang w:val="ro-MD"/>
        </w:rPr>
        <w:t>le</w:t>
      </w:r>
      <w:r w:rsidRPr="009E5B39">
        <w:rPr>
          <w:rFonts w:asciiTheme="majorHAnsi" w:eastAsia="Calibri" w:hAnsiTheme="majorHAnsi" w:cstheme="majorHAnsi"/>
          <w:sz w:val="24"/>
          <w:szCs w:val="24"/>
          <w:lang w:val="ro-MD"/>
        </w:rPr>
        <w:t xml:space="preserve"> imobiliare achitat de către persoanele fizice (cod ECO 113240)</w:t>
      </w:r>
      <w:r w:rsidR="00190FB0"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w:t>
      </w:r>
      <w:r w:rsidR="00190FB0" w:rsidRPr="009E5B39">
        <w:rPr>
          <w:rFonts w:asciiTheme="majorHAnsi" w:eastAsia="Calibri" w:hAnsiTheme="majorHAnsi" w:cstheme="majorHAnsi"/>
          <w:sz w:val="24"/>
          <w:szCs w:val="24"/>
          <w:lang w:val="ro-MD"/>
        </w:rPr>
        <w:t>în ce privește</w:t>
      </w:r>
      <w:r w:rsidRPr="009E5B39">
        <w:rPr>
          <w:rFonts w:asciiTheme="majorHAnsi" w:eastAsia="Calibri" w:hAnsiTheme="majorHAnsi" w:cstheme="majorHAnsi"/>
          <w:sz w:val="24"/>
          <w:szCs w:val="24"/>
          <w:lang w:val="ro-MD"/>
        </w:rPr>
        <w:t xml:space="preserve"> sumele calculate, achitate și restante. </w:t>
      </w:r>
    </w:p>
    <w:p w14:paraId="63891993" w14:textId="040BEFD8" w:rsidR="009860FA" w:rsidRPr="009E5B39" w:rsidRDefault="003841C5" w:rsidP="007102DC">
      <w:pPr>
        <w:spacing w:before="240" w:after="0" w:line="276" w:lineRule="auto"/>
        <w:jc w:val="both"/>
        <w:rPr>
          <w:rFonts w:asciiTheme="majorHAnsi" w:hAnsiTheme="majorHAnsi" w:cstheme="majorHAnsi"/>
          <w:sz w:val="24"/>
          <w:szCs w:val="24"/>
          <w:lang w:val="ro-MD"/>
        </w:rPr>
      </w:pPr>
      <w:r w:rsidRPr="009E5B39">
        <w:rPr>
          <w:rFonts w:asciiTheme="majorHAnsi" w:hAnsiTheme="majorHAnsi" w:cstheme="majorHAnsi"/>
          <w:b/>
          <w:i/>
          <w:sz w:val="24"/>
          <w:szCs w:val="24"/>
          <w:lang w:val="ro-MD"/>
        </w:rPr>
        <w:t>4.1.4.</w:t>
      </w:r>
      <w:r w:rsidRPr="009E5B39">
        <w:rPr>
          <w:rFonts w:asciiTheme="majorHAnsi" w:hAnsiTheme="majorHAnsi" w:cstheme="majorHAnsi"/>
          <w:i/>
          <w:sz w:val="24"/>
          <w:szCs w:val="24"/>
          <w:lang w:val="ro-MD"/>
        </w:rPr>
        <w:t xml:space="preserve"> </w:t>
      </w:r>
      <w:r w:rsidR="009860FA" w:rsidRPr="009E5B39">
        <w:rPr>
          <w:rFonts w:asciiTheme="majorHAnsi" w:hAnsiTheme="majorHAnsi" w:cstheme="majorHAnsi"/>
          <w:b/>
          <w:i/>
          <w:sz w:val="24"/>
          <w:szCs w:val="24"/>
          <w:lang w:val="ro-MD"/>
        </w:rPr>
        <w:t>Lipsa unei metodologii care ar stabili modalitatea de determinare a gradului de finisare a construcțiilor,</w:t>
      </w:r>
      <w:r w:rsidR="00737DAA" w:rsidRPr="009E5B39">
        <w:rPr>
          <w:rFonts w:asciiTheme="majorHAnsi" w:hAnsiTheme="majorHAnsi" w:cstheme="majorHAnsi"/>
          <w:b/>
          <w:i/>
          <w:sz w:val="24"/>
          <w:szCs w:val="24"/>
          <w:lang w:val="ro-MD"/>
        </w:rPr>
        <w:t xml:space="preserve"> </w:t>
      </w:r>
      <w:r w:rsidR="009860FA" w:rsidRPr="009E5B39">
        <w:rPr>
          <w:rFonts w:asciiTheme="majorHAnsi" w:hAnsiTheme="majorHAnsi" w:cstheme="majorHAnsi"/>
          <w:b/>
          <w:i/>
          <w:sz w:val="24"/>
          <w:szCs w:val="24"/>
          <w:lang w:val="ro-MD"/>
        </w:rPr>
        <w:t xml:space="preserve">asupra </w:t>
      </w:r>
      <w:r w:rsidR="00737DAA" w:rsidRPr="009E5B39">
        <w:rPr>
          <w:rFonts w:asciiTheme="majorHAnsi" w:hAnsiTheme="majorHAnsi" w:cstheme="majorHAnsi"/>
          <w:b/>
          <w:i/>
          <w:sz w:val="24"/>
          <w:szCs w:val="24"/>
          <w:lang w:val="ro-MD"/>
        </w:rPr>
        <w:t>cărora</w:t>
      </w:r>
      <w:r w:rsidR="009860FA" w:rsidRPr="009E5B39">
        <w:rPr>
          <w:rFonts w:asciiTheme="majorHAnsi" w:hAnsiTheme="majorHAnsi" w:cstheme="majorHAnsi"/>
          <w:b/>
          <w:i/>
          <w:sz w:val="24"/>
          <w:szCs w:val="24"/>
          <w:lang w:val="ro-MD"/>
        </w:rPr>
        <w:t xml:space="preserve"> n</w:t>
      </w:r>
      <w:r w:rsidR="00737DAA" w:rsidRPr="009E5B39">
        <w:rPr>
          <w:rFonts w:asciiTheme="majorHAnsi" w:hAnsiTheme="majorHAnsi" w:cstheme="majorHAnsi"/>
          <w:b/>
          <w:i/>
          <w:sz w:val="24"/>
          <w:szCs w:val="24"/>
          <w:lang w:val="ro-MD"/>
        </w:rPr>
        <w:t>u este</w:t>
      </w:r>
      <w:r w:rsidR="009860FA" w:rsidRPr="009E5B39">
        <w:rPr>
          <w:rFonts w:asciiTheme="majorHAnsi" w:hAnsiTheme="majorHAnsi" w:cstheme="majorHAnsi"/>
          <w:b/>
          <w:i/>
          <w:sz w:val="24"/>
          <w:szCs w:val="24"/>
          <w:lang w:val="ro-MD"/>
        </w:rPr>
        <w:t xml:space="preserve"> înregistrat </w:t>
      </w:r>
      <w:r w:rsidR="00737DAA" w:rsidRPr="009E5B39">
        <w:rPr>
          <w:rFonts w:asciiTheme="majorHAnsi" w:hAnsiTheme="majorHAnsi" w:cstheme="majorHAnsi"/>
          <w:b/>
          <w:i/>
          <w:sz w:val="24"/>
          <w:szCs w:val="24"/>
          <w:lang w:val="ro-MD"/>
        </w:rPr>
        <w:t xml:space="preserve">în RBI </w:t>
      </w:r>
      <w:r w:rsidR="009860FA" w:rsidRPr="009E5B39">
        <w:rPr>
          <w:rFonts w:asciiTheme="majorHAnsi" w:hAnsiTheme="majorHAnsi" w:cstheme="majorHAnsi"/>
          <w:b/>
          <w:i/>
          <w:sz w:val="24"/>
          <w:szCs w:val="24"/>
          <w:lang w:val="ro-MD"/>
        </w:rPr>
        <w:t xml:space="preserve">dreptul de proprietate și </w:t>
      </w:r>
      <w:r w:rsidR="00737DAA" w:rsidRPr="009E5B39">
        <w:rPr>
          <w:rFonts w:asciiTheme="majorHAnsi" w:hAnsiTheme="majorHAnsi" w:cstheme="majorHAnsi"/>
          <w:b/>
          <w:i/>
          <w:sz w:val="24"/>
          <w:szCs w:val="24"/>
          <w:lang w:val="ro-MD"/>
        </w:rPr>
        <w:t xml:space="preserve">care nu sunt </w:t>
      </w:r>
      <w:r w:rsidR="009860FA" w:rsidRPr="009E5B39">
        <w:rPr>
          <w:rFonts w:asciiTheme="majorHAnsi" w:hAnsiTheme="majorHAnsi" w:cstheme="majorHAnsi"/>
          <w:b/>
          <w:i/>
          <w:sz w:val="24"/>
          <w:szCs w:val="24"/>
          <w:lang w:val="ro-MD"/>
        </w:rPr>
        <w:t xml:space="preserve">evaluate în scopul impozitării, contribuie la ratarea veniturilor din impozitul </w:t>
      </w:r>
      <w:r w:rsidR="00737DAA" w:rsidRPr="009E5B39">
        <w:rPr>
          <w:rFonts w:asciiTheme="majorHAnsi" w:hAnsiTheme="majorHAnsi" w:cstheme="majorHAnsi"/>
          <w:b/>
          <w:i/>
          <w:sz w:val="24"/>
          <w:szCs w:val="24"/>
          <w:lang w:val="ro-MD"/>
        </w:rPr>
        <w:t>p</w:t>
      </w:r>
      <w:r w:rsidR="009860FA" w:rsidRPr="009E5B39">
        <w:rPr>
          <w:rFonts w:asciiTheme="majorHAnsi" w:hAnsiTheme="majorHAnsi" w:cstheme="majorHAnsi"/>
          <w:b/>
          <w:i/>
          <w:sz w:val="24"/>
          <w:szCs w:val="24"/>
          <w:lang w:val="ro-MD"/>
        </w:rPr>
        <w:t xml:space="preserve">e proprietate, </w:t>
      </w:r>
      <w:r w:rsidR="000B174F" w:rsidRPr="009E5B39">
        <w:rPr>
          <w:rFonts w:asciiTheme="majorHAnsi" w:hAnsiTheme="majorHAnsi" w:cstheme="majorHAnsi"/>
          <w:b/>
          <w:i/>
          <w:sz w:val="24"/>
          <w:szCs w:val="24"/>
          <w:lang w:val="ro-MD"/>
        </w:rPr>
        <w:t xml:space="preserve">ce urmează a fi </w:t>
      </w:r>
      <w:r w:rsidR="009860FA" w:rsidRPr="009E5B39">
        <w:rPr>
          <w:rFonts w:asciiTheme="majorHAnsi" w:hAnsiTheme="majorHAnsi" w:cstheme="majorHAnsi"/>
          <w:b/>
          <w:i/>
          <w:sz w:val="24"/>
          <w:szCs w:val="24"/>
          <w:lang w:val="ro-MD"/>
        </w:rPr>
        <w:t>încasate în bugetele UAT</w:t>
      </w:r>
      <w:r w:rsidR="009860FA" w:rsidRPr="009E5B39">
        <w:rPr>
          <w:rFonts w:asciiTheme="majorHAnsi" w:hAnsiTheme="majorHAnsi" w:cstheme="majorHAnsi"/>
          <w:b/>
          <w:sz w:val="24"/>
          <w:szCs w:val="24"/>
          <w:lang w:val="ro-MD"/>
        </w:rPr>
        <w:t>.</w:t>
      </w:r>
      <w:r w:rsidR="009860FA" w:rsidRPr="009E5B39">
        <w:rPr>
          <w:rFonts w:asciiTheme="majorHAnsi" w:hAnsiTheme="majorHAnsi" w:cstheme="majorHAnsi"/>
          <w:sz w:val="24"/>
          <w:szCs w:val="24"/>
          <w:lang w:val="ro-MD"/>
        </w:rPr>
        <w:t xml:space="preserve"> </w:t>
      </w:r>
      <w:r w:rsidRPr="009E5B39">
        <w:rPr>
          <w:rFonts w:asciiTheme="majorHAnsi" w:hAnsiTheme="majorHAnsi" w:cstheme="majorHAnsi"/>
          <w:i/>
          <w:sz w:val="24"/>
          <w:szCs w:val="24"/>
          <w:lang w:val="ro-MD"/>
        </w:rPr>
        <w:t>Potrivit prevederilor cadrului normativ</w:t>
      </w:r>
      <w:r w:rsidRPr="009E5B39">
        <w:rPr>
          <w:rStyle w:val="FootnoteReference"/>
          <w:rFonts w:asciiTheme="majorHAnsi" w:hAnsiTheme="majorHAnsi" w:cstheme="majorHAnsi"/>
          <w:i/>
          <w:sz w:val="24"/>
          <w:szCs w:val="24"/>
          <w:lang w:val="ro-MD"/>
        </w:rPr>
        <w:footnoteReference w:id="33"/>
      </w:r>
      <w:r w:rsidRPr="009E5B39">
        <w:rPr>
          <w:rFonts w:asciiTheme="majorHAnsi" w:hAnsiTheme="majorHAnsi" w:cstheme="majorHAnsi"/>
          <w:i/>
          <w:sz w:val="24"/>
          <w:szCs w:val="24"/>
          <w:lang w:val="ro-MD"/>
        </w:rPr>
        <w:t xml:space="preserve">, bunurile imobile aflate la o etapă de finisare a construcției de 50% și mai mult, rămase nefinisate timp de 3 ani după începutul lucrărilor,  constituie obiecte ale impunerii cu impozit pe bunuri imobiliare. </w:t>
      </w:r>
      <w:r w:rsidR="009860FA" w:rsidRPr="009E5B39">
        <w:rPr>
          <w:rFonts w:asciiTheme="majorHAnsi" w:hAnsiTheme="majorHAnsi" w:cstheme="majorHAnsi"/>
          <w:sz w:val="24"/>
          <w:szCs w:val="24"/>
          <w:lang w:val="ro-MD"/>
        </w:rPr>
        <w:t xml:space="preserve">Deși Curtea de Conturi, de nenumărate ori, a menționat în Rapoartele sale precedente despre lipsa metodei de evaluare a acestei categorii de bunuri imobile, până la moment situația rămâne neschimbată. </w:t>
      </w:r>
      <w:r w:rsidR="009860FA" w:rsidRPr="009E5B39">
        <w:rPr>
          <w:rFonts w:asciiTheme="majorHAnsi" w:eastAsia="Calibri" w:hAnsiTheme="majorHAnsi" w:cstheme="majorHAnsi"/>
          <w:sz w:val="24"/>
          <w:szCs w:val="24"/>
          <w:lang w:val="ro-MD"/>
        </w:rPr>
        <w:t>DCITL nu deține informații aferente bunurilor imobile cu grad de finisare de 50% și mai mult</w:t>
      </w:r>
      <w:r w:rsidR="00E57B73" w:rsidRPr="009E5B39">
        <w:rPr>
          <w:rFonts w:asciiTheme="majorHAnsi" w:eastAsia="Calibri" w:hAnsiTheme="majorHAnsi" w:cstheme="majorHAnsi"/>
          <w:sz w:val="24"/>
          <w:szCs w:val="24"/>
          <w:lang w:val="ro-MD"/>
        </w:rPr>
        <w:t>,</w:t>
      </w:r>
      <w:r w:rsidR="009860FA" w:rsidRPr="009E5B39">
        <w:rPr>
          <w:rFonts w:asciiTheme="majorHAnsi" w:eastAsia="Calibri" w:hAnsiTheme="majorHAnsi" w:cstheme="majorHAnsi"/>
          <w:sz w:val="24"/>
          <w:szCs w:val="24"/>
          <w:lang w:val="ro-MD"/>
        </w:rPr>
        <w:t xml:space="preserve"> rămase nefinisate timp de 3 ani după începutul lucrărilor de construcții</w:t>
      </w:r>
      <w:r w:rsidR="00E57B73" w:rsidRPr="009E5B39">
        <w:rPr>
          <w:rFonts w:asciiTheme="majorHAnsi" w:eastAsia="Calibri" w:hAnsiTheme="majorHAnsi" w:cstheme="majorHAnsi"/>
          <w:sz w:val="24"/>
          <w:szCs w:val="24"/>
          <w:lang w:val="ro-MD"/>
        </w:rPr>
        <w:t>,</w:t>
      </w:r>
      <w:r w:rsidR="009860FA" w:rsidRPr="009E5B39">
        <w:rPr>
          <w:rFonts w:asciiTheme="majorHAnsi" w:eastAsia="Calibri" w:hAnsiTheme="majorHAnsi" w:cstheme="majorHAnsi"/>
          <w:sz w:val="24"/>
          <w:szCs w:val="24"/>
          <w:lang w:val="ro-MD"/>
        </w:rPr>
        <w:t xml:space="preserve"> și nici nu a solicitat această informație de la Direcția autorizare și disciplină în construcții a PMC</w:t>
      </w:r>
      <w:r w:rsidR="00E57B73" w:rsidRPr="009E5B39">
        <w:rPr>
          <w:rFonts w:asciiTheme="majorHAnsi" w:eastAsia="Calibri" w:hAnsiTheme="majorHAnsi" w:cstheme="majorHAnsi"/>
          <w:sz w:val="24"/>
          <w:szCs w:val="24"/>
          <w:lang w:val="ro-MD"/>
        </w:rPr>
        <w:t>,</w:t>
      </w:r>
      <w:r w:rsidR="009860FA" w:rsidRPr="009E5B39">
        <w:rPr>
          <w:rFonts w:asciiTheme="majorHAnsi" w:eastAsia="Calibri" w:hAnsiTheme="majorHAnsi" w:cstheme="majorHAnsi"/>
          <w:sz w:val="24"/>
          <w:szCs w:val="24"/>
          <w:lang w:val="ro-MD"/>
        </w:rPr>
        <w:t xml:space="preserve"> sau </w:t>
      </w:r>
      <w:r w:rsidR="00E57B73" w:rsidRPr="009E5B39">
        <w:rPr>
          <w:rFonts w:asciiTheme="majorHAnsi" w:eastAsia="Calibri" w:hAnsiTheme="majorHAnsi" w:cstheme="majorHAnsi"/>
          <w:sz w:val="24"/>
          <w:szCs w:val="24"/>
          <w:lang w:val="ro-MD"/>
        </w:rPr>
        <w:t xml:space="preserve">de la </w:t>
      </w:r>
      <w:r w:rsidR="009860FA" w:rsidRPr="009E5B39">
        <w:rPr>
          <w:rFonts w:asciiTheme="majorHAnsi" w:eastAsia="Calibri" w:hAnsiTheme="majorHAnsi" w:cstheme="majorHAnsi"/>
          <w:sz w:val="24"/>
          <w:szCs w:val="24"/>
          <w:lang w:val="ro-MD"/>
        </w:rPr>
        <w:t>DGAURF.</w:t>
      </w:r>
    </w:p>
    <w:p w14:paraId="0865E42C" w14:textId="77777777" w:rsidR="006C6B4F" w:rsidRPr="009E5B39" w:rsidRDefault="006F6D97" w:rsidP="003C5073">
      <w:pPr>
        <w:spacing w:after="0" w:line="276" w:lineRule="auto"/>
        <w:jc w:val="both"/>
        <w:rPr>
          <w:rFonts w:asciiTheme="majorHAnsi" w:hAnsiTheme="majorHAnsi"/>
          <w:sz w:val="24"/>
          <w:szCs w:val="24"/>
          <w:lang w:val="ro-MD" w:eastAsia="ru-RU"/>
        </w:rPr>
      </w:pPr>
      <w:r w:rsidRPr="009E5B39">
        <w:rPr>
          <w:rFonts w:asciiTheme="majorHAnsi" w:hAnsiTheme="majorHAnsi" w:cstheme="majorHAnsi"/>
          <w:b/>
          <w:i/>
          <w:sz w:val="24"/>
          <w:szCs w:val="24"/>
          <w:lang w:val="ro-MD"/>
        </w:rPr>
        <w:t xml:space="preserve">4.1.5. </w:t>
      </w:r>
      <w:r w:rsidR="009860FA" w:rsidRPr="009E5B39">
        <w:rPr>
          <w:rFonts w:asciiTheme="majorHAnsi" w:hAnsiTheme="majorHAnsi" w:cstheme="majorHAnsi"/>
          <w:b/>
          <w:i/>
          <w:sz w:val="24"/>
          <w:szCs w:val="24"/>
          <w:lang w:val="ro-MD"/>
        </w:rPr>
        <w:t xml:space="preserve"> </w:t>
      </w:r>
      <w:r w:rsidR="006C6B4F" w:rsidRPr="009E5B39">
        <w:rPr>
          <w:rFonts w:asciiTheme="majorHAnsi" w:hAnsiTheme="majorHAnsi"/>
          <w:b/>
          <w:i/>
          <w:sz w:val="24"/>
          <w:szCs w:val="24"/>
          <w:lang w:val="ro-MD" w:eastAsia="ru-RU"/>
        </w:rPr>
        <w:t>APL a mun. Chișinău nu dispune de informație exhaustivă și veridică ce ține de indicatorii care stau la baza calculării veniturilor din taxele locale stabilite pe teritoriul UAT mun. Chișinău, ceea ce condiționează planificarea neadecvată a acestora</w:t>
      </w:r>
      <w:r w:rsidR="006C6B4F" w:rsidRPr="009E5B39">
        <w:rPr>
          <w:rFonts w:asciiTheme="majorHAnsi" w:hAnsiTheme="majorHAnsi"/>
          <w:sz w:val="24"/>
          <w:szCs w:val="24"/>
          <w:lang w:val="ro-MD" w:eastAsia="ru-RU"/>
        </w:rPr>
        <w:t xml:space="preserve">. </w:t>
      </w:r>
    </w:p>
    <w:p w14:paraId="297537DE" w14:textId="71B59FC5" w:rsidR="009860FA" w:rsidRPr="009E5B39" w:rsidRDefault="009860FA">
      <w:pPr>
        <w:spacing w:after="0" w:line="276" w:lineRule="auto"/>
        <w:ind w:firstLine="720"/>
        <w:jc w:val="both"/>
        <w:rPr>
          <w:rFonts w:asciiTheme="majorHAnsi" w:eastAsia="Times New Roman" w:hAnsiTheme="majorHAnsi" w:cstheme="majorHAnsi"/>
          <w:sz w:val="24"/>
          <w:szCs w:val="24"/>
          <w:lang w:val="ro-MD" w:eastAsia="ru-RU"/>
        </w:rPr>
      </w:pPr>
      <w:r w:rsidRPr="009E5B39">
        <w:rPr>
          <w:rFonts w:asciiTheme="majorHAnsi" w:hAnsiTheme="majorHAnsi" w:cstheme="majorHAnsi"/>
          <w:sz w:val="24"/>
          <w:szCs w:val="24"/>
          <w:lang w:val="ro-MD"/>
        </w:rPr>
        <w:t xml:space="preserve">Modalitatea de stabilire a taxelor locale și competențele </w:t>
      </w:r>
      <w:r w:rsidR="006C6B4F" w:rsidRPr="009E5B39">
        <w:rPr>
          <w:rFonts w:asciiTheme="majorHAnsi" w:hAnsiTheme="majorHAnsi" w:cstheme="majorHAnsi"/>
          <w:sz w:val="24"/>
          <w:szCs w:val="24"/>
          <w:lang w:val="ro-MD"/>
        </w:rPr>
        <w:t>AAPL</w:t>
      </w:r>
      <w:r w:rsidRPr="009E5B39">
        <w:rPr>
          <w:rFonts w:asciiTheme="majorHAnsi" w:hAnsiTheme="majorHAnsi" w:cstheme="majorHAnsi"/>
          <w:sz w:val="24"/>
          <w:szCs w:val="24"/>
          <w:lang w:val="ro-MD"/>
        </w:rPr>
        <w:t xml:space="preserve"> sunt prevăzute în Titlul VII din Codul </w:t>
      </w:r>
      <w:r w:rsidR="00357009" w:rsidRPr="009E5B39">
        <w:rPr>
          <w:rFonts w:asciiTheme="majorHAnsi" w:hAnsiTheme="majorHAnsi" w:cstheme="majorHAnsi"/>
          <w:sz w:val="24"/>
          <w:szCs w:val="24"/>
          <w:lang w:val="ro-MD"/>
        </w:rPr>
        <w:t>f</w:t>
      </w:r>
      <w:r w:rsidRPr="009E5B39">
        <w:rPr>
          <w:rFonts w:asciiTheme="majorHAnsi" w:hAnsiTheme="majorHAnsi" w:cstheme="majorHAnsi"/>
          <w:sz w:val="24"/>
          <w:szCs w:val="24"/>
          <w:lang w:val="ro-MD"/>
        </w:rPr>
        <w:t xml:space="preserve">iscal. </w:t>
      </w:r>
      <w:r w:rsidR="00E36C18" w:rsidRPr="009E5B39">
        <w:rPr>
          <w:rFonts w:asciiTheme="majorHAnsi" w:hAnsiTheme="majorHAnsi" w:cstheme="majorHAnsi"/>
          <w:sz w:val="24"/>
          <w:szCs w:val="24"/>
          <w:lang w:val="ro-MD"/>
        </w:rPr>
        <w:t>În baza</w:t>
      </w:r>
      <w:r w:rsidRPr="009E5B39">
        <w:rPr>
          <w:rFonts w:asciiTheme="majorHAnsi" w:hAnsiTheme="majorHAnsi" w:cstheme="majorHAnsi"/>
          <w:sz w:val="24"/>
          <w:szCs w:val="24"/>
          <w:lang w:val="ro-MD"/>
        </w:rPr>
        <w:t xml:space="preserve"> prevederil</w:t>
      </w:r>
      <w:r w:rsidR="00E36C18" w:rsidRPr="009E5B39">
        <w:rPr>
          <w:rFonts w:asciiTheme="majorHAnsi" w:hAnsiTheme="majorHAnsi" w:cstheme="majorHAnsi"/>
          <w:sz w:val="24"/>
          <w:szCs w:val="24"/>
          <w:lang w:val="ro-MD"/>
        </w:rPr>
        <w:t>or</w:t>
      </w:r>
      <w:r w:rsidRPr="009E5B39">
        <w:rPr>
          <w:rFonts w:asciiTheme="majorHAnsi" w:hAnsiTheme="majorHAnsi" w:cstheme="majorHAnsi"/>
          <w:sz w:val="24"/>
          <w:szCs w:val="24"/>
          <w:lang w:val="ro-MD"/>
        </w:rPr>
        <w:t xml:space="preserve"> acestuia, precum și deciziil</w:t>
      </w:r>
      <w:r w:rsidR="00E36C18" w:rsidRPr="009E5B39">
        <w:rPr>
          <w:rFonts w:asciiTheme="majorHAnsi" w:hAnsiTheme="majorHAnsi" w:cstheme="majorHAnsi"/>
          <w:sz w:val="24"/>
          <w:szCs w:val="24"/>
          <w:lang w:val="ro-MD"/>
        </w:rPr>
        <w:t xml:space="preserve">or </w:t>
      </w:r>
      <w:r w:rsidRPr="009E5B39">
        <w:rPr>
          <w:rFonts w:asciiTheme="majorHAnsi" w:hAnsiTheme="majorHAnsi" w:cstheme="majorHAnsi"/>
          <w:sz w:val="24"/>
          <w:szCs w:val="24"/>
          <w:lang w:val="ro-MD"/>
        </w:rPr>
        <w:t>Comisiei pentru Situații Excepționale, în anul 2020, subiecților impunerii cu unele taxe locale li s-a</w:t>
      </w:r>
      <w:r w:rsidR="00357009" w:rsidRPr="009E5B39">
        <w:rPr>
          <w:rFonts w:asciiTheme="majorHAnsi" w:hAnsiTheme="majorHAnsi" w:cstheme="majorHAnsi"/>
          <w:sz w:val="24"/>
          <w:szCs w:val="24"/>
          <w:lang w:val="ro-MD"/>
        </w:rPr>
        <w:t>u</w:t>
      </w:r>
      <w:r w:rsidRPr="009E5B39">
        <w:rPr>
          <w:rFonts w:asciiTheme="majorHAnsi" w:hAnsiTheme="majorHAnsi" w:cstheme="majorHAnsi"/>
          <w:sz w:val="24"/>
          <w:szCs w:val="24"/>
          <w:lang w:val="ro-MD"/>
        </w:rPr>
        <w:t xml:space="preserve"> acordat unele scutiri</w:t>
      </w:r>
      <w:r w:rsidRPr="009E5B39">
        <w:rPr>
          <w:rFonts w:asciiTheme="majorHAnsi" w:hAnsiTheme="majorHAnsi" w:cstheme="majorHAnsi"/>
          <w:sz w:val="24"/>
          <w:szCs w:val="24"/>
          <w:vertAlign w:val="superscript"/>
          <w:lang w:val="ro-MD"/>
        </w:rPr>
        <w:footnoteReference w:id="34"/>
      </w:r>
      <w:r w:rsidRPr="009E5B39">
        <w:rPr>
          <w:rFonts w:asciiTheme="majorHAnsi" w:hAnsiTheme="majorHAnsi" w:cstheme="majorHAnsi"/>
          <w:sz w:val="24"/>
          <w:szCs w:val="24"/>
          <w:lang w:val="ro-MD"/>
        </w:rPr>
        <w:t xml:space="preserve">, ceea ce a influențat asupra încasărilor din aceste taxe. </w:t>
      </w:r>
      <w:r w:rsidRPr="009E5B39">
        <w:rPr>
          <w:rFonts w:asciiTheme="majorHAnsi" w:eastAsia="Times New Roman" w:hAnsiTheme="majorHAnsi" w:cstheme="majorHAnsi"/>
          <w:sz w:val="24"/>
          <w:szCs w:val="24"/>
          <w:lang w:val="ro-MD" w:eastAsia="ru-RU"/>
        </w:rPr>
        <w:t xml:space="preserve">La finele anului, prin Decizia CMC nr.19/1 din 24.11.2020, veniturile din taxele locale (la care au fost acordate scutiri) au fost ajustate prin diminuarea planurilor aprobate inițial, </w:t>
      </w:r>
      <w:r w:rsidR="00F30BF3" w:rsidRPr="009E5B39">
        <w:rPr>
          <w:rFonts w:asciiTheme="majorHAnsi" w:eastAsia="Times New Roman" w:hAnsiTheme="majorHAnsi" w:cstheme="majorHAnsi"/>
          <w:sz w:val="24"/>
          <w:szCs w:val="24"/>
          <w:lang w:val="ro-MD" w:eastAsia="ru-RU"/>
        </w:rPr>
        <w:t>cu</w:t>
      </w:r>
      <w:r w:rsidRPr="009E5B39">
        <w:rPr>
          <w:rFonts w:asciiTheme="majorHAnsi" w:eastAsia="Times New Roman" w:hAnsiTheme="majorHAnsi" w:cstheme="majorHAnsi"/>
          <w:sz w:val="24"/>
          <w:szCs w:val="24"/>
          <w:lang w:val="ro-MD" w:eastAsia="ru-RU"/>
        </w:rPr>
        <w:t xml:space="preserve"> sum</w:t>
      </w:r>
      <w:r w:rsidR="00F30BF3" w:rsidRPr="009E5B39">
        <w:rPr>
          <w:rFonts w:asciiTheme="majorHAnsi" w:eastAsia="Times New Roman" w:hAnsiTheme="majorHAnsi" w:cstheme="majorHAnsi"/>
          <w:sz w:val="24"/>
          <w:szCs w:val="24"/>
          <w:lang w:val="ro-MD" w:eastAsia="ru-RU"/>
        </w:rPr>
        <w:t>a</w:t>
      </w:r>
      <w:r w:rsidRPr="009E5B39">
        <w:rPr>
          <w:rFonts w:asciiTheme="majorHAnsi" w:eastAsia="Times New Roman" w:hAnsiTheme="majorHAnsi" w:cstheme="majorHAnsi"/>
          <w:sz w:val="24"/>
          <w:szCs w:val="24"/>
          <w:lang w:val="ro-MD" w:eastAsia="ru-RU"/>
        </w:rPr>
        <w:t xml:space="preserve"> totală de 28.421,4 mii lei, în lipsa unui calcul argumentat</w:t>
      </w:r>
      <w:r w:rsidR="006C6B4F" w:rsidRPr="009E5B39">
        <w:rPr>
          <w:rFonts w:asciiTheme="majorHAnsi" w:eastAsia="Times New Roman" w:hAnsiTheme="majorHAnsi" w:cstheme="majorHAnsi"/>
          <w:sz w:val="24"/>
          <w:szCs w:val="24"/>
          <w:lang w:val="ro-MD" w:eastAsia="ru-RU"/>
        </w:rPr>
        <w:t xml:space="preserve"> a diminuării bazei impozabile</w:t>
      </w:r>
      <w:r w:rsidRPr="009E5B39">
        <w:rPr>
          <w:rFonts w:asciiTheme="majorHAnsi" w:eastAsia="Times New Roman" w:hAnsiTheme="majorHAnsi" w:cstheme="majorHAnsi"/>
          <w:sz w:val="24"/>
          <w:szCs w:val="24"/>
          <w:lang w:val="ro-MD" w:eastAsia="ru-RU"/>
        </w:rPr>
        <w:t xml:space="preserve">.  </w:t>
      </w:r>
    </w:p>
    <w:p w14:paraId="10ED1B97" w14:textId="58D541AF" w:rsidR="009860FA" w:rsidRPr="009E5B39" w:rsidRDefault="009860FA" w:rsidP="003C5073">
      <w:pPr>
        <w:spacing w:after="0" w:line="276" w:lineRule="auto"/>
        <w:ind w:firstLine="720"/>
        <w:jc w:val="both"/>
        <w:rPr>
          <w:rFonts w:asciiTheme="majorHAnsi" w:hAnsiTheme="majorHAnsi"/>
          <w:sz w:val="24"/>
          <w:szCs w:val="24"/>
          <w:lang w:val="ro-MD" w:eastAsia="ru-RU"/>
        </w:rPr>
      </w:pPr>
      <w:r w:rsidRPr="009E5B39">
        <w:rPr>
          <w:rFonts w:asciiTheme="majorHAnsi" w:hAnsiTheme="majorHAnsi"/>
          <w:sz w:val="24"/>
          <w:szCs w:val="24"/>
          <w:lang w:val="ro-MD" w:eastAsia="ru-RU"/>
        </w:rPr>
        <w:t xml:space="preserve">În anul 2020, numai </w:t>
      </w:r>
      <w:r w:rsidR="00AE205D" w:rsidRPr="009E5B39">
        <w:rPr>
          <w:rFonts w:asciiTheme="majorHAnsi" w:hAnsiTheme="majorHAnsi"/>
          <w:sz w:val="24"/>
          <w:szCs w:val="24"/>
          <w:lang w:val="ro-MD" w:eastAsia="ru-RU"/>
        </w:rPr>
        <w:t>din</w:t>
      </w:r>
      <w:r w:rsidRPr="009E5B39">
        <w:rPr>
          <w:rFonts w:asciiTheme="majorHAnsi" w:hAnsiTheme="majorHAnsi"/>
          <w:sz w:val="24"/>
          <w:szCs w:val="24"/>
          <w:lang w:val="ro-MD" w:eastAsia="ru-RU"/>
        </w:rPr>
        <w:t xml:space="preserve"> 3 taxe locale</w:t>
      </w:r>
      <w:r w:rsidRPr="009E5B39">
        <w:rPr>
          <w:vertAlign w:val="superscript"/>
          <w:lang w:val="ro-MD" w:eastAsia="ru-RU"/>
        </w:rPr>
        <w:footnoteReference w:id="35"/>
      </w:r>
      <w:r w:rsidRPr="009E5B39">
        <w:rPr>
          <w:rFonts w:asciiTheme="majorHAnsi" w:hAnsiTheme="majorHAnsi"/>
          <w:sz w:val="24"/>
          <w:szCs w:val="24"/>
          <w:lang w:val="ro-MD" w:eastAsia="ru-RU"/>
        </w:rPr>
        <w:t xml:space="preserve"> veniturile pasibile încasării au fost subestimate cu circa 11</w:t>
      </w:r>
      <w:r w:rsidR="003B6CE8" w:rsidRPr="009E5B39">
        <w:rPr>
          <w:rFonts w:asciiTheme="majorHAnsi" w:hAnsiTheme="majorHAnsi"/>
          <w:sz w:val="24"/>
          <w:szCs w:val="24"/>
          <w:lang w:val="ro-MD" w:eastAsia="ru-RU"/>
        </w:rPr>
        <w:t>,</w:t>
      </w:r>
      <w:r w:rsidRPr="009E5B39">
        <w:rPr>
          <w:rFonts w:asciiTheme="majorHAnsi" w:hAnsiTheme="majorHAnsi"/>
          <w:sz w:val="24"/>
          <w:szCs w:val="24"/>
          <w:lang w:val="ro-MD" w:eastAsia="ru-RU"/>
        </w:rPr>
        <w:t>01</w:t>
      </w:r>
      <w:r w:rsidR="003B6CE8" w:rsidRPr="009E5B39">
        <w:rPr>
          <w:rFonts w:asciiTheme="majorHAnsi" w:hAnsiTheme="majorHAnsi"/>
          <w:sz w:val="24"/>
          <w:szCs w:val="24"/>
          <w:lang w:val="ro-MD" w:eastAsia="ru-RU"/>
        </w:rPr>
        <w:t xml:space="preserve"> mil</w:t>
      </w:r>
      <w:r w:rsidR="00541886" w:rsidRPr="009E5B39">
        <w:rPr>
          <w:rFonts w:asciiTheme="majorHAnsi" w:hAnsiTheme="majorHAnsi"/>
          <w:sz w:val="24"/>
          <w:szCs w:val="24"/>
          <w:lang w:val="ro-MD" w:eastAsia="ru-RU"/>
        </w:rPr>
        <w:t>.</w:t>
      </w:r>
      <w:r w:rsidRPr="009E5B39">
        <w:rPr>
          <w:rFonts w:asciiTheme="majorHAnsi" w:hAnsiTheme="majorHAnsi"/>
          <w:sz w:val="24"/>
          <w:szCs w:val="24"/>
          <w:lang w:val="ro-MD" w:eastAsia="ru-RU"/>
        </w:rPr>
        <w:t xml:space="preserve"> lei</w:t>
      </w:r>
      <w:r w:rsidRPr="009E5B39">
        <w:rPr>
          <w:vertAlign w:val="superscript"/>
          <w:lang w:val="ro-MD" w:eastAsia="ru-RU"/>
        </w:rPr>
        <w:footnoteReference w:id="36"/>
      </w:r>
      <w:r w:rsidRPr="009E5B39">
        <w:rPr>
          <w:rFonts w:asciiTheme="majorHAnsi" w:hAnsiTheme="majorHAnsi"/>
          <w:sz w:val="24"/>
          <w:szCs w:val="24"/>
          <w:lang w:val="ro-MD" w:eastAsia="ru-RU"/>
        </w:rPr>
        <w:t>. Deși DGF dispune de informații din diferite surse</w:t>
      </w:r>
      <w:r w:rsidRPr="009E5B39">
        <w:rPr>
          <w:vertAlign w:val="superscript"/>
          <w:lang w:val="ro-MD" w:eastAsia="ru-RU"/>
        </w:rPr>
        <w:footnoteReference w:id="37"/>
      </w:r>
      <w:r w:rsidRPr="009E5B39">
        <w:rPr>
          <w:rFonts w:asciiTheme="majorHAnsi" w:hAnsiTheme="majorHAnsi"/>
          <w:sz w:val="24"/>
          <w:szCs w:val="24"/>
          <w:lang w:val="ro-MD" w:eastAsia="ru-RU"/>
        </w:rPr>
        <w:t xml:space="preserve">, nu în toate cazurile acestea stau la baza estimării veniturilor din taxele locale, acestea fiind estimate în baza încasărilor din perioadele anterioare. Astfel, în anul 2020, </w:t>
      </w:r>
      <w:r w:rsidR="00AE205D" w:rsidRPr="009E5B39">
        <w:rPr>
          <w:rFonts w:asciiTheme="majorHAnsi" w:hAnsiTheme="majorHAnsi"/>
          <w:sz w:val="24"/>
          <w:szCs w:val="24"/>
          <w:lang w:val="ro-MD" w:eastAsia="ru-RU"/>
        </w:rPr>
        <w:t>au fost aprobate</w:t>
      </w:r>
      <w:r w:rsidR="00AE205D" w:rsidRPr="009E5B39">
        <w:rPr>
          <w:rFonts w:asciiTheme="majorHAnsi" w:eastAsia="Times New Roman" w:hAnsiTheme="majorHAnsi" w:cstheme="majorHAnsi"/>
          <w:b/>
          <w:sz w:val="24"/>
          <w:szCs w:val="24"/>
          <w:lang w:val="ro-MD" w:eastAsia="ru-RU"/>
        </w:rPr>
        <w:t xml:space="preserve"> </w:t>
      </w:r>
      <w:r w:rsidRPr="009E5B39">
        <w:rPr>
          <w:rFonts w:asciiTheme="majorHAnsi" w:hAnsiTheme="majorHAnsi"/>
          <w:sz w:val="24"/>
          <w:szCs w:val="24"/>
          <w:lang w:val="ro-MD" w:eastAsia="ru-RU"/>
        </w:rPr>
        <w:t>venituri pasibile încasării</w:t>
      </w:r>
      <w:r w:rsidR="00AE205D" w:rsidRPr="009E5B39">
        <w:rPr>
          <w:rFonts w:asciiTheme="majorHAnsi" w:hAnsiTheme="majorHAnsi"/>
          <w:sz w:val="24"/>
          <w:szCs w:val="24"/>
          <w:lang w:val="ro-MD" w:eastAsia="ru-RU"/>
        </w:rPr>
        <w:t xml:space="preserve"> din</w:t>
      </w:r>
      <w:r w:rsidRPr="009E5B39">
        <w:rPr>
          <w:rFonts w:asciiTheme="majorHAnsi" w:hAnsiTheme="majorHAnsi"/>
          <w:sz w:val="24"/>
          <w:szCs w:val="24"/>
          <w:lang w:val="ro-MD" w:eastAsia="ru-RU"/>
        </w:rPr>
        <w:t>:</w:t>
      </w:r>
    </w:p>
    <w:p w14:paraId="73481E75" w14:textId="2361053A" w:rsidR="009860FA" w:rsidRPr="009E5B39" w:rsidRDefault="009860FA" w:rsidP="003C5073">
      <w:pPr>
        <w:numPr>
          <w:ilvl w:val="0"/>
          <w:numId w:val="120"/>
        </w:numPr>
        <w:spacing w:after="0" w:line="276" w:lineRule="auto"/>
        <w:ind w:left="0" w:firstLine="0"/>
        <w:contextualSpacing/>
        <w:jc w:val="both"/>
        <w:rPr>
          <w:rFonts w:asciiTheme="majorHAnsi" w:eastAsia="Times New Roman" w:hAnsiTheme="majorHAnsi" w:cstheme="majorHAnsi"/>
          <w:b/>
          <w:sz w:val="24"/>
          <w:szCs w:val="24"/>
          <w:lang w:val="ro-MD" w:eastAsia="ru-RU"/>
        </w:rPr>
      </w:pPr>
      <w:r w:rsidRPr="009E5B39">
        <w:rPr>
          <w:rFonts w:asciiTheme="majorHAnsi" w:eastAsia="Times New Roman" w:hAnsiTheme="majorHAnsi" w:cstheme="majorHAnsi"/>
          <w:b/>
          <w:sz w:val="24"/>
          <w:szCs w:val="24"/>
          <w:lang w:val="ro-MD" w:eastAsia="ru-RU"/>
        </w:rPr>
        <w:t>taxa de piață (cod ECO 114411)</w:t>
      </w:r>
      <w:r w:rsidR="00AE205D" w:rsidRPr="009E5B39">
        <w:rPr>
          <w:rFonts w:asciiTheme="majorHAnsi" w:eastAsia="Times New Roman" w:hAnsiTheme="majorHAnsi" w:cstheme="majorHAnsi"/>
          <w:b/>
          <w:sz w:val="24"/>
          <w:szCs w:val="24"/>
          <w:lang w:val="ro-MD" w:eastAsia="ru-RU"/>
        </w:rPr>
        <w:t>,</w:t>
      </w:r>
      <w:r w:rsidRPr="009E5B39">
        <w:rPr>
          <w:rFonts w:asciiTheme="majorHAnsi" w:eastAsia="Times New Roman" w:hAnsiTheme="majorHAnsi" w:cstheme="majorHAnsi"/>
          <w:b/>
          <w:sz w:val="24"/>
          <w:szCs w:val="24"/>
          <w:lang w:val="ro-MD" w:eastAsia="ru-RU"/>
        </w:rPr>
        <w:t xml:space="preserve"> </w:t>
      </w:r>
      <w:r w:rsidRPr="009E5B39">
        <w:rPr>
          <w:rFonts w:asciiTheme="majorHAnsi" w:eastAsia="Times New Roman" w:hAnsiTheme="majorHAnsi" w:cstheme="majorHAnsi"/>
          <w:sz w:val="24"/>
          <w:szCs w:val="24"/>
          <w:lang w:val="ro-MD" w:eastAsia="ru-RU"/>
        </w:rPr>
        <w:t>în sumă de 9</w:t>
      </w:r>
      <w:r w:rsidR="003B6CE8"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59</w:t>
      </w:r>
      <w:r w:rsidR="00E36C18" w:rsidRPr="009E5B39">
        <w:rPr>
          <w:rFonts w:asciiTheme="majorHAnsi" w:eastAsia="Times New Roman" w:hAnsiTheme="majorHAnsi" w:cstheme="majorHAnsi"/>
          <w:sz w:val="24"/>
          <w:szCs w:val="24"/>
          <w:lang w:val="ro-MD" w:eastAsia="ru-RU"/>
        </w:rPr>
        <w:t xml:space="preserve"> </w:t>
      </w:r>
      <w:r w:rsidR="003B6CE8" w:rsidRPr="009E5B39">
        <w:rPr>
          <w:rFonts w:asciiTheme="majorHAnsi" w:eastAsia="Times New Roman" w:hAnsiTheme="majorHAnsi" w:cstheme="majorHAnsi"/>
          <w:sz w:val="24"/>
          <w:szCs w:val="24"/>
          <w:lang w:val="ro-MD" w:eastAsia="ru-RU"/>
        </w:rPr>
        <w:t>mil</w:t>
      </w:r>
      <w:r w:rsidR="00E36C18"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lei (FD-044). Potrivit informației prezentate de către DGCAPPS, calculul estimativ al acestei taxe însumează 11</w:t>
      </w:r>
      <w:r w:rsidR="003B6CE8"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433</w:t>
      </w:r>
      <w:r w:rsidR="003B6CE8" w:rsidRPr="009E5B39">
        <w:rPr>
          <w:rFonts w:asciiTheme="majorHAnsi" w:eastAsia="Times New Roman" w:hAnsiTheme="majorHAnsi" w:cstheme="majorHAnsi"/>
          <w:sz w:val="24"/>
          <w:szCs w:val="24"/>
          <w:lang w:val="ro-MD" w:eastAsia="ru-RU"/>
        </w:rPr>
        <w:t xml:space="preserve"> mil</w:t>
      </w:r>
      <w:r w:rsidR="00541886"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lei, sau cu cel puțin </w:t>
      </w:r>
      <w:r w:rsidRPr="009E5B39">
        <w:rPr>
          <w:rFonts w:asciiTheme="majorHAnsi" w:eastAsia="Times New Roman" w:hAnsiTheme="majorHAnsi" w:cstheme="majorHAnsi"/>
          <w:b/>
          <w:sz w:val="24"/>
          <w:szCs w:val="24"/>
          <w:lang w:val="ro-MD" w:eastAsia="ru-RU"/>
        </w:rPr>
        <w:t>1</w:t>
      </w:r>
      <w:r w:rsidR="003B6CE8" w:rsidRPr="009E5B39">
        <w:rPr>
          <w:rFonts w:asciiTheme="majorHAnsi" w:eastAsia="Times New Roman" w:hAnsiTheme="majorHAnsi" w:cstheme="majorHAnsi"/>
          <w:b/>
          <w:sz w:val="24"/>
          <w:szCs w:val="24"/>
          <w:lang w:val="ro-MD" w:eastAsia="ru-RU"/>
        </w:rPr>
        <w:t>,</w:t>
      </w:r>
      <w:r w:rsidRPr="009E5B39">
        <w:rPr>
          <w:rFonts w:asciiTheme="majorHAnsi" w:eastAsia="Times New Roman" w:hAnsiTheme="majorHAnsi" w:cstheme="majorHAnsi"/>
          <w:b/>
          <w:sz w:val="24"/>
          <w:szCs w:val="24"/>
          <w:lang w:val="ro-MD" w:eastAsia="ru-RU"/>
        </w:rPr>
        <w:t>8</w:t>
      </w:r>
      <w:r w:rsidR="003B6CE8" w:rsidRPr="009E5B39">
        <w:rPr>
          <w:rFonts w:asciiTheme="majorHAnsi" w:eastAsia="Times New Roman" w:hAnsiTheme="majorHAnsi" w:cstheme="majorHAnsi"/>
          <w:b/>
          <w:sz w:val="24"/>
          <w:szCs w:val="24"/>
          <w:lang w:val="ro-MD" w:eastAsia="ru-RU"/>
        </w:rPr>
        <w:t>4 mil</w:t>
      </w:r>
      <w:r w:rsidR="00541886" w:rsidRPr="009E5B39">
        <w:rPr>
          <w:rFonts w:asciiTheme="majorHAnsi" w:eastAsia="Times New Roman" w:hAnsiTheme="majorHAnsi" w:cstheme="majorHAnsi"/>
          <w:b/>
          <w:sz w:val="24"/>
          <w:szCs w:val="24"/>
          <w:lang w:val="ro-MD" w:eastAsia="ru-RU"/>
        </w:rPr>
        <w:t>.</w:t>
      </w:r>
      <w:r w:rsidRPr="009E5B39">
        <w:rPr>
          <w:rFonts w:asciiTheme="majorHAnsi" w:eastAsia="Times New Roman" w:hAnsiTheme="majorHAnsi" w:cstheme="majorHAnsi"/>
          <w:b/>
          <w:sz w:val="24"/>
          <w:szCs w:val="24"/>
          <w:lang w:val="ro-MD" w:eastAsia="ru-RU"/>
        </w:rPr>
        <w:t xml:space="preserve"> lei</w:t>
      </w:r>
      <w:r w:rsidRPr="009E5B39">
        <w:rPr>
          <w:rFonts w:asciiTheme="majorHAnsi" w:eastAsia="Times New Roman" w:hAnsiTheme="majorHAnsi" w:cstheme="majorHAnsi"/>
          <w:sz w:val="24"/>
          <w:szCs w:val="24"/>
          <w:lang w:val="ro-MD" w:eastAsia="ru-RU"/>
        </w:rPr>
        <w:t xml:space="preserve"> mai mult.</w:t>
      </w:r>
      <w:r w:rsidRPr="009E5B39">
        <w:rPr>
          <w:rFonts w:asciiTheme="majorHAnsi" w:eastAsia="Times New Roman" w:hAnsiTheme="majorHAnsi" w:cstheme="majorHAnsi"/>
          <w:b/>
          <w:sz w:val="24"/>
          <w:szCs w:val="24"/>
          <w:lang w:val="ro-MD" w:eastAsia="ru-RU"/>
        </w:rPr>
        <w:t xml:space="preserve"> </w:t>
      </w:r>
      <w:r w:rsidRPr="009E5B39">
        <w:rPr>
          <w:rFonts w:asciiTheme="majorHAnsi" w:eastAsia="Times New Roman" w:hAnsiTheme="majorHAnsi" w:cstheme="majorHAnsi"/>
          <w:sz w:val="24"/>
          <w:szCs w:val="24"/>
          <w:lang w:val="ro-MD" w:eastAsia="ru-RU"/>
        </w:rPr>
        <w:t>Totodată, se atestă și o diferență a suprafeței ocupat</w:t>
      </w:r>
      <w:r w:rsidR="00AE205D" w:rsidRPr="009E5B39">
        <w:rPr>
          <w:rFonts w:asciiTheme="majorHAnsi" w:eastAsia="Times New Roman" w:hAnsiTheme="majorHAnsi" w:cstheme="majorHAnsi"/>
          <w:sz w:val="24"/>
          <w:szCs w:val="24"/>
          <w:lang w:val="ro-MD" w:eastAsia="ru-RU"/>
        </w:rPr>
        <w:t>e</w:t>
      </w:r>
      <w:r w:rsidRPr="009E5B39">
        <w:rPr>
          <w:rFonts w:asciiTheme="majorHAnsi" w:eastAsia="Times New Roman" w:hAnsiTheme="majorHAnsi" w:cstheme="majorHAnsi"/>
          <w:sz w:val="24"/>
          <w:szCs w:val="24"/>
          <w:lang w:val="ro-MD" w:eastAsia="ru-RU"/>
        </w:rPr>
        <w:t xml:space="preserve"> de piețe. Astfel, diferența pentru 6 din 38 </w:t>
      </w:r>
      <w:r w:rsidR="00AE205D" w:rsidRPr="009E5B39">
        <w:rPr>
          <w:rFonts w:asciiTheme="majorHAnsi" w:eastAsia="Times New Roman" w:hAnsiTheme="majorHAnsi" w:cstheme="majorHAnsi"/>
          <w:sz w:val="24"/>
          <w:szCs w:val="24"/>
          <w:lang w:val="ro-MD" w:eastAsia="ru-RU"/>
        </w:rPr>
        <w:t xml:space="preserve">de </w:t>
      </w:r>
      <w:r w:rsidRPr="009E5B39">
        <w:rPr>
          <w:rFonts w:asciiTheme="majorHAnsi" w:eastAsia="Times New Roman" w:hAnsiTheme="majorHAnsi" w:cstheme="majorHAnsi"/>
          <w:sz w:val="24"/>
          <w:szCs w:val="24"/>
          <w:lang w:val="ro-MD" w:eastAsia="ru-RU"/>
        </w:rPr>
        <w:t>subiecți ai impunerii este cu 22.303,5 m</w:t>
      </w:r>
      <w:r w:rsidRPr="009E5B39">
        <w:rPr>
          <w:rFonts w:asciiTheme="majorHAnsi" w:eastAsia="Times New Roman" w:hAnsiTheme="majorHAnsi" w:cstheme="majorHAnsi"/>
          <w:sz w:val="24"/>
          <w:szCs w:val="24"/>
          <w:vertAlign w:val="superscript"/>
          <w:lang w:val="ro-MD" w:eastAsia="ru-RU"/>
        </w:rPr>
        <w:t>2</w:t>
      </w:r>
      <w:r w:rsidRPr="009E5B39">
        <w:rPr>
          <w:rFonts w:asciiTheme="majorHAnsi" w:eastAsia="Times New Roman" w:hAnsiTheme="majorHAnsi" w:cstheme="majorHAnsi"/>
          <w:sz w:val="24"/>
          <w:szCs w:val="24"/>
          <w:lang w:val="ro-MD" w:eastAsia="ru-RU"/>
        </w:rPr>
        <w:t xml:space="preserve"> mai mult față de informația prezentată de către DGCAPPS, ceea ce condiționează diminuarea veniturilor estimate din taxa de piață cu încă circa </w:t>
      </w:r>
      <w:r w:rsidR="003B6CE8" w:rsidRPr="009E5B39">
        <w:rPr>
          <w:rFonts w:asciiTheme="majorHAnsi" w:eastAsia="Times New Roman" w:hAnsiTheme="majorHAnsi" w:cstheme="majorHAnsi"/>
          <w:b/>
          <w:sz w:val="24"/>
          <w:szCs w:val="24"/>
          <w:lang w:val="ro-MD" w:eastAsia="ru-RU"/>
        </w:rPr>
        <w:t>0,</w:t>
      </w:r>
      <w:r w:rsidRPr="009E5B39">
        <w:rPr>
          <w:rFonts w:asciiTheme="majorHAnsi" w:eastAsia="Times New Roman" w:hAnsiTheme="majorHAnsi" w:cstheme="majorHAnsi"/>
          <w:b/>
          <w:sz w:val="24"/>
          <w:szCs w:val="24"/>
          <w:lang w:val="ro-MD" w:eastAsia="ru-RU"/>
        </w:rPr>
        <w:t>89</w:t>
      </w:r>
      <w:r w:rsidR="009D6C8C" w:rsidRPr="009E5B39">
        <w:rPr>
          <w:rFonts w:asciiTheme="majorHAnsi" w:eastAsia="Times New Roman" w:hAnsiTheme="majorHAnsi" w:cstheme="majorHAnsi"/>
          <w:b/>
          <w:sz w:val="24"/>
          <w:szCs w:val="24"/>
          <w:lang w:val="ro-MD" w:eastAsia="ru-RU"/>
        </w:rPr>
        <w:t xml:space="preserve"> mil</w:t>
      </w:r>
      <w:r w:rsidR="00541886" w:rsidRPr="009E5B39">
        <w:rPr>
          <w:rFonts w:asciiTheme="majorHAnsi" w:eastAsia="Times New Roman" w:hAnsiTheme="majorHAnsi" w:cstheme="majorHAnsi"/>
          <w:b/>
          <w:sz w:val="24"/>
          <w:szCs w:val="24"/>
          <w:lang w:val="ro-MD" w:eastAsia="ru-RU"/>
        </w:rPr>
        <w:t>.</w:t>
      </w:r>
      <w:r w:rsidRPr="009E5B39">
        <w:rPr>
          <w:rFonts w:asciiTheme="majorHAnsi" w:eastAsia="Times New Roman" w:hAnsiTheme="majorHAnsi" w:cstheme="majorHAnsi"/>
          <w:b/>
          <w:sz w:val="24"/>
          <w:szCs w:val="24"/>
          <w:lang w:val="ro-MD" w:eastAsia="ru-RU"/>
        </w:rPr>
        <w:t xml:space="preserve"> lei</w:t>
      </w:r>
      <w:r w:rsidRPr="009E5B39">
        <w:rPr>
          <w:rFonts w:asciiTheme="majorHAnsi" w:hAnsiTheme="majorHAnsi" w:cstheme="majorHAnsi"/>
          <w:sz w:val="24"/>
          <w:szCs w:val="24"/>
          <w:vertAlign w:val="superscript"/>
          <w:lang w:val="ro-MD" w:eastAsia="ru-RU"/>
        </w:rPr>
        <w:footnoteReference w:id="38"/>
      </w:r>
      <w:r w:rsidRPr="009E5B39">
        <w:rPr>
          <w:rFonts w:asciiTheme="majorHAnsi" w:eastAsia="Times New Roman" w:hAnsiTheme="majorHAnsi" w:cstheme="majorHAnsi"/>
          <w:sz w:val="24"/>
          <w:szCs w:val="24"/>
          <w:lang w:val="ro-MD" w:eastAsia="ru-RU"/>
        </w:rPr>
        <w:t>;</w:t>
      </w:r>
    </w:p>
    <w:p w14:paraId="30C56DF5" w14:textId="5871611D" w:rsidR="009860FA" w:rsidRPr="009E5B39" w:rsidRDefault="009860FA" w:rsidP="003C5073">
      <w:pPr>
        <w:numPr>
          <w:ilvl w:val="0"/>
          <w:numId w:val="120"/>
        </w:numPr>
        <w:spacing w:after="0" w:line="276" w:lineRule="auto"/>
        <w:ind w:left="0" w:firstLine="0"/>
        <w:contextualSpacing/>
        <w:jc w:val="both"/>
        <w:rPr>
          <w:rFonts w:asciiTheme="majorHAnsi" w:eastAsia="Times New Roman" w:hAnsiTheme="majorHAnsi" w:cstheme="majorHAnsi"/>
          <w:b/>
          <w:sz w:val="24"/>
          <w:szCs w:val="24"/>
          <w:lang w:val="ro-MD" w:eastAsia="ru-RU"/>
        </w:rPr>
      </w:pPr>
      <w:r w:rsidRPr="009E5B39">
        <w:rPr>
          <w:rFonts w:asciiTheme="majorHAnsi" w:hAnsiTheme="majorHAnsi" w:cstheme="majorHAnsi"/>
          <w:b/>
          <w:sz w:val="24"/>
          <w:szCs w:val="24"/>
          <w:lang w:val="ro-MD"/>
        </w:rPr>
        <w:t>taxa pentru dispozitivele publicitare</w:t>
      </w:r>
      <w:r w:rsidRPr="009E5B39">
        <w:rPr>
          <w:rFonts w:asciiTheme="majorHAnsi" w:eastAsia="Times New Roman" w:hAnsiTheme="majorHAnsi" w:cstheme="majorHAnsi"/>
          <w:b/>
          <w:sz w:val="24"/>
          <w:szCs w:val="24"/>
          <w:lang w:val="ro-MD" w:eastAsia="ru-RU"/>
        </w:rPr>
        <w:t xml:space="preserve"> (cod ECO 114415)</w:t>
      </w:r>
      <w:r w:rsidR="00AE205D" w:rsidRPr="009E5B39">
        <w:rPr>
          <w:rFonts w:asciiTheme="majorHAnsi" w:eastAsia="Times New Roman" w:hAnsiTheme="majorHAnsi" w:cstheme="majorHAnsi"/>
          <w:b/>
          <w:sz w:val="24"/>
          <w:szCs w:val="24"/>
          <w:lang w:val="ro-MD" w:eastAsia="ru-RU"/>
        </w:rPr>
        <w:t>,</w:t>
      </w:r>
      <w:r w:rsidRPr="009E5B39">
        <w:rPr>
          <w:rFonts w:asciiTheme="majorHAnsi" w:eastAsia="Times New Roman" w:hAnsiTheme="majorHAnsi" w:cstheme="majorHAnsi"/>
          <w:b/>
          <w:sz w:val="24"/>
          <w:szCs w:val="24"/>
          <w:lang w:val="ro-MD" w:eastAsia="ru-RU"/>
        </w:rPr>
        <w:t xml:space="preserve"> </w:t>
      </w:r>
      <w:r w:rsidRPr="009E5B39">
        <w:rPr>
          <w:rFonts w:asciiTheme="majorHAnsi" w:eastAsia="Times New Roman" w:hAnsiTheme="majorHAnsi" w:cstheme="majorHAnsi"/>
          <w:sz w:val="24"/>
          <w:szCs w:val="24"/>
          <w:lang w:val="ro-MD" w:eastAsia="ru-RU"/>
        </w:rPr>
        <w:t>în sumă de 33</w:t>
      </w:r>
      <w:r w:rsidR="009D6C8C" w:rsidRPr="009E5B39">
        <w:rPr>
          <w:rFonts w:asciiTheme="majorHAnsi" w:eastAsia="Times New Roman" w:hAnsiTheme="majorHAnsi" w:cstheme="majorHAnsi"/>
          <w:sz w:val="24"/>
          <w:szCs w:val="24"/>
          <w:lang w:val="ro-MD" w:eastAsia="ru-RU"/>
        </w:rPr>
        <w:t>,90 mil</w:t>
      </w:r>
      <w:r w:rsidR="00541886"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lei.</w:t>
      </w:r>
      <w:r w:rsidRPr="009E5B39">
        <w:rPr>
          <w:rFonts w:asciiTheme="majorHAnsi" w:eastAsia="Times New Roman" w:hAnsiTheme="majorHAnsi" w:cstheme="majorHAnsi"/>
          <w:b/>
          <w:sz w:val="24"/>
          <w:szCs w:val="24"/>
          <w:lang w:val="ro-MD" w:eastAsia="ru-RU"/>
        </w:rPr>
        <w:t xml:space="preserve"> </w:t>
      </w:r>
      <w:r w:rsidRPr="009E5B39">
        <w:rPr>
          <w:rFonts w:asciiTheme="majorHAnsi" w:eastAsia="Calibri" w:hAnsiTheme="majorHAnsi" w:cstheme="majorHAnsi"/>
          <w:sz w:val="24"/>
          <w:szCs w:val="24"/>
          <w:lang w:val="ro-MD"/>
        </w:rPr>
        <w:t>Potrivit informației prezentate de către DGARFC</w:t>
      </w:r>
      <w:r w:rsidR="008F09BF"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w:t>
      </w:r>
      <w:r w:rsidR="007F17B7" w:rsidRPr="009E5B39">
        <w:rPr>
          <w:rFonts w:asciiTheme="majorHAnsi" w:eastAsia="Calibri" w:hAnsiTheme="majorHAnsi" w:cstheme="majorHAnsi"/>
          <w:sz w:val="24"/>
          <w:szCs w:val="24"/>
          <w:lang w:val="ro-MD"/>
        </w:rPr>
        <w:t>referitor la</w:t>
      </w:r>
      <w:r w:rsidRPr="009E5B39">
        <w:rPr>
          <w:rFonts w:asciiTheme="majorHAnsi" w:eastAsia="Calibri" w:hAnsiTheme="majorHAnsi" w:cstheme="majorHAnsi"/>
          <w:sz w:val="24"/>
          <w:szCs w:val="24"/>
          <w:lang w:val="ro-MD"/>
        </w:rPr>
        <w:t xml:space="preserve"> obiectul impunerii, veniturile estimate, pasibile încasării din această taxă, constitui</w:t>
      </w:r>
      <w:r w:rsidR="007F17B7" w:rsidRPr="009E5B39">
        <w:rPr>
          <w:rFonts w:asciiTheme="majorHAnsi" w:eastAsia="Calibri" w:hAnsiTheme="majorHAnsi" w:cstheme="majorHAnsi"/>
          <w:sz w:val="24"/>
          <w:szCs w:val="24"/>
          <w:lang w:val="ro-MD"/>
        </w:rPr>
        <w:t>e</w:t>
      </w:r>
      <w:r w:rsidRPr="009E5B39">
        <w:rPr>
          <w:rFonts w:asciiTheme="majorHAnsi" w:eastAsia="Calibri" w:hAnsiTheme="majorHAnsi" w:cstheme="majorHAnsi"/>
          <w:sz w:val="24"/>
          <w:szCs w:val="24"/>
          <w:lang w:val="ro-MD"/>
        </w:rPr>
        <w:t xml:space="preserve"> 36</w:t>
      </w:r>
      <w:r w:rsidR="009D6C8C"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69</w:t>
      </w:r>
      <w:r w:rsidR="00541886" w:rsidRPr="009E5B39">
        <w:rPr>
          <w:rFonts w:asciiTheme="majorHAnsi" w:eastAsia="Calibri" w:hAnsiTheme="majorHAnsi" w:cstheme="majorHAnsi"/>
          <w:sz w:val="24"/>
          <w:szCs w:val="24"/>
          <w:lang w:val="ro-MD"/>
        </w:rPr>
        <w:t xml:space="preserve"> </w:t>
      </w:r>
      <w:r w:rsidR="009D6C8C" w:rsidRPr="009E5B39">
        <w:rPr>
          <w:rFonts w:asciiTheme="majorHAnsi" w:eastAsia="Calibri" w:hAnsiTheme="majorHAnsi" w:cstheme="majorHAnsi"/>
          <w:sz w:val="24"/>
          <w:szCs w:val="24"/>
          <w:lang w:val="ro-MD"/>
        </w:rPr>
        <w:t>mil</w:t>
      </w:r>
      <w:r w:rsidR="00541886"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lei, sau cu </w:t>
      </w:r>
      <w:r w:rsidRPr="009E5B39">
        <w:rPr>
          <w:rFonts w:asciiTheme="majorHAnsi" w:eastAsia="Calibri" w:hAnsiTheme="majorHAnsi" w:cstheme="majorHAnsi"/>
          <w:b/>
          <w:sz w:val="24"/>
          <w:szCs w:val="24"/>
          <w:lang w:val="ro-MD"/>
        </w:rPr>
        <w:t>2</w:t>
      </w:r>
      <w:r w:rsidR="009D6C8C"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79 mi</w:t>
      </w:r>
      <w:r w:rsidR="009D6C8C" w:rsidRPr="009E5B39">
        <w:rPr>
          <w:rFonts w:asciiTheme="majorHAnsi" w:eastAsia="Calibri" w:hAnsiTheme="majorHAnsi" w:cstheme="majorHAnsi"/>
          <w:b/>
          <w:sz w:val="24"/>
          <w:szCs w:val="24"/>
          <w:lang w:val="ro-MD"/>
        </w:rPr>
        <w:t>l</w:t>
      </w:r>
      <w:r w:rsidR="00541886"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 xml:space="preserve"> lei</w:t>
      </w:r>
      <w:r w:rsidRPr="009E5B39">
        <w:rPr>
          <w:rFonts w:asciiTheme="majorHAnsi" w:eastAsia="Calibri" w:hAnsiTheme="majorHAnsi" w:cstheme="majorHAnsi"/>
          <w:sz w:val="24"/>
          <w:szCs w:val="24"/>
          <w:lang w:val="ro-MD"/>
        </w:rPr>
        <w:t xml:space="preserve"> mai mult;</w:t>
      </w:r>
    </w:p>
    <w:p w14:paraId="4ED9158F" w14:textId="46C69302" w:rsidR="006C6B4F" w:rsidRPr="009E5B39" w:rsidRDefault="009860FA" w:rsidP="003C5073">
      <w:pPr>
        <w:pStyle w:val="ListParagraph"/>
        <w:numPr>
          <w:ilvl w:val="1"/>
          <w:numId w:val="120"/>
        </w:numPr>
        <w:spacing w:after="0" w:line="276" w:lineRule="auto"/>
        <w:ind w:left="0" w:firstLine="0"/>
        <w:jc w:val="both"/>
        <w:rPr>
          <w:rFonts w:asciiTheme="majorHAnsi" w:eastAsia="Times New Roman" w:hAnsiTheme="majorHAnsi" w:cstheme="majorHAnsi"/>
          <w:sz w:val="24"/>
          <w:szCs w:val="24"/>
          <w:lang w:val="ro-MD" w:eastAsia="ru-RU"/>
        </w:rPr>
      </w:pPr>
      <w:r w:rsidRPr="009E5B39">
        <w:rPr>
          <w:rFonts w:asciiTheme="majorHAnsi" w:hAnsiTheme="majorHAnsi" w:cstheme="majorHAnsi"/>
          <w:b/>
          <w:sz w:val="24"/>
          <w:szCs w:val="24"/>
          <w:lang w:val="ro-MD"/>
        </w:rPr>
        <w:t>taxa pentru unitățile comerciale și/sau de prestări servicii (cod ECO 114418)</w:t>
      </w:r>
      <w:r w:rsidR="007F17B7"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în sumă de 145</w:t>
      </w:r>
      <w:r w:rsidR="009D6C8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00 mi</w:t>
      </w:r>
      <w:r w:rsidR="009D6C8C" w:rsidRPr="009E5B39">
        <w:rPr>
          <w:rFonts w:asciiTheme="majorHAnsi" w:hAnsiTheme="majorHAnsi" w:cstheme="majorHAnsi"/>
          <w:sz w:val="24"/>
          <w:szCs w:val="24"/>
          <w:lang w:val="ro-MD"/>
        </w:rPr>
        <w:t>l</w:t>
      </w:r>
      <w:r w:rsidR="00541886"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Conform</w:t>
      </w:r>
      <w:r w:rsidRPr="009E5B39">
        <w:rPr>
          <w:rFonts w:asciiTheme="majorHAnsi" w:eastAsia="Times New Roman" w:hAnsiTheme="majorHAnsi" w:cstheme="majorHAnsi"/>
          <w:sz w:val="24"/>
          <w:szCs w:val="24"/>
          <w:lang w:val="ro-MD" w:eastAsia="ru-RU"/>
        </w:rPr>
        <w:t xml:space="preserve"> informației prezentate de către DGCAPPS</w:t>
      </w:r>
      <w:r w:rsidR="007F17B7"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calculul estimativ al acesteia</w:t>
      </w:r>
      <w:r w:rsidR="007F17B7" w:rsidRPr="009E5B39">
        <w:rPr>
          <w:rFonts w:asciiTheme="majorHAnsi" w:eastAsia="Times New Roman" w:hAnsiTheme="majorHAnsi" w:cstheme="majorHAnsi"/>
          <w:sz w:val="24"/>
          <w:szCs w:val="24"/>
          <w:lang w:val="ro-MD" w:eastAsia="ru-RU"/>
        </w:rPr>
        <w:t xml:space="preserve"> </w:t>
      </w:r>
      <w:r w:rsidRPr="009E5B39">
        <w:rPr>
          <w:rFonts w:asciiTheme="majorHAnsi" w:eastAsia="Times New Roman" w:hAnsiTheme="majorHAnsi" w:cstheme="majorHAnsi"/>
          <w:sz w:val="24"/>
          <w:szCs w:val="24"/>
          <w:lang w:val="ro-MD" w:eastAsia="ru-RU"/>
        </w:rPr>
        <w:t xml:space="preserve"> însumează 150</w:t>
      </w:r>
      <w:r w:rsidR="009D6C8C"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4</w:t>
      </w:r>
      <w:r w:rsidR="009D6C8C" w:rsidRPr="009E5B39">
        <w:rPr>
          <w:rFonts w:asciiTheme="majorHAnsi" w:eastAsia="Times New Roman" w:hAnsiTheme="majorHAnsi" w:cstheme="majorHAnsi"/>
          <w:sz w:val="24"/>
          <w:szCs w:val="24"/>
          <w:lang w:val="ro-MD" w:eastAsia="ru-RU"/>
        </w:rPr>
        <w:t>9</w:t>
      </w:r>
      <w:r w:rsidRPr="009E5B39">
        <w:rPr>
          <w:rFonts w:asciiTheme="majorHAnsi" w:eastAsia="Times New Roman" w:hAnsiTheme="majorHAnsi" w:cstheme="majorHAnsi"/>
          <w:sz w:val="24"/>
          <w:szCs w:val="24"/>
          <w:lang w:val="ro-MD" w:eastAsia="ru-RU"/>
        </w:rPr>
        <w:t xml:space="preserve"> mi</w:t>
      </w:r>
      <w:r w:rsidR="009D6C8C" w:rsidRPr="009E5B39">
        <w:rPr>
          <w:rFonts w:asciiTheme="majorHAnsi" w:eastAsia="Times New Roman" w:hAnsiTheme="majorHAnsi" w:cstheme="majorHAnsi"/>
          <w:sz w:val="24"/>
          <w:szCs w:val="24"/>
          <w:lang w:val="ro-MD" w:eastAsia="ru-RU"/>
        </w:rPr>
        <w:t>l</w:t>
      </w:r>
      <w:r w:rsidR="00541886"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lei, sau cu </w:t>
      </w:r>
      <w:r w:rsidRPr="009E5B39">
        <w:rPr>
          <w:rFonts w:asciiTheme="majorHAnsi" w:eastAsia="Times New Roman" w:hAnsiTheme="majorHAnsi" w:cstheme="majorHAnsi"/>
          <w:b/>
          <w:sz w:val="24"/>
          <w:szCs w:val="24"/>
          <w:lang w:val="ro-MD" w:eastAsia="ru-RU"/>
        </w:rPr>
        <w:t>5</w:t>
      </w:r>
      <w:r w:rsidR="009D6C8C" w:rsidRPr="009E5B39">
        <w:rPr>
          <w:rFonts w:asciiTheme="majorHAnsi" w:eastAsia="Times New Roman" w:hAnsiTheme="majorHAnsi" w:cstheme="majorHAnsi"/>
          <w:b/>
          <w:sz w:val="24"/>
          <w:szCs w:val="24"/>
          <w:lang w:val="ro-MD" w:eastAsia="ru-RU"/>
        </w:rPr>
        <w:t>,</w:t>
      </w:r>
      <w:r w:rsidRPr="009E5B39">
        <w:rPr>
          <w:rFonts w:asciiTheme="majorHAnsi" w:eastAsia="Times New Roman" w:hAnsiTheme="majorHAnsi" w:cstheme="majorHAnsi"/>
          <w:b/>
          <w:sz w:val="24"/>
          <w:szCs w:val="24"/>
          <w:lang w:val="ro-MD" w:eastAsia="ru-RU"/>
        </w:rPr>
        <w:t>4</w:t>
      </w:r>
      <w:r w:rsidR="009D6C8C" w:rsidRPr="009E5B39">
        <w:rPr>
          <w:rFonts w:asciiTheme="majorHAnsi" w:eastAsia="Times New Roman" w:hAnsiTheme="majorHAnsi" w:cstheme="majorHAnsi"/>
          <w:b/>
          <w:sz w:val="24"/>
          <w:szCs w:val="24"/>
          <w:lang w:val="ro-MD" w:eastAsia="ru-RU"/>
        </w:rPr>
        <w:t>9</w:t>
      </w:r>
      <w:r w:rsidRPr="009E5B39">
        <w:rPr>
          <w:rFonts w:asciiTheme="majorHAnsi" w:eastAsia="Times New Roman" w:hAnsiTheme="majorHAnsi" w:cstheme="majorHAnsi"/>
          <w:b/>
          <w:sz w:val="24"/>
          <w:szCs w:val="24"/>
          <w:lang w:val="ro-MD" w:eastAsia="ru-RU"/>
        </w:rPr>
        <w:t xml:space="preserve"> mi</w:t>
      </w:r>
      <w:r w:rsidR="009D6C8C" w:rsidRPr="009E5B39">
        <w:rPr>
          <w:rFonts w:asciiTheme="majorHAnsi" w:eastAsia="Times New Roman" w:hAnsiTheme="majorHAnsi" w:cstheme="majorHAnsi"/>
          <w:b/>
          <w:sz w:val="24"/>
          <w:szCs w:val="24"/>
          <w:lang w:val="ro-MD" w:eastAsia="ru-RU"/>
        </w:rPr>
        <w:t>l</w:t>
      </w:r>
      <w:r w:rsidR="00541886" w:rsidRPr="009E5B39">
        <w:rPr>
          <w:rFonts w:asciiTheme="majorHAnsi" w:eastAsia="Times New Roman" w:hAnsiTheme="majorHAnsi" w:cstheme="majorHAnsi"/>
          <w:b/>
          <w:sz w:val="24"/>
          <w:szCs w:val="24"/>
          <w:lang w:val="ro-MD" w:eastAsia="ru-RU"/>
        </w:rPr>
        <w:t>.</w:t>
      </w:r>
      <w:r w:rsidRPr="009E5B39">
        <w:rPr>
          <w:rFonts w:asciiTheme="majorHAnsi" w:eastAsia="Times New Roman" w:hAnsiTheme="majorHAnsi" w:cstheme="majorHAnsi"/>
          <w:b/>
          <w:sz w:val="24"/>
          <w:szCs w:val="24"/>
          <w:lang w:val="ro-MD" w:eastAsia="ru-RU"/>
        </w:rPr>
        <w:t xml:space="preserve"> lei</w:t>
      </w:r>
      <w:r w:rsidRPr="009E5B39">
        <w:rPr>
          <w:rFonts w:asciiTheme="majorHAnsi" w:eastAsia="Times New Roman" w:hAnsiTheme="majorHAnsi" w:cstheme="majorHAnsi"/>
          <w:sz w:val="24"/>
          <w:szCs w:val="24"/>
          <w:lang w:val="ro-MD" w:eastAsia="ru-RU"/>
        </w:rPr>
        <w:t xml:space="preserve"> mai mult</w:t>
      </w:r>
      <w:r w:rsidR="006C6B4F" w:rsidRPr="009E5B39">
        <w:rPr>
          <w:rFonts w:asciiTheme="majorHAnsi" w:eastAsia="Times New Roman" w:hAnsiTheme="majorHAnsi" w:cstheme="majorHAnsi"/>
          <w:sz w:val="24"/>
          <w:szCs w:val="24"/>
          <w:lang w:val="ro-MD" w:eastAsia="ru-RU"/>
        </w:rPr>
        <w:t>.</w:t>
      </w:r>
    </w:p>
    <w:p w14:paraId="36E1D6F4" w14:textId="511A510D" w:rsidR="009860FA" w:rsidRPr="009E5B39" w:rsidRDefault="006F6D97" w:rsidP="003C5073">
      <w:pPr>
        <w:spacing w:after="0" w:line="276" w:lineRule="auto"/>
        <w:contextualSpacing/>
        <w:jc w:val="both"/>
        <w:rPr>
          <w:rFonts w:asciiTheme="majorHAnsi" w:eastAsia="Times New Roman" w:hAnsiTheme="majorHAnsi"/>
          <w:sz w:val="24"/>
          <w:szCs w:val="24"/>
          <w:lang w:val="ro-MD" w:eastAsia="ru-RU"/>
        </w:rPr>
      </w:pPr>
      <w:r w:rsidRPr="009E5B39">
        <w:rPr>
          <w:rFonts w:asciiTheme="majorHAnsi" w:hAnsiTheme="majorHAnsi"/>
          <w:b/>
          <w:i/>
          <w:sz w:val="24"/>
          <w:szCs w:val="24"/>
          <w:lang w:val="ro-MD"/>
        </w:rPr>
        <w:t>4.1.6.</w:t>
      </w:r>
      <w:r w:rsidRPr="009E5B39">
        <w:rPr>
          <w:rFonts w:asciiTheme="majorHAnsi" w:hAnsiTheme="majorHAnsi"/>
          <w:sz w:val="24"/>
          <w:szCs w:val="24"/>
          <w:lang w:val="ro-MD"/>
        </w:rPr>
        <w:t xml:space="preserve"> </w:t>
      </w:r>
      <w:r w:rsidR="009860FA" w:rsidRPr="009E5B39">
        <w:rPr>
          <w:rFonts w:asciiTheme="majorHAnsi" w:hAnsiTheme="majorHAnsi"/>
          <w:b/>
          <w:i/>
          <w:sz w:val="24"/>
          <w:szCs w:val="24"/>
          <w:lang w:val="ro-MD"/>
        </w:rPr>
        <w:t>DGTPCC nu a efectuat monitorizarea și controlul periodic al activităților ce țin de furnizarea serviciului public prestat de către agenții economici pe rutele regulate (cu microbuzele) și în regim de taxi; nu deține informații exhaustive</w:t>
      </w:r>
      <w:r w:rsidR="007F17B7" w:rsidRPr="009E5B39">
        <w:rPr>
          <w:rFonts w:asciiTheme="majorHAnsi" w:hAnsiTheme="majorHAnsi"/>
          <w:b/>
          <w:i/>
          <w:sz w:val="24"/>
          <w:szCs w:val="24"/>
          <w:lang w:val="ro-MD"/>
        </w:rPr>
        <w:t xml:space="preserve"> </w:t>
      </w:r>
      <w:r w:rsidR="009860FA" w:rsidRPr="009E5B39">
        <w:rPr>
          <w:rFonts w:asciiTheme="majorHAnsi" w:hAnsiTheme="majorHAnsi"/>
          <w:b/>
          <w:i/>
          <w:sz w:val="24"/>
          <w:szCs w:val="24"/>
          <w:lang w:val="ro-MD"/>
        </w:rPr>
        <w:t>despre</w:t>
      </w:r>
      <w:r w:rsidR="007F17B7" w:rsidRPr="009E5B39">
        <w:rPr>
          <w:rFonts w:asciiTheme="majorHAnsi" w:hAnsiTheme="majorHAnsi"/>
          <w:b/>
          <w:i/>
          <w:sz w:val="24"/>
          <w:szCs w:val="24"/>
          <w:lang w:val="ro-MD"/>
        </w:rPr>
        <w:t>:</w:t>
      </w:r>
      <w:r w:rsidR="009860FA" w:rsidRPr="009E5B39">
        <w:rPr>
          <w:rFonts w:asciiTheme="majorHAnsi" w:hAnsiTheme="majorHAnsi"/>
          <w:b/>
          <w:i/>
          <w:sz w:val="24"/>
          <w:szCs w:val="24"/>
          <w:lang w:val="ro-MD"/>
        </w:rPr>
        <w:t xml:space="preserve"> numărul, denumirea, etc. a</w:t>
      </w:r>
      <w:r w:rsidR="007F17B7" w:rsidRPr="009E5B39">
        <w:rPr>
          <w:rFonts w:asciiTheme="majorHAnsi" w:hAnsiTheme="majorHAnsi"/>
          <w:b/>
          <w:i/>
          <w:sz w:val="24"/>
          <w:szCs w:val="24"/>
          <w:lang w:val="ro-MD"/>
        </w:rPr>
        <w:t>le</w:t>
      </w:r>
      <w:r w:rsidR="009860FA" w:rsidRPr="009E5B39">
        <w:rPr>
          <w:rFonts w:asciiTheme="majorHAnsi" w:hAnsiTheme="majorHAnsi"/>
          <w:b/>
          <w:i/>
          <w:sz w:val="24"/>
          <w:szCs w:val="24"/>
          <w:lang w:val="ro-MD"/>
        </w:rPr>
        <w:t xml:space="preserve"> agenților economici/persoanel</w:t>
      </w:r>
      <w:r w:rsidR="007F17B7" w:rsidRPr="009E5B39">
        <w:rPr>
          <w:rFonts w:asciiTheme="majorHAnsi" w:hAnsiTheme="majorHAnsi"/>
          <w:b/>
          <w:i/>
          <w:sz w:val="24"/>
          <w:szCs w:val="24"/>
          <w:lang w:val="ro-MD"/>
        </w:rPr>
        <w:t>or</w:t>
      </w:r>
      <w:r w:rsidR="009860FA" w:rsidRPr="009E5B39">
        <w:rPr>
          <w:rFonts w:asciiTheme="majorHAnsi" w:hAnsiTheme="majorHAnsi"/>
          <w:b/>
          <w:i/>
          <w:sz w:val="24"/>
          <w:szCs w:val="24"/>
          <w:lang w:val="ro-MD"/>
        </w:rPr>
        <w:t xml:space="preserve"> fizice care prestează serviciul de transport în regim de taxi în mun. Chișinău; numărul unităților de transport cu care este prestat acest serviciu, etc., ceea ce contribuie la planificarea neadecvată a veniturilor din</w:t>
      </w:r>
      <w:r w:rsidR="009860FA" w:rsidRPr="009E5B39">
        <w:rPr>
          <w:rFonts w:asciiTheme="majorHAnsi" w:eastAsia="Calibri" w:hAnsiTheme="majorHAnsi"/>
          <w:b/>
          <w:i/>
          <w:sz w:val="24"/>
          <w:szCs w:val="24"/>
          <w:lang w:val="ro-MD"/>
        </w:rPr>
        <w:t xml:space="preserve"> taxa pentru prestarea serviciilor de transport auto de călători pe teritoriul municipiilor, orașelor și satelor (comunelor) (</w:t>
      </w:r>
      <w:r w:rsidR="00F30BF3" w:rsidRPr="009E5B39">
        <w:rPr>
          <w:rFonts w:asciiTheme="majorHAnsi" w:eastAsia="Calibri" w:hAnsiTheme="majorHAnsi"/>
          <w:b/>
          <w:i/>
          <w:sz w:val="24"/>
          <w:szCs w:val="24"/>
          <w:lang w:val="ro-MD"/>
        </w:rPr>
        <w:t>c</w:t>
      </w:r>
      <w:r w:rsidR="009860FA" w:rsidRPr="009E5B39">
        <w:rPr>
          <w:rFonts w:asciiTheme="majorHAnsi" w:eastAsia="Calibri" w:hAnsiTheme="majorHAnsi"/>
          <w:b/>
          <w:i/>
          <w:sz w:val="24"/>
          <w:szCs w:val="24"/>
          <w:lang w:val="ro-MD"/>
        </w:rPr>
        <w:t>od ECO 114413)</w:t>
      </w:r>
      <w:r w:rsidR="00397D0F" w:rsidRPr="009E5B39">
        <w:rPr>
          <w:rFonts w:asciiTheme="majorHAnsi" w:eastAsia="Calibri" w:hAnsiTheme="majorHAnsi"/>
          <w:b/>
          <w:i/>
          <w:sz w:val="24"/>
          <w:szCs w:val="24"/>
          <w:lang w:val="ro-MD"/>
        </w:rPr>
        <w:t>,</w:t>
      </w:r>
      <w:r w:rsidR="009860FA" w:rsidRPr="009E5B39">
        <w:rPr>
          <w:rFonts w:asciiTheme="majorHAnsi" w:eastAsia="Calibri" w:hAnsiTheme="majorHAnsi"/>
          <w:b/>
          <w:i/>
          <w:sz w:val="24"/>
          <w:szCs w:val="24"/>
          <w:lang w:val="ro-MD"/>
        </w:rPr>
        <w:t xml:space="preserve"> </w:t>
      </w:r>
      <w:r w:rsidR="009860FA" w:rsidRPr="009E5B39">
        <w:rPr>
          <w:rFonts w:asciiTheme="majorHAnsi" w:hAnsiTheme="majorHAnsi"/>
          <w:b/>
          <w:i/>
          <w:sz w:val="24"/>
          <w:szCs w:val="24"/>
          <w:lang w:val="ro-MD"/>
        </w:rPr>
        <w:t xml:space="preserve"> </w:t>
      </w:r>
      <w:r w:rsidR="009860FA" w:rsidRPr="009E5B39">
        <w:rPr>
          <w:rFonts w:asciiTheme="majorHAnsi" w:eastAsia="Times New Roman" w:hAnsiTheme="majorHAnsi"/>
          <w:b/>
          <w:i/>
          <w:sz w:val="24"/>
          <w:szCs w:val="24"/>
          <w:lang w:val="ro-MD"/>
        </w:rPr>
        <w:t>la baza căreia stă numai executarea acestor venituri din perioada precedentă</w:t>
      </w:r>
      <w:r w:rsidR="009860FA" w:rsidRPr="009E5B39">
        <w:rPr>
          <w:rFonts w:eastAsia="Times New Roman"/>
          <w:vertAlign w:val="superscript"/>
          <w:lang w:val="ro-MD"/>
        </w:rPr>
        <w:footnoteReference w:id="39"/>
      </w:r>
      <w:r w:rsidR="009860FA" w:rsidRPr="009E5B39">
        <w:rPr>
          <w:rFonts w:asciiTheme="majorHAnsi" w:hAnsiTheme="majorHAnsi"/>
          <w:sz w:val="24"/>
          <w:szCs w:val="24"/>
          <w:lang w:val="ro-MD"/>
        </w:rPr>
        <w:t>. Cadrul normativ în vigoare</w:t>
      </w:r>
      <w:r w:rsidR="009860FA" w:rsidRPr="009E5B39">
        <w:rPr>
          <w:vertAlign w:val="superscript"/>
          <w:lang w:val="ro-MD"/>
        </w:rPr>
        <w:footnoteReference w:id="40"/>
      </w:r>
      <w:r w:rsidR="009860FA" w:rsidRPr="009E5B39">
        <w:rPr>
          <w:rFonts w:asciiTheme="majorHAnsi" w:hAnsiTheme="majorHAnsi"/>
          <w:sz w:val="24"/>
          <w:szCs w:val="24"/>
          <w:lang w:val="ro-MD"/>
        </w:rPr>
        <w:t xml:space="preserve"> nu prevede prestarea serviciului public de transport auto de călători în regim de taxi în baza unui act permisiv, dar nici AAPL nu a elaborat și aprobat careva reglementări </w:t>
      </w:r>
      <w:r w:rsidR="00426727" w:rsidRPr="009E5B39">
        <w:rPr>
          <w:rFonts w:asciiTheme="majorHAnsi" w:hAnsiTheme="majorHAnsi"/>
          <w:sz w:val="24"/>
          <w:szCs w:val="24"/>
          <w:lang w:val="ro-MD"/>
        </w:rPr>
        <w:t xml:space="preserve">privind </w:t>
      </w:r>
      <w:r w:rsidR="009860FA" w:rsidRPr="009E5B39">
        <w:rPr>
          <w:rFonts w:asciiTheme="majorHAnsi" w:hAnsiTheme="majorHAnsi"/>
          <w:sz w:val="24"/>
          <w:szCs w:val="24"/>
          <w:lang w:val="ro-MD"/>
        </w:rPr>
        <w:t>modalit</w:t>
      </w:r>
      <w:r w:rsidR="00426727" w:rsidRPr="009E5B39">
        <w:rPr>
          <w:rFonts w:asciiTheme="majorHAnsi" w:hAnsiTheme="majorHAnsi"/>
          <w:sz w:val="24"/>
          <w:szCs w:val="24"/>
          <w:lang w:val="ro-MD"/>
        </w:rPr>
        <w:t>atea</w:t>
      </w:r>
      <w:r w:rsidR="009860FA" w:rsidRPr="009E5B39">
        <w:rPr>
          <w:rFonts w:asciiTheme="majorHAnsi" w:hAnsiTheme="majorHAnsi"/>
          <w:sz w:val="24"/>
          <w:szCs w:val="24"/>
          <w:lang w:val="ro-MD"/>
        </w:rPr>
        <w:t xml:space="preserve"> de monitorizare/control periodic al prestatorilor serviciului public de transport auto de călători, ceea ce face imposibilă monitorizarea agenților economici care prestează acest tip de serviciu atât de către APL</w:t>
      </w:r>
      <w:r w:rsidR="00426727" w:rsidRPr="009E5B39">
        <w:rPr>
          <w:rFonts w:asciiTheme="majorHAnsi" w:hAnsiTheme="majorHAnsi"/>
          <w:sz w:val="24"/>
          <w:szCs w:val="24"/>
          <w:lang w:val="ro-MD"/>
        </w:rPr>
        <w:t>,</w:t>
      </w:r>
      <w:r w:rsidR="009860FA" w:rsidRPr="009E5B39">
        <w:rPr>
          <w:rFonts w:asciiTheme="majorHAnsi" w:hAnsiTheme="majorHAnsi"/>
          <w:sz w:val="24"/>
          <w:szCs w:val="24"/>
          <w:lang w:val="ro-MD"/>
        </w:rPr>
        <w:t xml:space="preserve"> cât și de către SFS. </w:t>
      </w:r>
      <w:r w:rsidR="009860FA" w:rsidRPr="009E5B39">
        <w:rPr>
          <w:rFonts w:asciiTheme="majorHAnsi" w:eastAsia="Calibri" w:hAnsiTheme="majorHAnsi"/>
          <w:sz w:val="24"/>
          <w:szCs w:val="24"/>
          <w:lang w:val="ro-MD"/>
        </w:rPr>
        <w:t>Toate acestea contribuie la ratarea veniturilor din</w:t>
      </w:r>
      <w:r w:rsidR="009860FA" w:rsidRPr="009E5B39">
        <w:rPr>
          <w:rFonts w:asciiTheme="majorHAnsi" w:eastAsia="Times New Roman" w:hAnsiTheme="majorHAnsi"/>
          <w:sz w:val="24"/>
          <w:szCs w:val="24"/>
          <w:lang w:val="ro-MD"/>
        </w:rPr>
        <w:t xml:space="preserve"> taxa pentru prestarea serviciilor de transport auto de călători pe teritoriul municipiului Chișinău</w:t>
      </w:r>
      <w:r w:rsidR="00426727" w:rsidRPr="009E5B39">
        <w:rPr>
          <w:rFonts w:asciiTheme="majorHAnsi" w:eastAsia="Times New Roman" w:hAnsiTheme="majorHAnsi"/>
          <w:sz w:val="24"/>
          <w:szCs w:val="24"/>
          <w:lang w:val="ro-MD"/>
        </w:rPr>
        <w:t>,</w:t>
      </w:r>
      <w:r w:rsidR="009860FA" w:rsidRPr="009E5B39">
        <w:rPr>
          <w:rFonts w:asciiTheme="majorHAnsi" w:eastAsia="Calibri" w:hAnsiTheme="majorHAnsi"/>
          <w:sz w:val="24"/>
          <w:szCs w:val="24"/>
          <w:lang w:val="ro-MD"/>
        </w:rPr>
        <w:t xml:space="preserve"> pasibile încasării. Deși Curtea de Conturi a atențion</w:t>
      </w:r>
      <w:r w:rsidR="00426727" w:rsidRPr="009E5B39">
        <w:rPr>
          <w:rFonts w:asciiTheme="majorHAnsi" w:eastAsia="Calibri" w:hAnsiTheme="majorHAnsi"/>
          <w:sz w:val="24"/>
          <w:szCs w:val="24"/>
          <w:lang w:val="ro-MD"/>
        </w:rPr>
        <w:t>at</w:t>
      </w:r>
      <w:r w:rsidR="00F04937" w:rsidRPr="009E5B39">
        <w:rPr>
          <w:rFonts w:asciiTheme="majorHAnsi" w:eastAsia="Calibri" w:hAnsiTheme="majorHAnsi"/>
          <w:sz w:val="24"/>
          <w:szCs w:val="24"/>
          <w:lang w:val="ro-MD"/>
        </w:rPr>
        <w:t xml:space="preserve"> asupra</w:t>
      </w:r>
      <w:r w:rsidR="009860FA" w:rsidRPr="009E5B39">
        <w:rPr>
          <w:rFonts w:asciiTheme="majorHAnsi" w:eastAsia="Calibri" w:hAnsiTheme="majorHAnsi"/>
          <w:sz w:val="24"/>
          <w:szCs w:val="24"/>
          <w:lang w:val="ro-MD"/>
        </w:rPr>
        <w:t xml:space="preserve"> problemel</w:t>
      </w:r>
      <w:r w:rsidR="00F04937" w:rsidRPr="009E5B39">
        <w:rPr>
          <w:rFonts w:asciiTheme="majorHAnsi" w:eastAsia="Calibri" w:hAnsiTheme="majorHAnsi"/>
          <w:sz w:val="24"/>
          <w:szCs w:val="24"/>
          <w:lang w:val="ro-MD"/>
        </w:rPr>
        <w:t>or</w:t>
      </w:r>
      <w:r w:rsidR="009860FA" w:rsidRPr="009E5B39">
        <w:rPr>
          <w:rFonts w:asciiTheme="majorHAnsi" w:eastAsia="Calibri" w:hAnsiTheme="majorHAnsi"/>
          <w:sz w:val="24"/>
          <w:szCs w:val="24"/>
          <w:lang w:val="ro-MD"/>
        </w:rPr>
        <w:t xml:space="preserve"> în cauză în Raportul aprobat prin HCC nr. 11 din 11.04.2018</w:t>
      </w:r>
      <w:r w:rsidR="009860FA" w:rsidRPr="009E5B39">
        <w:rPr>
          <w:rFonts w:eastAsia="Calibri"/>
          <w:vertAlign w:val="superscript"/>
          <w:lang w:val="ro-MD"/>
        </w:rPr>
        <w:footnoteReference w:id="41"/>
      </w:r>
      <w:r w:rsidR="009860FA" w:rsidRPr="009E5B39">
        <w:rPr>
          <w:rFonts w:asciiTheme="majorHAnsi" w:eastAsia="Calibri" w:hAnsiTheme="majorHAnsi"/>
          <w:sz w:val="24"/>
          <w:szCs w:val="24"/>
          <w:lang w:val="ro-MD"/>
        </w:rPr>
        <w:t>, fiind înaintate recomandările de rigoare</w:t>
      </w:r>
      <w:r w:rsidR="00F04937" w:rsidRPr="009E5B39">
        <w:rPr>
          <w:rFonts w:asciiTheme="majorHAnsi" w:eastAsia="Calibri" w:hAnsiTheme="majorHAnsi"/>
          <w:sz w:val="24"/>
          <w:szCs w:val="24"/>
          <w:lang w:val="ro-MD"/>
        </w:rPr>
        <w:t xml:space="preserve"> către</w:t>
      </w:r>
      <w:r w:rsidR="009860FA" w:rsidRPr="009E5B39">
        <w:rPr>
          <w:rFonts w:asciiTheme="majorHAnsi" w:eastAsia="Calibri" w:hAnsiTheme="majorHAnsi"/>
          <w:sz w:val="24"/>
          <w:szCs w:val="24"/>
          <w:lang w:val="ro-MD"/>
        </w:rPr>
        <w:t xml:space="preserve"> ANTA, SFS, ASP, până la moment situația în cauză nu a fost remediată.                                                     </w:t>
      </w:r>
    </w:p>
    <w:p w14:paraId="11001500" w14:textId="4FF771A0" w:rsidR="009860FA" w:rsidRPr="009E5B39" w:rsidRDefault="009860FA" w:rsidP="00EF4BC3">
      <w:pPr>
        <w:tabs>
          <w:tab w:val="left" w:pos="426"/>
          <w:tab w:val="left" w:pos="709"/>
          <w:tab w:val="left" w:pos="1560"/>
        </w:tabs>
        <w:spacing w:after="0" w:line="276" w:lineRule="auto"/>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b/>
      </w:r>
      <w:r w:rsidR="00D102B9" w:rsidRPr="009E5B39">
        <w:rPr>
          <w:rFonts w:asciiTheme="majorHAnsi" w:hAnsiTheme="majorHAnsi" w:cstheme="majorHAnsi"/>
          <w:sz w:val="24"/>
          <w:szCs w:val="24"/>
          <w:lang w:val="ro-MD"/>
        </w:rPr>
        <w:tab/>
      </w:r>
      <w:r w:rsidRPr="009E5B39">
        <w:rPr>
          <w:rFonts w:asciiTheme="majorHAnsi" w:hAnsiTheme="majorHAnsi" w:cstheme="majorHAnsi"/>
          <w:sz w:val="24"/>
          <w:szCs w:val="24"/>
          <w:lang w:val="ro-MD"/>
        </w:rPr>
        <w:t>A</w:t>
      </w:r>
      <w:r w:rsidRPr="009E5B39">
        <w:rPr>
          <w:rFonts w:asciiTheme="majorHAnsi" w:eastAsia="Calibri" w:hAnsiTheme="majorHAnsi" w:cstheme="majorHAnsi"/>
          <w:sz w:val="24"/>
          <w:szCs w:val="24"/>
          <w:lang w:val="ro-MD"/>
        </w:rPr>
        <w:t>naliza selectivă a dărilor de seamă p</w:t>
      </w:r>
      <w:r w:rsidR="006E75ED" w:rsidRPr="009E5B39">
        <w:rPr>
          <w:rFonts w:asciiTheme="majorHAnsi" w:eastAsia="Calibri" w:hAnsiTheme="majorHAnsi" w:cstheme="majorHAnsi"/>
          <w:sz w:val="24"/>
          <w:szCs w:val="24"/>
          <w:lang w:val="ro-MD"/>
        </w:rPr>
        <w:t>rivind</w:t>
      </w:r>
      <w:r w:rsidRPr="009E5B39">
        <w:rPr>
          <w:rFonts w:asciiTheme="majorHAnsi" w:eastAsia="Calibri" w:hAnsiTheme="majorHAnsi" w:cstheme="majorHAnsi"/>
          <w:sz w:val="24"/>
          <w:szCs w:val="24"/>
          <w:lang w:val="ro-MD"/>
        </w:rPr>
        <w:t xml:space="preserve"> taxele locale (TL13), prezentate în perioada </w:t>
      </w:r>
      <w:r w:rsidR="006E75ED" w:rsidRPr="009E5B39">
        <w:rPr>
          <w:rFonts w:asciiTheme="majorHAnsi" w:eastAsia="Calibri" w:hAnsiTheme="majorHAnsi" w:cstheme="majorHAnsi"/>
          <w:sz w:val="24"/>
          <w:szCs w:val="24"/>
          <w:lang w:val="ro-MD"/>
        </w:rPr>
        <w:t xml:space="preserve">anilor </w:t>
      </w:r>
      <w:r w:rsidRPr="009E5B39">
        <w:rPr>
          <w:rFonts w:asciiTheme="majorHAnsi" w:eastAsia="Calibri" w:hAnsiTheme="majorHAnsi" w:cstheme="majorHAnsi"/>
          <w:sz w:val="24"/>
          <w:szCs w:val="24"/>
          <w:lang w:val="ro-MD"/>
        </w:rPr>
        <w:t xml:space="preserve">2018-2020 de către agenții economici care prestează serviciul de transport al pasagerilor </w:t>
      </w:r>
      <w:r w:rsidRPr="009E5B39">
        <w:rPr>
          <w:rFonts w:asciiTheme="majorHAnsi" w:eastAsia="Calibri" w:hAnsiTheme="majorHAnsi" w:cstheme="majorHAnsi"/>
          <w:b/>
          <w:sz w:val="24"/>
          <w:szCs w:val="24"/>
          <w:lang w:val="ro-MD"/>
        </w:rPr>
        <w:t>în regim de taxi</w:t>
      </w:r>
      <w:r w:rsidRPr="009E5B39">
        <w:rPr>
          <w:rFonts w:asciiTheme="majorHAnsi" w:eastAsia="Calibri" w:hAnsiTheme="majorHAnsi" w:cstheme="majorHAnsi"/>
          <w:sz w:val="24"/>
          <w:szCs w:val="24"/>
          <w:lang w:val="ro-MD"/>
        </w:rPr>
        <w:t xml:space="preserve">, a </w:t>
      </w:r>
      <w:r w:rsidR="006E75ED" w:rsidRPr="009E5B39">
        <w:rPr>
          <w:rFonts w:asciiTheme="majorHAnsi" w:eastAsia="Calibri" w:hAnsiTheme="majorHAnsi" w:cstheme="majorHAnsi"/>
          <w:sz w:val="24"/>
          <w:szCs w:val="24"/>
          <w:lang w:val="ro-MD"/>
        </w:rPr>
        <w:t>relevat</w:t>
      </w:r>
      <w:r w:rsidRPr="009E5B39">
        <w:rPr>
          <w:rFonts w:asciiTheme="majorHAnsi" w:eastAsia="Calibri" w:hAnsiTheme="majorHAnsi" w:cstheme="majorHAnsi"/>
          <w:sz w:val="24"/>
          <w:szCs w:val="24"/>
          <w:lang w:val="ro-MD"/>
        </w:rPr>
        <w:t xml:space="preserve"> unele neconformități, cum ar fi: 1) </w:t>
      </w:r>
      <w:r w:rsidR="006E75ED" w:rsidRPr="009E5B39">
        <w:rPr>
          <w:rFonts w:asciiTheme="majorHAnsi" w:eastAsia="Calibri" w:hAnsiTheme="majorHAnsi" w:cstheme="majorHAnsi"/>
          <w:sz w:val="24"/>
          <w:szCs w:val="24"/>
          <w:lang w:val="ro-MD"/>
        </w:rPr>
        <w:t>dat fiind</w:t>
      </w:r>
      <w:r w:rsidRPr="009E5B39">
        <w:rPr>
          <w:rFonts w:asciiTheme="majorHAnsi" w:eastAsia="Calibri" w:hAnsiTheme="majorHAnsi" w:cstheme="majorHAnsi"/>
          <w:sz w:val="24"/>
          <w:szCs w:val="24"/>
          <w:lang w:val="ro-MD"/>
        </w:rPr>
        <w:t xml:space="preserve"> faptul că codul activității de bază conform CAEM, indicat în darea de seamă </w:t>
      </w:r>
      <w:r w:rsidR="006E75ED" w:rsidRPr="009E5B39">
        <w:rPr>
          <w:rFonts w:asciiTheme="majorHAnsi" w:eastAsia="Calibri" w:hAnsiTheme="majorHAnsi" w:cstheme="majorHAnsi"/>
          <w:sz w:val="24"/>
          <w:szCs w:val="24"/>
          <w:lang w:val="ro-MD"/>
        </w:rPr>
        <w:t>privind</w:t>
      </w:r>
      <w:r w:rsidRPr="009E5B39">
        <w:rPr>
          <w:rFonts w:asciiTheme="majorHAnsi" w:eastAsia="Calibri" w:hAnsiTheme="majorHAnsi" w:cstheme="majorHAnsi"/>
          <w:sz w:val="24"/>
          <w:szCs w:val="24"/>
          <w:lang w:val="ro-MD"/>
        </w:rPr>
        <w:t xml:space="preserve"> taxe</w:t>
      </w:r>
      <w:r w:rsidR="006E75ED" w:rsidRPr="009E5B39">
        <w:rPr>
          <w:rFonts w:asciiTheme="majorHAnsi" w:eastAsia="Calibri" w:hAnsiTheme="majorHAnsi" w:cstheme="majorHAnsi"/>
          <w:sz w:val="24"/>
          <w:szCs w:val="24"/>
          <w:lang w:val="ro-MD"/>
        </w:rPr>
        <w:t>le</w:t>
      </w:r>
      <w:r w:rsidRPr="009E5B39">
        <w:rPr>
          <w:rFonts w:asciiTheme="majorHAnsi" w:eastAsia="Calibri" w:hAnsiTheme="majorHAnsi" w:cstheme="majorHAnsi"/>
          <w:sz w:val="24"/>
          <w:szCs w:val="24"/>
          <w:lang w:val="ro-MD"/>
        </w:rPr>
        <w:t xml:space="preserve"> locale, este 4932 - transporturi cu taxiuri, unii agenți economici declară taxa numai pentru o singură unitate de transport – suma de 900 lei/trimestru; 2) nu este indicat expres numărul unităților de transport cu care a fost prestat serviciu</w:t>
      </w:r>
      <w:r w:rsidR="006E75ED" w:rsidRPr="009E5B39">
        <w:rPr>
          <w:rFonts w:asciiTheme="majorHAnsi" w:eastAsia="Calibri" w:hAnsiTheme="majorHAnsi" w:cstheme="majorHAnsi"/>
          <w:sz w:val="24"/>
          <w:szCs w:val="24"/>
          <w:lang w:val="ro-MD"/>
        </w:rPr>
        <w:t>l</w:t>
      </w:r>
      <w:r w:rsidRPr="009E5B39">
        <w:rPr>
          <w:rFonts w:asciiTheme="majorHAnsi" w:eastAsia="Calibri" w:hAnsiTheme="majorHAnsi" w:cstheme="majorHAnsi"/>
          <w:sz w:val="24"/>
          <w:szCs w:val="24"/>
          <w:lang w:val="ro-MD"/>
        </w:rPr>
        <w:t>, fiind declarată numai suma, care poate fi mai mică/mai mare decât taxa aprobată de către APL, aceasta variind între 125 lei/trimestru și 762 lei/trimestru; 3) unii agenți economici au corectat darea de seamă p</w:t>
      </w:r>
      <w:r w:rsidR="00B339A2" w:rsidRPr="009E5B39">
        <w:rPr>
          <w:rFonts w:asciiTheme="majorHAnsi" w:eastAsia="Calibri" w:hAnsiTheme="majorHAnsi" w:cstheme="majorHAnsi"/>
          <w:sz w:val="24"/>
          <w:szCs w:val="24"/>
          <w:lang w:val="ro-MD"/>
        </w:rPr>
        <w:t>rivind</w:t>
      </w:r>
      <w:r w:rsidRPr="009E5B39">
        <w:rPr>
          <w:rFonts w:asciiTheme="majorHAnsi" w:eastAsia="Calibri" w:hAnsiTheme="majorHAnsi" w:cstheme="majorHAnsi"/>
          <w:sz w:val="24"/>
          <w:szCs w:val="24"/>
          <w:lang w:val="ro-MD"/>
        </w:rPr>
        <w:t xml:space="preserve"> taxele locale (TL 13) pentru anul 2019, prezentată inițial în termen, peste 1 an și 4 luni, prin modificarea numărului unităților de transport și diminuarea taxei per unitate de transport – de la 900 lei/trimestru </w:t>
      </w:r>
      <w:r w:rsidR="007102DC" w:rsidRPr="009E5B39">
        <w:rPr>
          <w:rFonts w:asciiTheme="majorHAnsi" w:eastAsia="Calibri" w:hAnsiTheme="majorHAnsi" w:cstheme="majorHAnsi"/>
          <w:sz w:val="24"/>
          <w:szCs w:val="24"/>
          <w:lang w:val="ro-MD"/>
        </w:rPr>
        <w:t>până</w:t>
      </w:r>
      <w:r w:rsidR="00B339A2"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 xml:space="preserve">la 300 lei/trimestru, astfel diminuând suma taxei calculate. </w:t>
      </w:r>
    </w:p>
    <w:p w14:paraId="4B3269FB" w14:textId="3244E75E" w:rsidR="009860FA" w:rsidRPr="009E5B39" w:rsidRDefault="004030C6">
      <w:pPr>
        <w:spacing w:after="0" w:line="276" w:lineRule="auto"/>
        <w:jc w:val="both"/>
        <w:rPr>
          <w:rFonts w:asciiTheme="majorHAnsi" w:hAnsiTheme="majorHAnsi"/>
          <w:sz w:val="24"/>
          <w:szCs w:val="24"/>
          <w:lang w:val="ro-MD"/>
        </w:rPr>
      </w:pPr>
      <w:r w:rsidRPr="009E5B39">
        <w:rPr>
          <w:rFonts w:asciiTheme="majorHAnsi" w:hAnsiTheme="majorHAnsi"/>
          <w:b/>
          <w:i/>
          <w:sz w:val="24"/>
          <w:szCs w:val="24"/>
          <w:lang w:val="ro-MD"/>
        </w:rPr>
        <w:t>4.1.7.</w:t>
      </w:r>
      <w:r w:rsidRPr="009E5B39">
        <w:rPr>
          <w:rFonts w:asciiTheme="majorHAnsi" w:hAnsiTheme="majorHAnsi"/>
          <w:sz w:val="24"/>
          <w:szCs w:val="24"/>
          <w:lang w:val="ro-MD"/>
        </w:rPr>
        <w:t xml:space="preserve"> </w:t>
      </w:r>
      <w:r w:rsidR="009860FA" w:rsidRPr="009E5B39">
        <w:rPr>
          <w:rFonts w:asciiTheme="majorHAnsi" w:hAnsiTheme="majorHAnsi"/>
          <w:b/>
          <w:i/>
          <w:sz w:val="24"/>
          <w:szCs w:val="24"/>
          <w:lang w:val="ro-MD"/>
        </w:rPr>
        <w:t xml:space="preserve">DGTPCC nu dispune de informație exhaustivă și veridică despre suprafața ocupată de parcări din mun. Chișinău, </w:t>
      </w:r>
      <w:r w:rsidR="00B339A2" w:rsidRPr="009E5B39">
        <w:rPr>
          <w:rFonts w:asciiTheme="majorHAnsi" w:hAnsiTheme="majorHAnsi"/>
          <w:b/>
          <w:i/>
          <w:sz w:val="24"/>
          <w:szCs w:val="24"/>
          <w:lang w:val="ro-MD"/>
        </w:rPr>
        <w:t xml:space="preserve">fapt </w:t>
      </w:r>
      <w:r w:rsidR="009860FA" w:rsidRPr="009E5B39">
        <w:rPr>
          <w:rFonts w:asciiTheme="majorHAnsi" w:hAnsiTheme="majorHAnsi"/>
          <w:b/>
          <w:i/>
          <w:sz w:val="24"/>
          <w:szCs w:val="24"/>
          <w:lang w:val="ro-MD"/>
        </w:rPr>
        <w:t>ce condiționează planificarea neadecvată a veniturilor bugetului municipal din taxa pentru parcare (cod ECO 114416).</w:t>
      </w:r>
      <w:r w:rsidR="009860FA" w:rsidRPr="009E5B39">
        <w:rPr>
          <w:rFonts w:asciiTheme="majorHAnsi" w:hAnsiTheme="majorHAnsi"/>
          <w:sz w:val="24"/>
          <w:szCs w:val="24"/>
          <w:lang w:val="ro-MD"/>
        </w:rPr>
        <w:t xml:space="preserve"> La situația din 30.11.2020, în mun. Chișinău </w:t>
      </w:r>
      <w:r w:rsidR="00440BD5" w:rsidRPr="009E5B39">
        <w:rPr>
          <w:rFonts w:asciiTheme="majorHAnsi" w:hAnsiTheme="majorHAnsi"/>
          <w:sz w:val="24"/>
          <w:szCs w:val="24"/>
          <w:lang w:val="ro-MD"/>
        </w:rPr>
        <w:t>sunt înregistrate</w:t>
      </w:r>
      <w:r w:rsidR="009860FA" w:rsidRPr="009E5B39">
        <w:rPr>
          <w:rFonts w:asciiTheme="majorHAnsi" w:hAnsiTheme="majorHAnsi"/>
          <w:sz w:val="24"/>
          <w:szCs w:val="24"/>
          <w:lang w:val="ro-MD"/>
        </w:rPr>
        <w:t xml:space="preserve"> 125 </w:t>
      </w:r>
      <w:r w:rsidR="00B339A2" w:rsidRPr="009E5B39">
        <w:rPr>
          <w:rFonts w:asciiTheme="majorHAnsi" w:hAnsiTheme="majorHAnsi"/>
          <w:sz w:val="24"/>
          <w:szCs w:val="24"/>
          <w:lang w:val="ro-MD"/>
        </w:rPr>
        <w:t xml:space="preserve">de </w:t>
      </w:r>
      <w:r w:rsidR="009860FA" w:rsidRPr="009E5B39">
        <w:rPr>
          <w:rFonts w:asciiTheme="majorHAnsi" w:hAnsiTheme="majorHAnsi"/>
          <w:sz w:val="24"/>
          <w:szCs w:val="24"/>
          <w:lang w:val="ro-MD"/>
        </w:rPr>
        <w:t>parcări autorizate</w:t>
      </w:r>
      <w:r w:rsidR="00B339A2" w:rsidRPr="009E5B39">
        <w:rPr>
          <w:rFonts w:asciiTheme="majorHAnsi" w:hAnsiTheme="majorHAnsi"/>
          <w:sz w:val="24"/>
          <w:szCs w:val="24"/>
          <w:lang w:val="ro-MD"/>
        </w:rPr>
        <w:t>,</w:t>
      </w:r>
      <w:r w:rsidR="009860FA" w:rsidRPr="009E5B39">
        <w:rPr>
          <w:rFonts w:asciiTheme="majorHAnsi" w:hAnsiTheme="majorHAnsi"/>
          <w:sz w:val="24"/>
          <w:szCs w:val="24"/>
          <w:lang w:val="ro-MD"/>
        </w:rPr>
        <w:t xml:space="preserve"> cu suprafața totală de circa 343.190 m</w:t>
      </w:r>
      <w:r w:rsidR="009860FA" w:rsidRPr="009E5B39">
        <w:rPr>
          <w:rFonts w:asciiTheme="majorHAnsi" w:hAnsiTheme="majorHAnsi"/>
          <w:sz w:val="24"/>
          <w:szCs w:val="24"/>
          <w:vertAlign w:val="superscript"/>
          <w:lang w:val="ro-MD"/>
        </w:rPr>
        <w:t>2</w:t>
      </w:r>
      <w:r w:rsidR="009860FA" w:rsidRPr="009E5B39">
        <w:rPr>
          <w:rFonts w:asciiTheme="majorHAnsi" w:hAnsiTheme="majorHAnsi"/>
          <w:sz w:val="24"/>
          <w:szCs w:val="24"/>
          <w:lang w:val="ro-MD"/>
        </w:rPr>
        <w:t xml:space="preserve">. La 50 </w:t>
      </w:r>
      <w:r w:rsidR="00B339A2" w:rsidRPr="009E5B39">
        <w:rPr>
          <w:rFonts w:asciiTheme="majorHAnsi" w:hAnsiTheme="majorHAnsi"/>
          <w:sz w:val="24"/>
          <w:szCs w:val="24"/>
          <w:lang w:val="ro-MD"/>
        </w:rPr>
        <w:t xml:space="preserve">de </w:t>
      </w:r>
      <w:r w:rsidR="009860FA" w:rsidRPr="009E5B39">
        <w:rPr>
          <w:rFonts w:asciiTheme="majorHAnsi" w:hAnsiTheme="majorHAnsi"/>
          <w:sz w:val="24"/>
          <w:szCs w:val="24"/>
          <w:lang w:val="ro-MD"/>
        </w:rPr>
        <w:t>parcări (40% din numărul total) autorizațiile de funcționare sunt expirate. Analiza selectivă în contrapunere a informației prezentate de către DGTPCC cu datele preluate din SIA a</w:t>
      </w:r>
      <w:r w:rsidR="00440BD5" w:rsidRPr="009E5B39">
        <w:rPr>
          <w:rFonts w:asciiTheme="majorHAnsi" w:hAnsiTheme="majorHAnsi"/>
          <w:sz w:val="24"/>
          <w:szCs w:val="24"/>
          <w:lang w:val="ro-MD"/>
        </w:rPr>
        <w:t>l</w:t>
      </w:r>
      <w:r w:rsidR="009860FA" w:rsidRPr="009E5B39">
        <w:rPr>
          <w:rFonts w:asciiTheme="majorHAnsi" w:hAnsiTheme="majorHAnsi"/>
          <w:sz w:val="24"/>
          <w:szCs w:val="24"/>
          <w:lang w:val="ro-MD"/>
        </w:rPr>
        <w:t xml:space="preserve"> SFS </w:t>
      </w:r>
      <w:r w:rsidR="00440BD5" w:rsidRPr="009E5B39">
        <w:rPr>
          <w:rFonts w:asciiTheme="majorHAnsi" w:hAnsiTheme="majorHAnsi"/>
          <w:sz w:val="24"/>
          <w:szCs w:val="24"/>
          <w:lang w:val="ro-MD"/>
        </w:rPr>
        <w:t xml:space="preserve">denotă </w:t>
      </w:r>
      <w:r w:rsidR="009860FA" w:rsidRPr="009E5B39">
        <w:rPr>
          <w:rFonts w:asciiTheme="majorHAnsi" w:hAnsiTheme="majorHAnsi"/>
          <w:sz w:val="24"/>
          <w:szCs w:val="24"/>
          <w:lang w:val="ro-MD"/>
        </w:rPr>
        <w:t xml:space="preserve"> </w:t>
      </w:r>
      <w:r w:rsidR="00ED1130" w:rsidRPr="009E5B39">
        <w:rPr>
          <w:rFonts w:asciiTheme="majorHAnsi" w:hAnsiTheme="majorHAnsi"/>
          <w:sz w:val="24"/>
          <w:szCs w:val="24"/>
          <w:lang w:val="ro-MD"/>
        </w:rPr>
        <w:t>următoarele</w:t>
      </w:r>
      <w:r w:rsidR="009860FA" w:rsidRPr="009E5B39">
        <w:rPr>
          <w:rFonts w:asciiTheme="majorHAnsi" w:hAnsiTheme="majorHAnsi"/>
          <w:sz w:val="24"/>
          <w:szCs w:val="24"/>
          <w:lang w:val="ro-MD"/>
        </w:rPr>
        <w:t xml:space="preserve">: 1) </w:t>
      </w:r>
      <w:r w:rsidR="00440BD5" w:rsidRPr="009E5B39">
        <w:rPr>
          <w:rFonts w:asciiTheme="majorHAnsi" w:hAnsiTheme="majorHAnsi"/>
          <w:sz w:val="24"/>
          <w:szCs w:val="24"/>
          <w:lang w:val="ro-MD"/>
        </w:rPr>
        <w:t>Dat fiind</w:t>
      </w:r>
      <w:r w:rsidR="009860FA" w:rsidRPr="009E5B39">
        <w:rPr>
          <w:rFonts w:asciiTheme="majorHAnsi" w:hAnsiTheme="majorHAnsi"/>
          <w:sz w:val="24"/>
          <w:szCs w:val="24"/>
          <w:lang w:val="ro-MD"/>
        </w:rPr>
        <w:t xml:space="preserve"> că autorizațiile unor agenți economici </w:t>
      </w:r>
      <w:r w:rsidR="00440BD5" w:rsidRPr="009E5B39">
        <w:rPr>
          <w:rFonts w:asciiTheme="majorHAnsi" w:hAnsiTheme="majorHAnsi"/>
          <w:sz w:val="24"/>
          <w:szCs w:val="24"/>
          <w:lang w:val="ro-MD"/>
        </w:rPr>
        <w:t>au</w:t>
      </w:r>
      <w:r w:rsidR="009860FA" w:rsidRPr="009E5B39">
        <w:rPr>
          <w:rFonts w:asciiTheme="majorHAnsi" w:hAnsiTheme="majorHAnsi"/>
          <w:sz w:val="24"/>
          <w:szCs w:val="24"/>
          <w:lang w:val="ro-MD"/>
        </w:rPr>
        <w:t xml:space="preserve"> expirat în </w:t>
      </w:r>
      <w:r w:rsidR="00440BD5" w:rsidRPr="009E5B39">
        <w:rPr>
          <w:rFonts w:asciiTheme="majorHAnsi" w:hAnsiTheme="majorHAnsi"/>
          <w:sz w:val="24"/>
          <w:szCs w:val="24"/>
          <w:lang w:val="ro-MD"/>
        </w:rPr>
        <w:t>anii</w:t>
      </w:r>
      <w:r w:rsidR="009860FA" w:rsidRPr="009E5B39">
        <w:rPr>
          <w:rFonts w:asciiTheme="majorHAnsi" w:hAnsiTheme="majorHAnsi"/>
          <w:sz w:val="24"/>
          <w:szCs w:val="24"/>
          <w:lang w:val="ro-MD"/>
        </w:rPr>
        <w:t xml:space="preserve"> 2009 - 2020, aceștia, potrivit Dărilor de seamă p</w:t>
      </w:r>
      <w:r w:rsidR="00440BD5" w:rsidRPr="009E5B39">
        <w:rPr>
          <w:rFonts w:asciiTheme="majorHAnsi" w:hAnsiTheme="majorHAnsi"/>
          <w:sz w:val="24"/>
          <w:szCs w:val="24"/>
          <w:lang w:val="ro-MD"/>
        </w:rPr>
        <w:t>rivind</w:t>
      </w:r>
      <w:r w:rsidR="009860FA" w:rsidRPr="009E5B39">
        <w:rPr>
          <w:rFonts w:asciiTheme="majorHAnsi" w:hAnsiTheme="majorHAnsi"/>
          <w:sz w:val="24"/>
          <w:szCs w:val="24"/>
          <w:lang w:val="ro-MD"/>
        </w:rPr>
        <w:t xml:space="preserve"> taxe</w:t>
      </w:r>
      <w:r w:rsidR="00440BD5" w:rsidRPr="009E5B39">
        <w:rPr>
          <w:rFonts w:asciiTheme="majorHAnsi" w:hAnsiTheme="majorHAnsi"/>
          <w:sz w:val="24"/>
          <w:szCs w:val="24"/>
          <w:lang w:val="ro-MD"/>
        </w:rPr>
        <w:t>le</w:t>
      </w:r>
      <w:r w:rsidR="009860FA" w:rsidRPr="009E5B39">
        <w:rPr>
          <w:rFonts w:asciiTheme="majorHAnsi" w:hAnsiTheme="majorHAnsi"/>
          <w:sz w:val="24"/>
          <w:szCs w:val="24"/>
          <w:lang w:val="ro-MD"/>
        </w:rPr>
        <w:t xml:space="preserve"> locale (</w:t>
      </w:r>
      <w:r w:rsidR="004E56B6" w:rsidRPr="009E5B39">
        <w:rPr>
          <w:rFonts w:asciiTheme="majorHAnsi" w:hAnsiTheme="majorHAnsi"/>
          <w:sz w:val="24"/>
          <w:szCs w:val="24"/>
          <w:lang w:val="ro-MD"/>
        </w:rPr>
        <w:t>F</w:t>
      </w:r>
      <w:r w:rsidR="009860FA" w:rsidRPr="009E5B39">
        <w:rPr>
          <w:rFonts w:asciiTheme="majorHAnsi" w:hAnsiTheme="majorHAnsi"/>
          <w:sz w:val="24"/>
          <w:szCs w:val="24"/>
          <w:lang w:val="ro-MD"/>
        </w:rPr>
        <w:t>orma TL 13) pentru anul 2020, calcul</w:t>
      </w:r>
      <w:r w:rsidR="00440BD5" w:rsidRPr="009E5B39">
        <w:rPr>
          <w:rFonts w:asciiTheme="majorHAnsi" w:hAnsiTheme="majorHAnsi"/>
          <w:sz w:val="24"/>
          <w:szCs w:val="24"/>
          <w:lang w:val="ro-MD"/>
        </w:rPr>
        <w:t>eaz</w:t>
      </w:r>
      <w:r w:rsidR="009860FA" w:rsidRPr="009E5B39">
        <w:rPr>
          <w:rFonts w:asciiTheme="majorHAnsi" w:hAnsiTheme="majorHAnsi"/>
          <w:sz w:val="24"/>
          <w:szCs w:val="24"/>
          <w:lang w:val="ro-MD"/>
        </w:rPr>
        <w:t xml:space="preserve">ă taxa pentru parcare, </w:t>
      </w:r>
      <w:r w:rsidR="00440BD5" w:rsidRPr="009E5B39">
        <w:rPr>
          <w:rFonts w:asciiTheme="majorHAnsi" w:hAnsiTheme="majorHAnsi"/>
          <w:sz w:val="24"/>
          <w:szCs w:val="24"/>
          <w:lang w:val="ro-MD"/>
        </w:rPr>
        <w:t>fapt</w:t>
      </w:r>
      <w:r w:rsidR="009860FA" w:rsidRPr="009E5B39">
        <w:rPr>
          <w:rFonts w:asciiTheme="majorHAnsi" w:hAnsiTheme="majorHAnsi"/>
          <w:sz w:val="24"/>
          <w:szCs w:val="24"/>
          <w:lang w:val="ro-MD"/>
        </w:rPr>
        <w:t xml:space="preserve"> ce </w:t>
      </w:r>
      <w:r w:rsidR="00440BD5" w:rsidRPr="009E5B39">
        <w:rPr>
          <w:rFonts w:asciiTheme="majorHAnsi" w:hAnsiTheme="majorHAnsi"/>
          <w:sz w:val="24"/>
          <w:szCs w:val="24"/>
          <w:lang w:val="ro-MD"/>
        </w:rPr>
        <w:t>indică</w:t>
      </w:r>
      <w:r w:rsidR="009860FA" w:rsidRPr="009E5B39">
        <w:rPr>
          <w:rFonts w:asciiTheme="majorHAnsi" w:hAnsiTheme="majorHAnsi"/>
          <w:sz w:val="24"/>
          <w:szCs w:val="24"/>
          <w:lang w:val="ro-MD"/>
        </w:rPr>
        <w:t xml:space="preserve"> că aceștia activ</w:t>
      </w:r>
      <w:r w:rsidR="00440BD5" w:rsidRPr="009E5B39">
        <w:rPr>
          <w:rFonts w:asciiTheme="majorHAnsi" w:hAnsiTheme="majorHAnsi"/>
          <w:sz w:val="24"/>
          <w:szCs w:val="24"/>
          <w:lang w:val="ro-MD"/>
        </w:rPr>
        <w:t>ează</w:t>
      </w:r>
      <w:r w:rsidR="009860FA" w:rsidRPr="009E5B39">
        <w:rPr>
          <w:rFonts w:asciiTheme="majorHAnsi" w:hAnsiTheme="majorHAnsi"/>
          <w:sz w:val="24"/>
          <w:szCs w:val="24"/>
          <w:lang w:val="ro-MD"/>
        </w:rPr>
        <w:t xml:space="preserve"> în lipsa actului permisiv. Astfel, la situația din 31.12.2020, 23 </w:t>
      </w:r>
      <w:r w:rsidR="00ED1130" w:rsidRPr="009E5B39">
        <w:rPr>
          <w:rFonts w:asciiTheme="majorHAnsi" w:hAnsiTheme="majorHAnsi"/>
          <w:sz w:val="24"/>
          <w:szCs w:val="24"/>
          <w:lang w:val="ro-MD"/>
        </w:rPr>
        <w:t xml:space="preserve">de </w:t>
      </w:r>
      <w:r w:rsidR="009860FA" w:rsidRPr="009E5B39">
        <w:rPr>
          <w:rFonts w:asciiTheme="majorHAnsi" w:hAnsiTheme="majorHAnsi"/>
          <w:sz w:val="24"/>
          <w:szCs w:val="24"/>
          <w:lang w:val="ro-MD"/>
        </w:rPr>
        <w:t>parcări</w:t>
      </w:r>
      <w:r w:rsidR="00ED1130" w:rsidRPr="009E5B39">
        <w:rPr>
          <w:rFonts w:asciiTheme="majorHAnsi" w:hAnsiTheme="majorHAnsi"/>
          <w:sz w:val="24"/>
          <w:szCs w:val="24"/>
          <w:lang w:val="ro-MD"/>
        </w:rPr>
        <w:t>,</w:t>
      </w:r>
      <w:r w:rsidR="009860FA" w:rsidRPr="009E5B39">
        <w:rPr>
          <w:rFonts w:asciiTheme="majorHAnsi" w:hAnsiTheme="majorHAnsi"/>
          <w:sz w:val="24"/>
          <w:szCs w:val="24"/>
          <w:lang w:val="ro-MD"/>
        </w:rPr>
        <w:t xml:space="preserve"> cu suprafața totală de 121.739 m</w:t>
      </w:r>
      <w:r w:rsidR="009860FA" w:rsidRPr="009E5B39">
        <w:rPr>
          <w:rFonts w:asciiTheme="majorHAnsi" w:hAnsiTheme="majorHAnsi"/>
          <w:sz w:val="24"/>
          <w:szCs w:val="24"/>
          <w:vertAlign w:val="superscript"/>
          <w:lang w:val="ro-MD"/>
        </w:rPr>
        <w:t>2</w:t>
      </w:r>
      <w:r w:rsidR="00ED1130" w:rsidRPr="009E5B39">
        <w:rPr>
          <w:rFonts w:asciiTheme="majorHAnsi" w:hAnsiTheme="majorHAnsi"/>
          <w:sz w:val="24"/>
          <w:szCs w:val="24"/>
          <w:lang w:val="ro-MD"/>
        </w:rPr>
        <w:t xml:space="preserve">, </w:t>
      </w:r>
      <w:r w:rsidR="009860FA" w:rsidRPr="009E5B39">
        <w:rPr>
          <w:rFonts w:asciiTheme="majorHAnsi" w:hAnsiTheme="majorHAnsi"/>
          <w:sz w:val="24"/>
          <w:szCs w:val="24"/>
          <w:lang w:val="ro-MD"/>
        </w:rPr>
        <w:t>au activ</w:t>
      </w:r>
      <w:r w:rsidR="00ED1130" w:rsidRPr="009E5B39">
        <w:rPr>
          <w:rFonts w:asciiTheme="majorHAnsi" w:hAnsiTheme="majorHAnsi"/>
          <w:sz w:val="24"/>
          <w:szCs w:val="24"/>
          <w:lang w:val="ro-MD"/>
        </w:rPr>
        <w:t>at</w:t>
      </w:r>
      <w:r w:rsidR="009860FA" w:rsidRPr="009E5B39">
        <w:rPr>
          <w:rFonts w:asciiTheme="majorHAnsi" w:hAnsiTheme="majorHAnsi"/>
          <w:sz w:val="24"/>
          <w:szCs w:val="24"/>
          <w:lang w:val="ro-MD"/>
        </w:rPr>
        <w:t xml:space="preserve"> neautorizat</w:t>
      </w:r>
      <w:r w:rsidR="00BF0B81" w:rsidRPr="009E5B39">
        <w:rPr>
          <w:rFonts w:asciiTheme="majorHAnsi" w:hAnsiTheme="majorHAnsi"/>
          <w:sz w:val="24"/>
          <w:szCs w:val="24"/>
          <w:lang w:val="ro-MD"/>
        </w:rPr>
        <w:t>, s</w:t>
      </w:r>
      <w:r w:rsidR="009860FA" w:rsidRPr="009E5B39">
        <w:rPr>
          <w:rFonts w:asciiTheme="majorHAnsi" w:hAnsiTheme="majorHAnsi"/>
          <w:sz w:val="24"/>
          <w:szCs w:val="24"/>
          <w:lang w:val="ro-MD"/>
        </w:rPr>
        <w:t>ituați</w:t>
      </w:r>
      <w:r w:rsidR="00ED1130" w:rsidRPr="009E5B39">
        <w:rPr>
          <w:rFonts w:asciiTheme="majorHAnsi" w:hAnsiTheme="majorHAnsi"/>
          <w:sz w:val="24"/>
          <w:szCs w:val="24"/>
          <w:lang w:val="ro-MD"/>
        </w:rPr>
        <w:t>a dat</w:t>
      </w:r>
      <w:r w:rsidR="009860FA" w:rsidRPr="009E5B39">
        <w:rPr>
          <w:rFonts w:asciiTheme="majorHAnsi" w:hAnsiTheme="majorHAnsi"/>
          <w:sz w:val="24"/>
          <w:szCs w:val="24"/>
          <w:lang w:val="ro-MD"/>
        </w:rPr>
        <w:t xml:space="preserve">ă </w:t>
      </w:r>
      <w:r w:rsidR="00BF0B81" w:rsidRPr="009E5B39">
        <w:rPr>
          <w:rFonts w:asciiTheme="majorHAnsi" w:hAnsiTheme="majorHAnsi"/>
          <w:sz w:val="24"/>
          <w:szCs w:val="24"/>
          <w:lang w:val="ro-MD"/>
        </w:rPr>
        <w:t xml:space="preserve">persistând </w:t>
      </w:r>
      <w:r w:rsidR="009860FA" w:rsidRPr="009E5B39">
        <w:rPr>
          <w:rFonts w:asciiTheme="majorHAnsi" w:hAnsiTheme="majorHAnsi"/>
          <w:sz w:val="24"/>
          <w:szCs w:val="24"/>
          <w:lang w:val="ro-MD"/>
        </w:rPr>
        <w:t>și pe parcursul anului 2021. Deși la 4 parcări, cu suprafața totală de 12.040 m</w:t>
      </w:r>
      <w:r w:rsidR="009860FA" w:rsidRPr="009E5B39">
        <w:rPr>
          <w:rFonts w:asciiTheme="majorHAnsi" w:hAnsiTheme="majorHAnsi"/>
          <w:sz w:val="24"/>
          <w:szCs w:val="24"/>
          <w:vertAlign w:val="superscript"/>
          <w:lang w:val="ro-MD"/>
        </w:rPr>
        <w:t>2</w:t>
      </w:r>
      <w:r w:rsidR="009860FA" w:rsidRPr="009E5B39">
        <w:rPr>
          <w:rFonts w:asciiTheme="majorHAnsi" w:hAnsiTheme="majorHAnsi"/>
          <w:sz w:val="24"/>
          <w:szCs w:val="24"/>
          <w:lang w:val="ro-MD"/>
        </w:rPr>
        <w:t>, autorizați</w:t>
      </w:r>
      <w:r w:rsidR="00BF0B81" w:rsidRPr="009E5B39">
        <w:rPr>
          <w:rFonts w:asciiTheme="majorHAnsi" w:hAnsiTheme="majorHAnsi"/>
          <w:sz w:val="24"/>
          <w:szCs w:val="24"/>
          <w:lang w:val="ro-MD"/>
        </w:rPr>
        <w:t>ile</w:t>
      </w:r>
      <w:r w:rsidR="009860FA" w:rsidRPr="009E5B39">
        <w:rPr>
          <w:rFonts w:asciiTheme="majorHAnsi" w:hAnsiTheme="majorHAnsi"/>
          <w:sz w:val="24"/>
          <w:szCs w:val="24"/>
          <w:lang w:val="ro-MD"/>
        </w:rPr>
        <w:t xml:space="preserve"> a</w:t>
      </w:r>
      <w:r w:rsidR="00BF0B81" w:rsidRPr="009E5B39">
        <w:rPr>
          <w:rFonts w:asciiTheme="majorHAnsi" w:hAnsiTheme="majorHAnsi"/>
          <w:sz w:val="24"/>
          <w:szCs w:val="24"/>
          <w:lang w:val="ro-MD"/>
        </w:rPr>
        <w:t>u</w:t>
      </w:r>
      <w:r w:rsidR="009860FA" w:rsidRPr="009E5B39">
        <w:rPr>
          <w:rFonts w:asciiTheme="majorHAnsi" w:hAnsiTheme="majorHAnsi"/>
          <w:sz w:val="24"/>
          <w:szCs w:val="24"/>
          <w:lang w:val="ro-MD"/>
        </w:rPr>
        <w:t xml:space="preserve"> expirat în anul 2020, ace</w:t>
      </w:r>
      <w:r w:rsidR="00BF0B81" w:rsidRPr="009E5B39">
        <w:rPr>
          <w:rFonts w:asciiTheme="majorHAnsi" w:hAnsiTheme="majorHAnsi"/>
          <w:sz w:val="24"/>
          <w:szCs w:val="24"/>
          <w:lang w:val="ro-MD"/>
        </w:rPr>
        <w:t>stea</w:t>
      </w:r>
      <w:r w:rsidR="009860FA" w:rsidRPr="009E5B39">
        <w:rPr>
          <w:rFonts w:asciiTheme="majorHAnsi" w:hAnsiTheme="majorHAnsi"/>
          <w:sz w:val="24"/>
          <w:szCs w:val="24"/>
          <w:lang w:val="ro-MD"/>
        </w:rPr>
        <w:t xml:space="preserve"> nu a</w:t>
      </w:r>
      <w:r w:rsidR="00BF0B81" w:rsidRPr="009E5B39">
        <w:rPr>
          <w:rFonts w:asciiTheme="majorHAnsi" w:hAnsiTheme="majorHAnsi"/>
          <w:sz w:val="24"/>
          <w:szCs w:val="24"/>
          <w:lang w:val="ro-MD"/>
        </w:rPr>
        <w:t>u</w:t>
      </w:r>
      <w:r w:rsidR="009860FA" w:rsidRPr="009E5B39">
        <w:rPr>
          <w:rFonts w:asciiTheme="majorHAnsi" w:hAnsiTheme="majorHAnsi"/>
          <w:sz w:val="24"/>
          <w:szCs w:val="24"/>
          <w:lang w:val="ro-MD"/>
        </w:rPr>
        <w:t xml:space="preserve"> fost prelungit</w:t>
      </w:r>
      <w:r w:rsidR="00BF0B81" w:rsidRPr="009E5B39">
        <w:rPr>
          <w:rFonts w:asciiTheme="majorHAnsi" w:hAnsiTheme="majorHAnsi"/>
          <w:sz w:val="24"/>
          <w:szCs w:val="24"/>
          <w:lang w:val="ro-MD"/>
        </w:rPr>
        <w:t>e</w:t>
      </w:r>
      <w:r w:rsidR="009860FA" w:rsidRPr="009E5B39">
        <w:rPr>
          <w:rFonts w:asciiTheme="majorHAnsi" w:hAnsiTheme="majorHAnsi"/>
          <w:sz w:val="24"/>
          <w:szCs w:val="24"/>
          <w:lang w:val="ro-MD"/>
        </w:rPr>
        <w:t xml:space="preserve">, iar potrivit datelor din Dările de seamă, agenții economici </w:t>
      </w:r>
      <w:r w:rsidR="00BF0B81" w:rsidRPr="009E5B39">
        <w:rPr>
          <w:rFonts w:asciiTheme="majorHAnsi" w:hAnsiTheme="majorHAnsi"/>
          <w:sz w:val="24"/>
          <w:szCs w:val="24"/>
          <w:lang w:val="ro-MD"/>
        </w:rPr>
        <w:t xml:space="preserve">continuă să </w:t>
      </w:r>
      <w:r w:rsidR="009860FA" w:rsidRPr="009E5B39">
        <w:rPr>
          <w:rFonts w:asciiTheme="majorHAnsi" w:hAnsiTheme="majorHAnsi"/>
          <w:sz w:val="24"/>
          <w:szCs w:val="24"/>
          <w:lang w:val="ro-MD"/>
        </w:rPr>
        <w:t>calcul</w:t>
      </w:r>
      <w:r w:rsidR="00BF0B81" w:rsidRPr="009E5B39">
        <w:rPr>
          <w:rFonts w:asciiTheme="majorHAnsi" w:hAnsiTheme="majorHAnsi"/>
          <w:sz w:val="24"/>
          <w:szCs w:val="24"/>
          <w:lang w:val="ro-MD"/>
        </w:rPr>
        <w:t>eze</w:t>
      </w:r>
      <w:r w:rsidR="009860FA" w:rsidRPr="009E5B39">
        <w:rPr>
          <w:rFonts w:asciiTheme="majorHAnsi" w:hAnsiTheme="majorHAnsi"/>
          <w:sz w:val="24"/>
          <w:szCs w:val="24"/>
          <w:lang w:val="ro-MD"/>
        </w:rPr>
        <w:t xml:space="preserve"> taxa pentru parcare (analiză efectuată la situația din 31.12.2021). Totodată, </w:t>
      </w:r>
      <w:r w:rsidR="004A52FE" w:rsidRPr="009E5B39">
        <w:rPr>
          <w:rFonts w:asciiTheme="majorHAnsi" w:hAnsiTheme="majorHAnsi"/>
          <w:sz w:val="24"/>
          <w:szCs w:val="24"/>
          <w:lang w:val="ro-MD"/>
        </w:rPr>
        <w:t xml:space="preserve">informația privind </w:t>
      </w:r>
      <w:r w:rsidR="009860FA" w:rsidRPr="009E5B39">
        <w:rPr>
          <w:rFonts w:asciiTheme="majorHAnsi" w:hAnsiTheme="majorHAnsi"/>
          <w:sz w:val="24"/>
          <w:szCs w:val="24"/>
          <w:lang w:val="ro-MD"/>
        </w:rPr>
        <w:t xml:space="preserve">suprafața parcărilor </w:t>
      </w:r>
      <w:r w:rsidR="00BF0B81" w:rsidRPr="009E5B39">
        <w:rPr>
          <w:rFonts w:asciiTheme="majorHAnsi" w:hAnsiTheme="majorHAnsi"/>
          <w:sz w:val="24"/>
          <w:szCs w:val="24"/>
          <w:lang w:val="ro-MD"/>
        </w:rPr>
        <w:t>di</w:t>
      </w:r>
      <w:r w:rsidR="004A52FE" w:rsidRPr="009E5B39">
        <w:rPr>
          <w:rFonts w:asciiTheme="majorHAnsi" w:hAnsiTheme="majorHAnsi"/>
          <w:sz w:val="24"/>
          <w:szCs w:val="24"/>
          <w:lang w:val="ro-MD"/>
        </w:rPr>
        <w:t xml:space="preserve">n baza de date a SFS </w:t>
      </w:r>
      <w:r w:rsidR="00BF0B81" w:rsidRPr="009E5B39">
        <w:rPr>
          <w:rFonts w:asciiTheme="majorHAnsi" w:hAnsiTheme="majorHAnsi"/>
          <w:sz w:val="24"/>
          <w:szCs w:val="24"/>
          <w:lang w:val="ro-MD"/>
        </w:rPr>
        <w:t xml:space="preserve">diferă  de </w:t>
      </w:r>
      <w:r w:rsidR="004A52FE" w:rsidRPr="009E5B39">
        <w:rPr>
          <w:rFonts w:asciiTheme="majorHAnsi" w:hAnsiTheme="majorHAnsi"/>
          <w:sz w:val="24"/>
          <w:szCs w:val="24"/>
          <w:lang w:val="ro-MD"/>
        </w:rPr>
        <w:t xml:space="preserve"> cea prezentată de DGTPCC</w:t>
      </w:r>
      <w:r w:rsidR="00BF0B81" w:rsidRPr="009E5B39">
        <w:rPr>
          <w:rFonts w:asciiTheme="majorHAnsi" w:hAnsiTheme="majorHAnsi"/>
          <w:sz w:val="24"/>
          <w:szCs w:val="24"/>
          <w:lang w:val="ro-MD"/>
        </w:rPr>
        <w:t>,</w:t>
      </w:r>
      <w:r w:rsidR="004A52FE" w:rsidRPr="009E5B39">
        <w:rPr>
          <w:rFonts w:asciiTheme="majorHAnsi" w:hAnsiTheme="majorHAnsi"/>
          <w:sz w:val="24"/>
          <w:szCs w:val="24"/>
          <w:lang w:val="ro-MD"/>
        </w:rPr>
        <w:t xml:space="preserve"> pentru 12 agenți economici</w:t>
      </w:r>
      <w:r w:rsidR="00BF0B81" w:rsidRPr="009E5B39">
        <w:rPr>
          <w:rFonts w:asciiTheme="majorHAnsi" w:hAnsiTheme="majorHAnsi"/>
          <w:sz w:val="24"/>
          <w:szCs w:val="24"/>
          <w:lang w:val="ro-MD"/>
        </w:rPr>
        <w:t>,</w:t>
      </w:r>
      <w:r w:rsidR="004A52FE" w:rsidRPr="009E5B39">
        <w:rPr>
          <w:rFonts w:asciiTheme="majorHAnsi" w:hAnsiTheme="majorHAnsi"/>
          <w:sz w:val="24"/>
          <w:szCs w:val="24"/>
          <w:lang w:val="ro-MD"/>
        </w:rPr>
        <w:t xml:space="preserve"> cu 72.045 m</w:t>
      </w:r>
      <w:r w:rsidR="004A52FE" w:rsidRPr="009E5B39">
        <w:rPr>
          <w:rFonts w:asciiTheme="majorHAnsi" w:hAnsiTheme="majorHAnsi"/>
          <w:sz w:val="24"/>
          <w:szCs w:val="24"/>
          <w:vertAlign w:val="superscript"/>
          <w:lang w:val="ro-MD"/>
        </w:rPr>
        <w:t>2</w:t>
      </w:r>
      <w:r w:rsidR="004A52FE" w:rsidRPr="009E5B39">
        <w:rPr>
          <w:rFonts w:asciiTheme="majorHAnsi" w:hAnsiTheme="majorHAnsi"/>
          <w:sz w:val="24"/>
          <w:szCs w:val="24"/>
          <w:lang w:val="ro-MD"/>
        </w:rPr>
        <w:t>. Astfel</w:t>
      </w:r>
      <w:r w:rsidR="00BF0B81" w:rsidRPr="009E5B39">
        <w:rPr>
          <w:rFonts w:asciiTheme="majorHAnsi" w:hAnsiTheme="majorHAnsi"/>
          <w:sz w:val="24"/>
          <w:szCs w:val="24"/>
          <w:lang w:val="ro-MD"/>
        </w:rPr>
        <w:t>,</w:t>
      </w:r>
      <w:r w:rsidR="004A52FE" w:rsidRPr="009E5B39">
        <w:rPr>
          <w:rFonts w:asciiTheme="majorHAnsi" w:hAnsiTheme="majorHAnsi"/>
          <w:sz w:val="24"/>
          <w:szCs w:val="24"/>
          <w:lang w:val="ro-MD"/>
        </w:rPr>
        <w:t xml:space="preserve"> la SFS</w:t>
      </w:r>
      <w:r w:rsidR="009424FE" w:rsidRPr="009E5B39">
        <w:rPr>
          <w:rFonts w:asciiTheme="majorHAnsi" w:hAnsiTheme="majorHAnsi"/>
          <w:sz w:val="24"/>
          <w:szCs w:val="24"/>
          <w:lang w:val="ro-MD"/>
        </w:rPr>
        <w:t>,</w:t>
      </w:r>
      <w:r w:rsidR="009860FA" w:rsidRPr="009E5B39">
        <w:rPr>
          <w:rFonts w:asciiTheme="majorHAnsi" w:hAnsiTheme="majorHAnsi"/>
          <w:sz w:val="24"/>
          <w:szCs w:val="24"/>
          <w:lang w:val="ro-MD"/>
        </w:rPr>
        <w:t xml:space="preserve"> </w:t>
      </w:r>
      <w:r w:rsidR="004A52FE" w:rsidRPr="009E5B39">
        <w:rPr>
          <w:rFonts w:asciiTheme="majorHAnsi" w:hAnsiTheme="majorHAnsi"/>
          <w:sz w:val="24"/>
          <w:szCs w:val="24"/>
          <w:lang w:val="ro-MD"/>
        </w:rPr>
        <w:t>6 agenți economici declară o suprafață mai mică cu 11.175 m</w:t>
      </w:r>
      <w:r w:rsidR="004A52FE" w:rsidRPr="009E5B39">
        <w:rPr>
          <w:rFonts w:asciiTheme="majorHAnsi" w:hAnsiTheme="majorHAnsi"/>
          <w:sz w:val="24"/>
          <w:szCs w:val="24"/>
          <w:vertAlign w:val="superscript"/>
          <w:lang w:val="ro-MD"/>
        </w:rPr>
        <w:t>2</w:t>
      </w:r>
      <w:r w:rsidR="004A52FE" w:rsidRPr="009E5B39">
        <w:rPr>
          <w:rFonts w:asciiTheme="majorHAnsi" w:hAnsiTheme="majorHAnsi"/>
          <w:sz w:val="24"/>
          <w:szCs w:val="24"/>
          <w:lang w:val="ro-MD"/>
        </w:rPr>
        <w:t>, iar 6 agenți economici declară și calcul</w:t>
      </w:r>
      <w:r w:rsidR="009424FE" w:rsidRPr="009E5B39">
        <w:rPr>
          <w:rFonts w:asciiTheme="majorHAnsi" w:hAnsiTheme="majorHAnsi"/>
          <w:sz w:val="24"/>
          <w:szCs w:val="24"/>
          <w:lang w:val="ro-MD"/>
        </w:rPr>
        <w:t>eaz</w:t>
      </w:r>
      <w:r w:rsidR="004A52FE" w:rsidRPr="009E5B39">
        <w:rPr>
          <w:rFonts w:asciiTheme="majorHAnsi" w:hAnsiTheme="majorHAnsi"/>
          <w:sz w:val="24"/>
          <w:szCs w:val="24"/>
          <w:lang w:val="ro-MD"/>
        </w:rPr>
        <w:t>ă taxa pentru o suprafață mai mare cu 83.220 m</w:t>
      </w:r>
      <w:r w:rsidR="004A52FE" w:rsidRPr="009E5B39">
        <w:rPr>
          <w:rFonts w:asciiTheme="majorHAnsi" w:hAnsiTheme="majorHAnsi"/>
          <w:sz w:val="24"/>
          <w:szCs w:val="24"/>
          <w:vertAlign w:val="superscript"/>
          <w:lang w:val="ro-MD"/>
        </w:rPr>
        <w:t xml:space="preserve">2 </w:t>
      </w:r>
      <w:r w:rsidR="004A52FE" w:rsidRPr="009E5B39">
        <w:rPr>
          <w:rFonts w:asciiTheme="majorHAnsi" w:hAnsiTheme="majorHAnsi"/>
          <w:sz w:val="24"/>
          <w:szCs w:val="24"/>
          <w:lang w:val="ro-MD"/>
        </w:rPr>
        <w:t>dec</w:t>
      </w:r>
      <w:r w:rsidR="009424FE" w:rsidRPr="009E5B39">
        <w:rPr>
          <w:rFonts w:asciiTheme="majorHAnsi" w:hAnsiTheme="majorHAnsi"/>
          <w:sz w:val="24"/>
          <w:szCs w:val="24"/>
          <w:lang w:val="ro-MD"/>
        </w:rPr>
        <w:t>â</w:t>
      </w:r>
      <w:r w:rsidR="004A52FE" w:rsidRPr="009E5B39">
        <w:rPr>
          <w:rFonts w:asciiTheme="majorHAnsi" w:hAnsiTheme="majorHAnsi"/>
          <w:sz w:val="24"/>
          <w:szCs w:val="24"/>
          <w:lang w:val="ro-MD"/>
        </w:rPr>
        <w:t xml:space="preserve">t </w:t>
      </w:r>
      <w:r w:rsidR="006B38F2" w:rsidRPr="009E5B39">
        <w:rPr>
          <w:rFonts w:asciiTheme="majorHAnsi" w:hAnsiTheme="majorHAnsi"/>
          <w:sz w:val="24"/>
          <w:szCs w:val="24"/>
          <w:lang w:val="ro-MD"/>
        </w:rPr>
        <w:t>datel</w:t>
      </w:r>
      <w:r w:rsidR="004A52FE" w:rsidRPr="009E5B39">
        <w:rPr>
          <w:rFonts w:asciiTheme="majorHAnsi" w:hAnsiTheme="majorHAnsi"/>
          <w:sz w:val="24"/>
          <w:szCs w:val="24"/>
          <w:lang w:val="ro-MD"/>
        </w:rPr>
        <w:t>e prezentate de</w:t>
      </w:r>
      <w:r w:rsidR="006B38F2" w:rsidRPr="009E5B39">
        <w:rPr>
          <w:rFonts w:asciiTheme="majorHAnsi" w:hAnsiTheme="majorHAnsi"/>
          <w:sz w:val="24"/>
          <w:szCs w:val="24"/>
          <w:lang w:val="ro-MD"/>
        </w:rPr>
        <w:t xml:space="preserve"> DGTPCC</w:t>
      </w:r>
      <w:r w:rsidR="009424FE" w:rsidRPr="009E5B39">
        <w:rPr>
          <w:rFonts w:asciiTheme="majorHAnsi" w:hAnsiTheme="majorHAnsi"/>
          <w:sz w:val="24"/>
          <w:szCs w:val="24"/>
          <w:lang w:val="ro-MD"/>
        </w:rPr>
        <w:t xml:space="preserve">; </w:t>
      </w:r>
      <w:r w:rsidR="009860FA" w:rsidRPr="009E5B39">
        <w:rPr>
          <w:rFonts w:asciiTheme="majorHAnsi" w:hAnsiTheme="majorHAnsi"/>
          <w:sz w:val="24"/>
          <w:szCs w:val="24"/>
          <w:lang w:val="ro-MD"/>
        </w:rPr>
        <w:t>2) Deși autorizațiile a 16 parcări</w:t>
      </w:r>
      <w:r w:rsidR="009424FE" w:rsidRPr="009E5B39">
        <w:rPr>
          <w:rFonts w:asciiTheme="majorHAnsi" w:hAnsiTheme="majorHAnsi"/>
          <w:sz w:val="24"/>
          <w:szCs w:val="24"/>
          <w:lang w:val="ro-MD"/>
        </w:rPr>
        <w:t>,</w:t>
      </w:r>
      <w:r w:rsidR="009860FA" w:rsidRPr="009E5B39">
        <w:rPr>
          <w:rFonts w:asciiTheme="majorHAnsi" w:hAnsiTheme="majorHAnsi"/>
          <w:sz w:val="24"/>
          <w:szCs w:val="24"/>
          <w:lang w:val="ro-MD"/>
        </w:rPr>
        <w:t xml:space="preserve"> cu suprafața totală de 46.450 m</w:t>
      </w:r>
      <w:r w:rsidR="009860FA" w:rsidRPr="009E5B39">
        <w:rPr>
          <w:rFonts w:asciiTheme="majorHAnsi" w:hAnsiTheme="majorHAnsi"/>
          <w:sz w:val="24"/>
          <w:szCs w:val="24"/>
          <w:vertAlign w:val="superscript"/>
          <w:lang w:val="ro-MD"/>
        </w:rPr>
        <w:t>2</w:t>
      </w:r>
      <w:r w:rsidR="009424FE" w:rsidRPr="009E5B39">
        <w:rPr>
          <w:rFonts w:asciiTheme="majorHAnsi" w:hAnsiTheme="majorHAnsi"/>
          <w:sz w:val="24"/>
          <w:szCs w:val="24"/>
          <w:lang w:val="ro-MD"/>
        </w:rPr>
        <w:t xml:space="preserve">, </w:t>
      </w:r>
      <w:r w:rsidR="009860FA" w:rsidRPr="009E5B39">
        <w:rPr>
          <w:rFonts w:asciiTheme="majorHAnsi" w:hAnsiTheme="majorHAnsi"/>
          <w:sz w:val="24"/>
          <w:szCs w:val="24"/>
          <w:lang w:val="ro-MD"/>
        </w:rPr>
        <w:t>sunt expirate și ace</w:t>
      </w:r>
      <w:r w:rsidR="00802EF1" w:rsidRPr="009E5B39">
        <w:rPr>
          <w:rFonts w:asciiTheme="majorHAnsi" w:hAnsiTheme="majorHAnsi"/>
          <w:sz w:val="24"/>
          <w:szCs w:val="24"/>
          <w:lang w:val="ro-MD"/>
        </w:rPr>
        <w:t>stea</w:t>
      </w:r>
      <w:r w:rsidR="009860FA" w:rsidRPr="009E5B39">
        <w:rPr>
          <w:rFonts w:asciiTheme="majorHAnsi" w:hAnsiTheme="majorHAnsi"/>
          <w:sz w:val="24"/>
          <w:szCs w:val="24"/>
          <w:lang w:val="ro-MD"/>
        </w:rPr>
        <w:t xml:space="preserve"> nu calcul</w:t>
      </w:r>
      <w:r w:rsidR="00802EF1" w:rsidRPr="009E5B39">
        <w:rPr>
          <w:rFonts w:asciiTheme="majorHAnsi" w:hAnsiTheme="majorHAnsi"/>
          <w:sz w:val="24"/>
          <w:szCs w:val="24"/>
          <w:lang w:val="ro-MD"/>
        </w:rPr>
        <w:t>eaz</w:t>
      </w:r>
      <w:r w:rsidR="009860FA" w:rsidRPr="009E5B39">
        <w:rPr>
          <w:rFonts w:asciiTheme="majorHAnsi" w:hAnsiTheme="majorHAnsi"/>
          <w:sz w:val="24"/>
          <w:szCs w:val="24"/>
          <w:lang w:val="ro-MD"/>
        </w:rPr>
        <w:t xml:space="preserve">ă în perioada </w:t>
      </w:r>
      <w:r w:rsidR="00802EF1" w:rsidRPr="009E5B39">
        <w:rPr>
          <w:rFonts w:asciiTheme="majorHAnsi" w:hAnsiTheme="majorHAnsi"/>
          <w:sz w:val="24"/>
          <w:szCs w:val="24"/>
          <w:lang w:val="ro-MD"/>
        </w:rPr>
        <w:t xml:space="preserve">anilor </w:t>
      </w:r>
      <w:r w:rsidR="009860FA" w:rsidRPr="009E5B39">
        <w:rPr>
          <w:rFonts w:asciiTheme="majorHAnsi" w:hAnsiTheme="majorHAnsi"/>
          <w:sz w:val="24"/>
          <w:szCs w:val="24"/>
          <w:lang w:val="ro-MD"/>
        </w:rPr>
        <w:t xml:space="preserve">2018-2020 taxa pentru parcare, DGTPCC nu a exclus respectiva suprafață, care a stat la </w:t>
      </w:r>
      <w:r w:rsidR="00802EF1" w:rsidRPr="009E5B39">
        <w:rPr>
          <w:rFonts w:asciiTheme="majorHAnsi" w:hAnsiTheme="majorHAnsi"/>
          <w:sz w:val="24"/>
          <w:szCs w:val="24"/>
          <w:lang w:val="ro-MD"/>
        </w:rPr>
        <w:t xml:space="preserve">baza </w:t>
      </w:r>
      <w:r w:rsidR="009860FA" w:rsidRPr="009E5B39">
        <w:rPr>
          <w:rFonts w:asciiTheme="majorHAnsi" w:hAnsiTheme="majorHAnsi"/>
          <w:sz w:val="24"/>
          <w:szCs w:val="24"/>
          <w:lang w:val="ro-MD"/>
        </w:rPr>
        <w:t>planifi</w:t>
      </w:r>
      <w:r w:rsidR="00802EF1" w:rsidRPr="009E5B39">
        <w:rPr>
          <w:rFonts w:asciiTheme="majorHAnsi" w:hAnsiTheme="majorHAnsi"/>
          <w:sz w:val="24"/>
          <w:szCs w:val="24"/>
          <w:lang w:val="ro-MD"/>
        </w:rPr>
        <w:t>cării</w:t>
      </w:r>
      <w:r w:rsidR="009860FA" w:rsidRPr="009E5B39">
        <w:rPr>
          <w:rFonts w:asciiTheme="majorHAnsi" w:hAnsiTheme="majorHAnsi"/>
          <w:sz w:val="24"/>
          <w:szCs w:val="24"/>
          <w:lang w:val="ro-MD"/>
        </w:rPr>
        <w:t xml:space="preserve"> veniturilor din taxa pentru parcare pentru anul 2020, ceea ce a condiționat supraevaluarea veniturilor </w:t>
      </w:r>
      <w:r w:rsidR="00802EF1" w:rsidRPr="009E5B39">
        <w:rPr>
          <w:rFonts w:asciiTheme="majorHAnsi" w:hAnsiTheme="majorHAnsi"/>
          <w:sz w:val="24"/>
          <w:szCs w:val="24"/>
          <w:lang w:val="ro-MD"/>
        </w:rPr>
        <w:t>cu</w:t>
      </w:r>
      <w:r w:rsidR="009860FA" w:rsidRPr="009E5B39">
        <w:rPr>
          <w:rFonts w:asciiTheme="majorHAnsi" w:hAnsiTheme="majorHAnsi"/>
          <w:sz w:val="24"/>
          <w:szCs w:val="24"/>
          <w:lang w:val="ro-MD"/>
        </w:rPr>
        <w:t xml:space="preserve"> sum</w:t>
      </w:r>
      <w:r w:rsidR="00802EF1" w:rsidRPr="009E5B39">
        <w:rPr>
          <w:rFonts w:asciiTheme="majorHAnsi" w:hAnsiTheme="majorHAnsi"/>
          <w:sz w:val="24"/>
          <w:szCs w:val="24"/>
          <w:lang w:val="ro-MD"/>
        </w:rPr>
        <w:t>a</w:t>
      </w:r>
      <w:r w:rsidR="009860FA" w:rsidRPr="009E5B39">
        <w:rPr>
          <w:rFonts w:asciiTheme="majorHAnsi" w:hAnsiTheme="majorHAnsi"/>
          <w:sz w:val="24"/>
          <w:szCs w:val="24"/>
          <w:lang w:val="ro-MD"/>
        </w:rPr>
        <w:t xml:space="preserve"> totală de </w:t>
      </w:r>
      <w:r w:rsidR="009D6C8C" w:rsidRPr="009E5B39">
        <w:rPr>
          <w:rFonts w:asciiTheme="majorHAnsi" w:hAnsiTheme="majorHAnsi"/>
          <w:sz w:val="24"/>
          <w:szCs w:val="24"/>
          <w:lang w:val="ro-MD"/>
        </w:rPr>
        <w:t>0,</w:t>
      </w:r>
      <w:r w:rsidR="009860FA" w:rsidRPr="009E5B39">
        <w:rPr>
          <w:rFonts w:asciiTheme="majorHAnsi" w:hAnsiTheme="majorHAnsi"/>
          <w:sz w:val="24"/>
          <w:szCs w:val="24"/>
          <w:lang w:val="ro-MD"/>
        </w:rPr>
        <w:t>8</w:t>
      </w:r>
      <w:r w:rsidR="009D6C8C" w:rsidRPr="009E5B39">
        <w:rPr>
          <w:rFonts w:asciiTheme="majorHAnsi" w:hAnsiTheme="majorHAnsi"/>
          <w:sz w:val="24"/>
          <w:szCs w:val="24"/>
          <w:lang w:val="ro-MD"/>
        </w:rPr>
        <w:t>4</w:t>
      </w:r>
      <w:r w:rsidR="009860FA" w:rsidRPr="009E5B39">
        <w:rPr>
          <w:rFonts w:asciiTheme="majorHAnsi" w:hAnsiTheme="majorHAnsi"/>
          <w:sz w:val="24"/>
          <w:szCs w:val="24"/>
          <w:lang w:val="ro-MD"/>
        </w:rPr>
        <w:t xml:space="preserve"> mi</w:t>
      </w:r>
      <w:r w:rsidR="009D6C8C" w:rsidRPr="009E5B39">
        <w:rPr>
          <w:rFonts w:asciiTheme="majorHAnsi" w:hAnsiTheme="majorHAnsi"/>
          <w:sz w:val="24"/>
          <w:szCs w:val="24"/>
          <w:lang w:val="ro-MD"/>
        </w:rPr>
        <w:t>l</w:t>
      </w:r>
      <w:r w:rsidR="00802EF1" w:rsidRPr="009E5B39">
        <w:rPr>
          <w:rFonts w:asciiTheme="majorHAnsi" w:hAnsiTheme="majorHAnsi"/>
          <w:sz w:val="24"/>
          <w:szCs w:val="24"/>
          <w:lang w:val="ro-MD"/>
        </w:rPr>
        <w:t>.</w:t>
      </w:r>
      <w:r w:rsidR="009860FA" w:rsidRPr="009E5B39">
        <w:rPr>
          <w:rFonts w:asciiTheme="majorHAnsi" w:hAnsiTheme="majorHAnsi"/>
          <w:sz w:val="24"/>
          <w:szCs w:val="24"/>
          <w:lang w:val="ro-MD"/>
        </w:rPr>
        <w:t xml:space="preserve"> lei</w:t>
      </w:r>
      <w:r w:rsidR="00994ABC" w:rsidRPr="009E5B39">
        <w:rPr>
          <w:rFonts w:asciiTheme="majorHAnsi" w:hAnsiTheme="majorHAnsi"/>
          <w:sz w:val="24"/>
          <w:szCs w:val="24"/>
          <w:lang w:val="ro-MD"/>
        </w:rPr>
        <w:t>;</w:t>
      </w:r>
      <w:r w:rsidR="009860FA" w:rsidRPr="009E5B39">
        <w:rPr>
          <w:rFonts w:asciiTheme="majorHAnsi" w:hAnsiTheme="majorHAnsi"/>
          <w:sz w:val="24"/>
          <w:szCs w:val="24"/>
          <w:lang w:val="ro-MD"/>
        </w:rPr>
        <w:t xml:space="preserve"> 3) </w:t>
      </w:r>
      <w:r w:rsidR="00994ABC" w:rsidRPr="009E5B39">
        <w:rPr>
          <w:rFonts w:asciiTheme="majorHAnsi" w:hAnsiTheme="majorHAnsi"/>
          <w:sz w:val="24"/>
          <w:szCs w:val="24"/>
          <w:lang w:val="ro-MD"/>
        </w:rPr>
        <w:t>Cu toate</w:t>
      </w:r>
      <w:r w:rsidR="009860FA" w:rsidRPr="009E5B39">
        <w:rPr>
          <w:rFonts w:asciiTheme="majorHAnsi" w:hAnsiTheme="majorHAnsi"/>
          <w:sz w:val="24"/>
          <w:szCs w:val="24"/>
          <w:lang w:val="ro-MD"/>
        </w:rPr>
        <w:t xml:space="preserve"> că CMC nu a acordat careva înlesniri fiscale ÎM și ÎS, ace</w:t>
      </w:r>
      <w:r w:rsidR="00994ABC" w:rsidRPr="009E5B39">
        <w:rPr>
          <w:rFonts w:asciiTheme="majorHAnsi" w:hAnsiTheme="majorHAnsi"/>
          <w:sz w:val="24"/>
          <w:szCs w:val="24"/>
          <w:lang w:val="ro-MD"/>
        </w:rPr>
        <w:t>stea</w:t>
      </w:r>
      <w:r w:rsidR="009860FA" w:rsidRPr="009E5B39">
        <w:rPr>
          <w:rFonts w:asciiTheme="majorHAnsi" w:hAnsiTheme="majorHAnsi"/>
          <w:sz w:val="24"/>
          <w:szCs w:val="24"/>
          <w:lang w:val="ro-MD"/>
        </w:rPr>
        <w:t xml:space="preserve"> nu calcul</w:t>
      </w:r>
      <w:r w:rsidR="00994ABC" w:rsidRPr="009E5B39">
        <w:rPr>
          <w:rFonts w:asciiTheme="majorHAnsi" w:hAnsiTheme="majorHAnsi"/>
          <w:sz w:val="24"/>
          <w:szCs w:val="24"/>
          <w:lang w:val="ro-MD"/>
        </w:rPr>
        <w:t>eaz</w:t>
      </w:r>
      <w:r w:rsidR="009860FA" w:rsidRPr="009E5B39">
        <w:rPr>
          <w:rFonts w:asciiTheme="majorHAnsi" w:hAnsiTheme="majorHAnsi"/>
          <w:sz w:val="24"/>
          <w:szCs w:val="24"/>
          <w:lang w:val="ro-MD"/>
        </w:rPr>
        <w:t>ă și nu achită taxa pentru parcare. Astfel, potrivit datelor preluate din SIA a</w:t>
      </w:r>
      <w:r w:rsidR="00994ABC" w:rsidRPr="009E5B39">
        <w:rPr>
          <w:rFonts w:asciiTheme="majorHAnsi" w:hAnsiTheme="majorHAnsi"/>
          <w:sz w:val="24"/>
          <w:szCs w:val="24"/>
          <w:lang w:val="ro-MD"/>
        </w:rPr>
        <w:t>l</w:t>
      </w:r>
      <w:r w:rsidR="009860FA" w:rsidRPr="009E5B39">
        <w:rPr>
          <w:rFonts w:asciiTheme="majorHAnsi" w:hAnsiTheme="majorHAnsi"/>
          <w:sz w:val="24"/>
          <w:szCs w:val="24"/>
          <w:lang w:val="ro-MD"/>
        </w:rPr>
        <w:t xml:space="preserve"> SFS, pentru 6 parcări cu suprafața totală de 17.030 m</w:t>
      </w:r>
      <w:r w:rsidR="009860FA" w:rsidRPr="009E5B39">
        <w:rPr>
          <w:rFonts w:asciiTheme="majorHAnsi" w:hAnsiTheme="majorHAnsi"/>
          <w:sz w:val="24"/>
          <w:szCs w:val="24"/>
          <w:vertAlign w:val="superscript"/>
          <w:lang w:val="ro-MD"/>
        </w:rPr>
        <w:t>2</w:t>
      </w:r>
      <w:r w:rsidR="009860FA" w:rsidRPr="009E5B39">
        <w:rPr>
          <w:rFonts w:asciiTheme="majorHAnsi" w:hAnsiTheme="majorHAnsi"/>
          <w:sz w:val="24"/>
          <w:szCs w:val="24"/>
          <w:lang w:val="ro-MD"/>
        </w:rPr>
        <w:t xml:space="preserve">, în perioada </w:t>
      </w:r>
      <w:r w:rsidR="00994ABC" w:rsidRPr="009E5B39">
        <w:rPr>
          <w:rFonts w:asciiTheme="majorHAnsi" w:hAnsiTheme="majorHAnsi"/>
          <w:sz w:val="24"/>
          <w:szCs w:val="24"/>
          <w:lang w:val="ro-MD"/>
        </w:rPr>
        <w:t xml:space="preserve">anilor </w:t>
      </w:r>
      <w:r w:rsidR="009860FA" w:rsidRPr="009E5B39">
        <w:rPr>
          <w:rFonts w:asciiTheme="majorHAnsi" w:hAnsiTheme="majorHAnsi"/>
          <w:sz w:val="24"/>
          <w:szCs w:val="24"/>
          <w:lang w:val="ro-MD"/>
        </w:rPr>
        <w:t>2018-2020, nu a fost calculată și achitată taxa pentru parcare în sumă totală de 919,6 mii lei</w:t>
      </w:r>
      <w:r w:rsidR="009860FA" w:rsidRPr="009E5B39">
        <w:rPr>
          <w:vertAlign w:val="superscript"/>
          <w:lang w:val="ro-MD"/>
        </w:rPr>
        <w:footnoteReference w:id="42"/>
      </w:r>
      <w:r w:rsidR="009860FA" w:rsidRPr="009E5B39">
        <w:rPr>
          <w:rFonts w:asciiTheme="majorHAnsi" w:hAnsiTheme="majorHAnsi"/>
          <w:sz w:val="24"/>
          <w:szCs w:val="24"/>
          <w:lang w:val="ro-MD"/>
        </w:rPr>
        <w:t xml:space="preserve">. </w:t>
      </w:r>
    </w:p>
    <w:p w14:paraId="5C85844B" w14:textId="24D5C6BE" w:rsidR="009860FA" w:rsidRPr="009E5B39" w:rsidRDefault="00C41DE6" w:rsidP="003C5073">
      <w:pPr>
        <w:spacing w:before="240" w:after="0" w:line="276" w:lineRule="auto"/>
        <w:contextualSpacing/>
        <w:jc w:val="both"/>
        <w:rPr>
          <w:rFonts w:asciiTheme="majorHAnsi" w:hAnsiTheme="majorHAnsi" w:cstheme="majorHAnsi"/>
          <w:b/>
          <w:sz w:val="24"/>
          <w:szCs w:val="24"/>
          <w:lang w:val="ro-MD"/>
        </w:rPr>
      </w:pPr>
      <w:r w:rsidRPr="009E5B39">
        <w:rPr>
          <w:rFonts w:asciiTheme="majorHAnsi" w:hAnsiTheme="majorHAnsi" w:cstheme="majorHAnsi"/>
          <w:b/>
          <w:i/>
          <w:sz w:val="24"/>
          <w:szCs w:val="24"/>
          <w:lang w:val="ro-MD"/>
        </w:rPr>
        <w:t>4.1.</w:t>
      </w:r>
      <w:r w:rsidR="004030C6" w:rsidRPr="009E5B39">
        <w:rPr>
          <w:rFonts w:asciiTheme="majorHAnsi" w:hAnsiTheme="majorHAnsi" w:cstheme="majorHAnsi"/>
          <w:b/>
          <w:i/>
          <w:sz w:val="24"/>
          <w:szCs w:val="24"/>
          <w:lang w:val="ro-MD"/>
        </w:rPr>
        <w:t>8</w:t>
      </w:r>
      <w:r w:rsidRPr="009E5B39">
        <w:rPr>
          <w:rFonts w:asciiTheme="majorHAnsi" w:hAnsiTheme="majorHAnsi" w:cstheme="majorHAnsi"/>
          <w:b/>
          <w:i/>
          <w:sz w:val="24"/>
          <w:szCs w:val="24"/>
          <w:lang w:val="ro-MD"/>
        </w:rPr>
        <w:t xml:space="preserve">. </w:t>
      </w:r>
      <w:r w:rsidR="004C0300" w:rsidRPr="009E5B39">
        <w:rPr>
          <w:rFonts w:asciiTheme="majorHAnsi" w:hAnsiTheme="majorHAnsi" w:cstheme="majorHAnsi"/>
          <w:b/>
          <w:i/>
          <w:sz w:val="24"/>
          <w:szCs w:val="24"/>
          <w:lang w:val="ro-MD"/>
        </w:rPr>
        <w:t xml:space="preserve">CMC </w:t>
      </w:r>
      <w:r w:rsidR="00992F9F" w:rsidRPr="009E5B39">
        <w:rPr>
          <w:rFonts w:asciiTheme="majorHAnsi" w:hAnsiTheme="majorHAnsi" w:cstheme="majorHAnsi"/>
          <w:b/>
          <w:i/>
          <w:sz w:val="24"/>
          <w:szCs w:val="24"/>
          <w:lang w:val="ro-MD"/>
        </w:rPr>
        <w:t xml:space="preserve">a acceptat ca sursă </w:t>
      </w:r>
      <w:r w:rsidR="00994ABC" w:rsidRPr="009E5B39">
        <w:rPr>
          <w:rFonts w:asciiTheme="majorHAnsi" w:hAnsiTheme="majorHAnsi" w:cstheme="majorHAnsi"/>
          <w:b/>
          <w:i/>
          <w:sz w:val="24"/>
          <w:szCs w:val="24"/>
          <w:lang w:val="ro-MD"/>
        </w:rPr>
        <w:t>de</w:t>
      </w:r>
      <w:r w:rsidR="00992F9F" w:rsidRPr="009E5B39">
        <w:rPr>
          <w:rFonts w:asciiTheme="majorHAnsi" w:hAnsiTheme="majorHAnsi" w:cstheme="majorHAnsi"/>
          <w:b/>
          <w:i/>
          <w:sz w:val="24"/>
          <w:szCs w:val="24"/>
          <w:lang w:val="ro-MD"/>
        </w:rPr>
        <w:t xml:space="preserve"> acoperir</w:t>
      </w:r>
      <w:r w:rsidR="00994ABC" w:rsidRPr="009E5B39">
        <w:rPr>
          <w:rFonts w:asciiTheme="majorHAnsi" w:hAnsiTheme="majorHAnsi" w:cstheme="majorHAnsi"/>
          <w:b/>
          <w:i/>
          <w:sz w:val="24"/>
          <w:szCs w:val="24"/>
          <w:lang w:val="ro-MD"/>
        </w:rPr>
        <w:t>e a</w:t>
      </w:r>
      <w:r w:rsidR="00992F9F" w:rsidRPr="009E5B39">
        <w:rPr>
          <w:rFonts w:asciiTheme="majorHAnsi" w:hAnsiTheme="majorHAnsi" w:cstheme="majorHAnsi"/>
          <w:b/>
          <w:i/>
          <w:sz w:val="24"/>
          <w:szCs w:val="24"/>
          <w:lang w:val="ro-MD"/>
        </w:rPr>
        <w:t xml:space="preserve"> deficitului bugetar venituri</w:t>
      </w:r>
      <w:r w:rsidR="00994ABC" w:rsidRPr="009E5B39">
        <w:rPr>
          <w:rFonts w:asciiTheme="majorHAnsi" w:hAnsiTheme="majorHAnsi" w:cstheme="majorHAnsi"/>
          <w:b/>
          <w:i/>
          <w:sz w:val="24"/>
          <w:szCs w:val="24"/>
          <w:lang w:val="ro-MD"/>
        </w:rPr>
        <w:t>le</w:t>
      </w:r>
      <w:r w:rsidR="00992F9F" w:rsidRPr="009E5B39">
        <w:rPr>
          <w:rFonts w:asciiTheme="majorHAnsi" w:hAnsiTheme="majorHAnsi" w:cstheme="majorHAnsi"/>
          <w:b/>
          <w:i/>
          <w:sz w:val="24"/>
          <w:szCs w:val="24"/>
          <w:lang w:val="ro-MD"/>
        </w:rPr>
        <w:t xml:space="preserve"> din privatizarea/vânzarea terenurilor</w:t>
      </w:r>
      <w:r w:rsidR="00994ABC" w:rsidRPr="009E5B39">
        <w:rPr>
          <w:rFonts w:asciiTheme="majorHAnsi" w:hAnsiTheme="majorHAnsi" w:cstheme="majorHAnsi"/>
          <w:b/>
          <w:i/>
          <w:sz w:val="24"/>
          <w:szCs w:val="24"/>
          <w:lang w:val="ro-MD"/>
        </w:rPr>
        <w:t>,</w:t>
      </w:r>
      <w:r w:rsidR="00992F9F" w:rsidRPr="009E5B39">
        <w:rPr>
          <w:rFonts w:asciiTheme="majorHAnsi" w:hAnsiTheme="majorHAnsi" w:cstheme="majorHAnsi"/>
          <w:b/>
          <w:i/>
          <w:sz w:val="24"/>
          <w:szCs w:val="24"/>
          <w:lang w:val="ro-MD"/>
        </w:rPr>
        <w:t xml:space="preserve"> fără ca acestea să fie justificate/fundamentate, prin ce </w:t>
      </w:r>
      <w:r w:rsidR="009860FA" w:rsidRPr="009E5B39">
        <w:rPr>
          <w:rFonts w:asciiTheme="majorHAnsi" w:hAnsiTheme="majorHAnsi" w:cstheme="majorHAnsi"/>
          <w:b/>
          <w:i/>
          <w:sz w:val="24"/>
          <w:szCs w:val="24"/>
          <w:lang w:val="ro-MD"/>
        </w:rPr>
        <w:t xml:space="preserve">nu </w:t>
      </w:r>
      <w:r w:rsidR="00992F9F" w:rsidRPr="009E5B39">
        <w:rPr>
          <w:rFonts w:asciiTheme="majorHAnsi" w:hAnsiTheme="majorHAnsi" w:cstheme="majorHAnsi"/>
          <w:b/>
          <w:i/>
          <w:sz w:val="24"/>
          <w:szCs w:val="24"/>
          <w:lang w:val="ro-MD"/>
        </w:rPr>
        <w:t>s-</w:t>
      </w:r>
      <w:r w:rsidR="009860FA" w:rsidRPr="009E5B39">
        <w:rPr>
          <w:rFonts w:asciiTheme="majorHAnsi" w:hAnsiTheme="majorHAnsi" w:cstheme="majorHAnsi"/>
          <w:b/>
          <w:i/>
          <w:sz w:val="24"/>
          <w:szCs w:val="24"/>
          <w:lang w:val="ro-MD"/>
        </w:rPr>
        <w:t>a</w:t>
      </w:r>
      <w:r w:rsidR="00B66B71" w:rsidRPr="009E5B39">
        <w:rPr>
          <w:rFonts w:asciiTheme="majorHAnsi" w:hAnsiTheme="majorHAnsi" w:cstheme="majorHAnsi"/>
          <w:b/>
          <w:i/>
          <w:sz w:val="24"/>
          <w:szCs w:val="24"/>
          <w:lang w:val="ro-MD"/>
        </w:rPr>
        <w:t xml:space="preserve"> </w:t>
      </w:r>
      <w:r w:rsidR="009860FA" w:rsidRPr="009E5B39">
        <w:rPr>
          <w:rFonts w:asciiTheme="majorHAnsi" w:hAnsiTheme="majorHAnsi" w:cstheme="majorHAnsi"/>
          <w:b/>
          <w:i/>
          <w:sz w:val="24"/>
          <w:szCs w:val="24"/>
          <w:lang w:val="ro-MD"/>
        </w:rPr>
        <w:t>asigurat balansarea veniturilor și cheltuielilor bugetului municipal</w:t>
      </w:r>
      <w:r w:rsidR="00B66B71" w:rsidRPr="009E5B39">
        <w:rPr>
          <w:rFonts w:asciiTheme="majorHAnsi" w:hAnsiTheme="majorHAnsi" w:cstheme="majorHAnsi"/>
          <w:b/>
          <w:i/>
          <w:sz w:val="24"/>
          <w:szCs w:val="24"/>
          <w:lang w:val="ro-MD"/>
        </w:rPr>
        <w:t>, conform prevederilor art.13 din Legea nr.397/2003 și art.30 din Legea nr.181/2014</w:t>
      </w:r>
      <w:r w:rsidR="009860FA" w:rsidRPr="009E5B39">
        <w:rPr>
          <w:rFonts w:asciiTheme="majorHAnsi" w:hAnsiTheme="majorHAnsi" w:cstheme="majorHAnsi"/>
          <w:b/>
          <w:i/>
          <w:sz w:val="24"/>
          <w:szCs w:val="24"/>
          <w:lang w:val="ro-MD"/>
        </w:rPr>
        <w:t xml:space="preserve">. </w:t>
      </w:r>
      <w:r w:rsidR="009860FA" w:rsidRPr="009E5B39">
        <w:rPr>
          <w:rFonts w:asciiTheme="majorHAnsi" w:hAnsiTheme="majorHAnsi" w:cstheme="majorHAnsi"/>
          <w:sz w:val="24"/>
          <w:szCs w:val="24"/>
          <w:lang w:val="ro-MD"/>
        </w:rPr>
        <w:t xml:space="preserve">Astfel, în perioada </w:t>
      </w:r>
      <w:r w:rsidR="00B54360" w:rsidRPr="009E5B39">
        <w:rPr>
          <w:rFonts w:asciiTheme="majorHAnsi" w:hAnsiTheme="majorHAnsi" w:cstheme="majorHAnsi"/>
          <w:sz w:val="24"/>
          <w:szCs w:val="24"/>
          <w:lang w:val="ro-MD"/>
        </w:rPr>
        <w:t xml:space="preserve">anilor </w:t>
      </w:r>
      <w:r w:rsidR="009860FA" w:rsidRPr="009E5B39">
        <w:rPr>
          <w:rFonts w:asciiTheme="majorHAnsi" w:hAnsiTheme="majorHAnsi" w:cstheme="majorHAnsi"/>
          <w:sz w:val="24"/>
          <w:szCs w:val="24"/>
          <w:lang w:val="ro-MD"/>
        </w:rPr>
        <w:t>2018</w:t>
      </w:r>
      <w:r w:rsidR="00B54360" w:rsidRPr="009E5B39">
        <w:rPr>
          <w:rFonts w:asciiTheme="majorHAnsi" w:hAnsiTheme="majorHAnsi" w:cstheme="majorHAnsi"/>
          <w:sz w:val="24"/>
          <w:szCs w:val="24"/>
          <w:lang w:val="ro-MD"/>
        </w:rPr>
        <w:t xml:space="preserve">, 2019 și </w:t>
      </w:r>
      <w:r w:rsidR="009860FA" w:rsidRPr="009E5B39">
        <w:rPr>
          <w:rFonts w:asciiTheme="majorHAnsi" w:hAnsiTheme="majorHAnsi" w:cstheme="majorHAnsi"/>
          <w:sz w:val="24"/>
          <w:szCs w:val="24"/>
          <w:lang w:val="ro-MD"/>
        </w:rPr>
        <w:t xml:space="preserve">2020, executarea efectivă a veniturilor </w:t>
      </w:r>
      <w:r w:rsidR="00B66B71" w:rsidRPr="009E5B39">
        <w:rPr>
          <w:rFonts w:asciiTheme="majorHAnsi" w:hAnsiTheme="majorHAnsi" w:cstheme="majorHAnsi"/>
          <w:sz w:val="24"/>
          <w:szCs w:val="24"/>
          <w:lang w:val="ro-MD"/>
        </w:rPr>
        <w:t xml:space="preserve">din vânzarea terenurilor </w:t>
      </w:r>
      <w:r w:rsidR="009860FA" w:rsidRPr="009E5B39">
        <w:rPr>
          <w:rFonts w:asciiTheme="majorHAnsi" w:hAnsiTheme="majorHAnsi" w:cstheme="majorHAnsi"/>
          <w:sz w:val="24"/>
          <w:szCs w:val="24"/>
          <w:lang w:val="ro-MD"/>
        </w:rPr>
        <w:t xml:space="preserve">a </w:t>
      </w:r>
      <w:r w:rsidR="00B54360" w:rsidRPr="009E5B39">
        <w:rPr>
          <w:rFonts w:asciiTheme="majorHAnsi" w:hAnsiTheme="majorHAnsi" w:cstheme="majorHAnsi"/>
          <w:sz w:val="24"/>
          <w:szCs w:val="24"/>
          <w:lang w:val="ro-MD"/>
        </w:rPr>
        <w:t>atins</w:t>
      </w:r>
      <w:r w:rsidR="009860FA" w:rsidRPr="009E5B39">
        <w:rPr>
          <w:rFonts w:asciiTheme="majorHAnsi" w:hAnsiTheme="majorHAnsi" w:cstheme="majorHAnsi"/>
          <w:sz w:val="24"/>
          <w:szCs w:val="24"/>
          <w:lang w:val="ro-MD"/>
        </w:rPr>
        <w:t xml:space="preserve"> nivel</w:t>
      </w:r>
      <w:r w:rsidR="00B54360" w:rsidRPr="009E5B39">
        <w:rPr>
          <w:rFonts w:asciiTheme="majorHAnsi" w:hAnsiTheme="majorHAnsi" w:cstheme="majorHAnsi"/>
          <w:sz w:val="24"/>
          <w:szCs w:val="24"/>
          <w:lang w:val="ro-MD"/>
        </w:rPr>
        <w:t>ul</w:t>
      </w:r>
      <w:r w:rsidR="009860FA" w:rsidRPr="009E5B39">
        <w:rPr>
          <w:rFonts w:asciiTheme="majorHAnsi" w:hAnsiTheme="majorHAnsi" w:cstheme="majorHAnsi"/>
          <w:sz w:val="24"/>
          <w:szCs w:val="24"/>
          <w:lang w:val="ro-MD"/>
        </w:rPr>
        <w:t xml:space="preserve"> de</w:t>
      </w:r>
      <w:r w:rsidR="00B54360" w:rsidRPr="009E5B39">
        <w:rPr>
          <w:rFonts w:asciiTheme="majorHAnsi" w:hAnsiTheme="majorHAnsi" w:cstheme="majorHAnsi"/>
          <w:sz w:val="24"/>
          <w:szCs w:val="24"/>
          <w:lang w:val="ro-MD"/>
        </w:rPr>
        <w:t>,</w:t>
      </w:r>
      <w:r w:rsidR="009860FA" w:rsidRPr="009E5B39">
        <w:rPr>
          <w:rFonts w:asciiTheme="majorHAnsi" w:hAnsiTheme="majorHAnsi" w:cstheme="majorHAnsi"/>
          <w:sz w:val="24"/>
          <w:szCs w:val="24"/>
          <w:lang w:val="ro-MD"/>
        </w:rPr>
        <w:t xml:space="preserve"> </w:t>
      </w:r>
      <w:r w:rsidR="00B54360" w:rsidRPr="009E5B39">
        <w:rPr>
          <w:rFonts w:asciiTheme="majorHAnsi" w:hAnsiTheme="majorHAnsi" w:cstheme="majorHAnsi"/>
          <w:sz w:val="24"/>
          <w:szCs w:val="24"/>
          <w:lang w:val="ro-MD"/>
        </w:rPr>
        <w:t xml:space="preserve">respectiv , </w:t>
      </w:r>
      <w:r w:rsidR="009860FA" w:rsidRPr="009E5B39">
        <w:rPr>
          <w:rFonts w:asciiTheme="majorHAnsi" w:hAnsiTheme="majorHAnsi" w:cstheme="majorHAnsi"/>
          <w:sz w:val="24"/>
          <w:szCs w:val="24"/>
          <w:lang w:val="ro-MD"/>
        </w:rPr>
        <w:t>12%, 5% și 45% din veniturile precizate.</w:t>
      </w:r>
      <w:r w:rsidR="00B66B71" w:rsidRPr="009E5B39">
        <w:rPr>
          <w:rFonts w:asciiTheme="majorHAnsi" w:hAnsiTheme="majorHAnsi" w:cstheme="majorHAnsi"/>
          <w:sz w:val="24"/>
          <w:szCs w:val="24"/>
          <w:lang w:val="ro-MD"/>
        </w:rPr>
        <w:t xml:space="preserve"> </w:t>
      </w:r>
    </w:p>
    <w:p w14:paraId="09310E46" w14:textId="77777777" w:rsidR="009860FA" w:rsidRPr="009E5B39" w:rsidRDefault="009860FA" w:rsidP="00EF4BC3">
      <w:pPr>
        <w:spacing w:after="0"/>
        <w:contextualSpacing/>
        <w:jc w:val="right"/>
        <w:rPr>
          <w:rFonts w:asciiTheme="majorHAnsi" w:hAnsiTheme="majorHAnsi" w:cstheme="majorHAnsi"/>
          <w:b/>
          <w:i/>
          <w:sz w:val="24"/>
          <w:szCs w:val="24"/>
          <w:lang w:val="ro-MD"/>
        </w:rPr>
      </w:pPr>
      <w:r w:rsidRPr="009E5B39">
        <w:rPr>
          <w:rFonts w:asciiTheme="majorHAnsi" w:hAnsiTheme="majorHAnsi" w:cstheme="majorHAnsi"/>
          <w:b/>
          <w:sz w:val="24"/>
          <w:szCs w:val="24"/>
          <w:lang w:val="ro-MD"/>
        </w:rPr>
        <w:t xml:space="preserve">   </w:t>
      </w:r>
      <w:r w:rsidRPr="009E5B39">
        <w:rPr>
          <w:rFonts w:asciiTheme="majorHAnsi" w:hAnsiTheme="majorHAnsi" w:cstheme="majorHAnsi"/>
          <w:b/>
          <w:i/>
          <w:sz w:val="24"/>
          <w:szCs w:val="24"/>
          <w:lang w:val="ro-MD"/>
        </w:rPr>
        <w:t>mii lei</w:t>
      </w:r>
    </w:p>
    <w:tbl>
      <w:tblPr>
        <w:tblStyle w:val="TableGrid4"/>
        <w:tblW w:w="9436" w:type="dxa"/>
        <w:tblLook w:val="04A0" w:firstRow="1" w:lastRow="0" w:firstColumn="1" w:lastColumn="0" w:noHBand="0" w:noVBand="1"/>
      </w:tblPr>
      <w:tblGrid>
        <w:gridCol w:w="988"/>
        <w:gridCol w:w="1842"/>
        <w:gridCol w:w="1701"/>
        <w:gridCol w:w="1701"/>
        <w:gridCol w:w="1701"/>
        <w:gridCol w:w="1503"/>
      </w:tblGrid>
      <w:tr w:rsidR="00EF4BC3" w:rsidRPr="009E5B39" w14:paraId="04851037" w14:textId="77777777" w:rsidTr="007F2C21">
        <w:tc>
          <w:tcPr>
            <w:tcW w:w="988" w:type="dxa"/>
            <w:vMerge w:val="restart"/>
          </w:tcPr>
          <w:p w14:paraId="39FD4722" w14:textId="77777777" w:rsidR="009860FA" w:rsidRPr="009E5B39" w:rsidRDefault="009860FA" w:rsidP="00EF4BC3">
            <w:pPr>
              <w:jc w:val="both"/>
              <w:rPr>
                <w:rFonts w:asciiTheme="majorHAnsi" w:hAnsiTheme="majorHAnsi" w:cstheme="majorHAnsi"/>
                <w:b/>
                <w:sz w:val="20"/>
                <w:szCs w:val="20"/>
                <w:lang w:val="ro-MD"/>
              </w:rPr>
            </w:pPr>
            <w:r w:rsidRPr="009E5B39">
              <w:rPr>
                <w:rFonts w:asciiTheme="majorHAnsi" w:hAnsiTheme="majorHAnsi" w:cstheme="majorHAnsi"/>
                <w:b/>
                <w:sz w:val="20"/>
                <w:szCs w:val="20"/>
                <w:lang w:val="ro-MD"/>
              </w:rPr>
              <w:t>Anul</w:t>
            </w:r>
          </w:p>
        </w:tc>
        <w:tc>
          <w:tcPr>
            <w:tcW w:w="5244" w:type="dxa"/>
            <w:gridSpan w:val="3"/>
          </w:tcPr>
          <w:p w14:paraId="449EA391" w14:textId="77777777" w:rsidR="009860FA" w:rsidRPr="009E5B39" w:rsidRDefault="009860FA" w:rsidP="00EF4BC3">
            <w:pPr>
              <w:jc w:val="center"/>
              <w:rPr>
                <w:rFonts w:asciiTheme="majorHAnsi" w:hAnsiTheme="majorHAnsi" w:cstheme="majorHAnsi"/>
                <w:b/>
                <w:sz w:val="20"/>
                <w:szCs w:val="20"/>
                <w:lang w:val="ro-MD"/>
              </w:rPr>
            </w:pPr>
            <w:r w:rsidRPr="009E5B39">
              <w:rPr>
                <w:rFonts w:asciiTheme="majorHAnsi" w:hAnsiTheme="majorHAnsi" w:cstheme="majorHAnsi"/>
                <w:b/>
                <w:sz w:val="20"/>
                <w:szCs w:val="20"/>
                <w:lang w:val="ro-MD"/>
              </w:rPr>
              <w:t>Cod ECO 371210</w:t>
            </w:r>
          </w:p>
        </w:tc>
        <w:tc>
          <w:tcPr>
            <w:tcW w:w="1701" w:type="dxa"/>
          </w:tcPr>
          <w:p w14:paraId="14F5BEB4" w14:textId="77777777" w:rsidR="009860FA" w:rsidRPr="009E5B39" w:rsidRDefault="009860FA" w:rsidP="00EF4BC3">
            <w:pPr>
              <w:jc w:val="both"/>
              <w:rPr>
                <w:rFonts w:asciiTheme="majorHAnsi" w:hAnsiTheme="majorHAnsi" w:cstheme="majorHAnsi"/>
                <w:b/>
                <w:sz w:val="20"/>
                <w:szCs w:val="20"/>
                <w:lang w:val="ro-MD"/>
              </w:rPr>
            </w:pPr>
            <w:r w:rsidRPr="009E5B39">
              <w:rPr>
                <w:rFonts w:asciiTheme="majorHAnsi" w:hAnsiTheme="majorHAnsi" w:cstheme="majorHAnsi"/>
                <w:b/>
                <w:sz w:val="20"/>
                <w:szCs w:val="20"/>
                <w:lang w:val="ro-MD"/>
              </w:rPr>
              <w:t>Cod ECO 149100</w:t>
            </w:r>
          </w:p>
        </w:tc>
        <w:tc>
          <w:tcPr>
            <w:tcW w:w="1503" w:type="dxa"/>
            <w:vMerge w:val="restart"/>
          </w:tcPr>
          <w:p w14:paraId="32A1CEBE" w14:textId="77777777" w:rsidR="009860FA" w:rsidRPr="009E5B39" w:rsidRDefault="009860FA" w:rsidP="00EF4BC3">
            <w:pPr>
              <w:jc w:val="both"/>
              <w:rPr>
                <w:rFonts w:asciiTheme="majorHAnsi" w:hAnsiTheme="majorHAnsi" w:cstheme="majorHAnsi"/>
                <w:b/>
                <w:sz w:val="20"/>
                <w:szCs w:val="20"/>
                <w:lang w:val="ro-MD"/>
              </w:rPr>
            </w:pPr>
            <w:r w:rsidRPr="009E5B39">
              <w:rPr>
                <w:rFonts w:asciiTheme="majorHAnsi" w:hAnsiTheme="majorHAnsi" w:cstheme="majorHAnsi"/>
                <w:b/>
                <w:sz w:val="20"/>
                <w:szCs w:val="20"/>
                <w:lang w:val="ro-MD"/>
              </w:rPr>
              <w:t>% îndeplinirii</w:t>
            </w:r>
          </w:p>
        </w:tc>
      </w:tr>
      <w:tr w:rsidR="00EF4BC3" w:rsidRPr="009E5B39" w14:paraId="2CD37ED6" w14:textId="77777777" w:rsidTr="007F2C21">
        <w:tc>
          <w:tcPr>
            <w:tcW w:w="988" w:type="dxa"/>
            <w:vMerge/>
          </w:tcPr>
          <w:p w14:paraId="7FCBC280" w14:textId="77777777" w:rsidR="009860FA" w:rsidRPr="009E5B39" w:rsidRDefault="009860FA" w:rsidP="00EF4BC3">
            <w:pPr>
              <w:jc w:val="both"/>
              <w:rPr>
                <w:rFonts w:asciiTheme="majorHAnsi" w:hAnsiTheme="majorHAnsi" w:cstheme="majorHAnsi"/>
                <w:b/>
                <w:sz w:val="20"/>
                <w:szCs w:val="20"/>
                <w:lang w:val="ro-MD"/>
              </w:rPr>
            </w:pPr>
          </w:p>
        </w:tc>
        <w:tc>
          <w:tcPr>
            <w:tcW w:w="1842" w:type="dxa"/>
          </w:tcPr>
          <w:p w14:paraId="46F1B55D" w14:textId="77777777" w:rsidR="009860FA" w:rsidRPr="009E5B39" w:rsidRDefault="009860FA" w:rsidP="00EF4BC3">
            <w:pPr>
              <w:jc w:val="center"/>
              <w:rPr>
                <w:rFonts w:asciiTheme="majorHAnsi" w:hAnsiTheme="majorHAnsi" w:cstheme="majorHAnsi"/>
                <w:b/>
                <w:sz w:val="20"/>
                <w:szCs w:val="20"/>
                <w:lang w:val="ro-MD"/>
              </w:rPr>
            </w:pPr>
            <w:r w:rsidRPr="009E5B39">
              <w:rPr>
                <w:rFonts w:asciiTheme="majorHAnsi" w:hAnsiTheme="majorHAnsi" w:cstheme="majorHAnsi"/>
                <w:b/>
                <w:sz w:val="20"/>
                <w:szCs w:val="20"/>
                <w:lang w:val="ro-MD"/>
              </w:rPr>
              <w:t>Aprobat</w:t>
            </w:r>
          </w:p>
        </w:tc>
        <w:tc>
          <w:tcPr>
            <w:tcW w:w="1701" w:type="dxa"/>
          </w:tcPr>
          <w:p w14:paraId="41C79D35" w14:textId="77777777" w:rsidR="009860FA" w:rsidRPr="009E5B39" w:rsidRDefault="009860FA" w:rsidP="00EF4BC3">
            <w:pPr>
              <w:jc w:val="center"/>
              <w:rPr>
                <w:rFonts w:asciiTheme="majorHAnsi" w:hAnsiTheme="majorHAnsi" w:cstheme="majorHAnsi"/>
                <w:b/>
                <w:sz w:val="20"/>
                <w:szCs w:val="20"/>
                <w:lang w:val="ro-MD"/>
              </w:rPr>
            </w:pPr>
            <w:r w:rsidRPr="009E5B39">
              <w:rPr>
                <w:rFonts w:asciiTheme="majorHAnsi" w:hAnsiTheme="majorHAnsi" w:cstheme="majorHAnsi"/>
                <w:b/>
                <w:sz w:val="20"/>
                <w:szCs w:val="20"/>
                <w:lang w:val="ro-MD"/>
              </w:rPr>
              <w:t>Precizat</w:t>
            </w:r>
          </w:p>
        </w:tc>
        <w:tc>
          <w:tcPr>
            <w:tcW w:w="1701" w:type="dxa"/>
          </w:tcPr>
          <w:p w14:paraId="21E6CDBA" w14:textId="77777777" w:rsidR="009860FA" w:rsidRPr="009E5B39" w:rsidRDefault="009860FA" w:rsidP="00EF4BC3">
            <w:pPr>
              <w:jc w:val="center"/>
              <w:rPr>
                <w:rFonts w:asciiTheme="majorHAnsi" w:hAnsiTheme="majorHAnsi" w:cstheme="majorHAnsi"/>
                <w:b/>
                <w:sz w:val="20"/>
                <w:szCs w:val="20"/>
                <w:lang w:val="ro-MD"/>
              </w:rPr>
            </w:pPr>
            <w:r w:rsidRPr="009E5B39">
              <w:rPr>
                <w:rFonts w:asciiTheme="majorHAnsi" w:hAnsiTheme="majorHAnsi" w:cstheme="majorHAnsi"/>
                <w:b/>
                <w:sz w:val="20"/>
                <w:szCs w:val="20"/>
                <w:lang w:val="ro-MD"/>
              </w:rPr>
              <w:t>Executat</w:t>
            </w:r>
          </w:p>
        </w:tc>
        <w:tc>
          <w:tcPr>
            <w:tcW w:w="1701" w:type="dxa"/>
          </w:tcPr>
          <w:p w14:paraId="2E6F1962" w14:textId="77777777" w:rsidR="009860FA" w:rsidRPr="009E5B39" w:rsidRDefault="009860FA" w:rsidP="00EF4BC3">
            <w:pPr>
              <w:jc w:val="center"/>
              <w:rPr>
                <w:rFonts w:asciiTheme="majorHAnsi" w:hAnsiTheme="majorHAnsi" w:cstheme="majorHAnsi"/>
                <w:b/>
                <w:sz w:val="20"/>
                <w:szCs w:val="20"/>
                <w:lang w:val="ro-MD"/>
              </w:rPr>
            </w:pPr>
            <w:r w:rsidRPr="009E5B39">
              <w:rPr>
                <w:rFonts w:asciiTheme="majorHAnsi" w:hAnsiTheme="majorHAnsi" w:cstheme="majorHAnsi"/>
                <w:b/>
                <w:sz w:val="20"/>
                <w:szCs w:val="20"/>
                <w:lang w:val="ro-MD"/>
              </w:rPr>
              <w:t>Efectiv</w:t>
            </w:r>
          </w:p>
        </w:tc>
        <w:tc>
          <w:tcPr>
            <w:tcW w:w="1503" w:type="dxa"/>
            <w:vMerge/>
          </w:tcPr>
          <w:p w14:paraId="772DA302" w14:textId="77777777" w:rsidR="009860FA" w:rsidRPr="009E5B39" w:rsidRDefault="009860FA" w:rsidP="00EF4BC3">
            <w:pPr>
              <w:jc w:val="both"/>
              <w:rPr>
                <w:rFonts w:asciiTheme="majorHAnsi" w:hAnsiTheme="majorHAnsi" w:cstheme="majorHAnsi"/>
                <w:b/>
                <w:sz w:val="20"/>
                <w:szCs w:val="20"/>
                <w:lang w:val="ro-MD"/>
              </w:rPr>
            </w:pPr>
          </w:p>
        </w:tc>
      </w:tr>
      <w:tr w:rsidR="00EF4BC3" w:rsidRPr="009E5B39" w14:paraId="70379383" w14:textId="77777777" w:rsidTr="007F2C21">
        <w:tc>
          <w:tcPr>
            <w:tcW w:w="988" w:type="dxa"/>
          </w:tcPr>
          <w:p w14:paraId="48B59C00" w14:textId="77777777" w:rsidR="009860FA" w:rsidRPr="009E5B39" w:rsidRDefault="009860FA" w:rsidP="00EF4BC3">
            <w:pPr>
              <w:jc w:val="both"/>
              <w:rPr>
                <w:rFonts w:asciiTheme="majorHAnsi" w:hAnsiTheme="majorHAnsi" w:cstheme="majorHAnsi"/>
                <w:sz w:val="20"/>
                <w:szCs w:val="20"/>
                <w:lang w:val="ro-MD"/>
              </w:rPr>
            </w:pPr>
            <w:r w:rsidRPr="009E5B39">
              <w:rPr>
                <w:rFonts w:asciiTheme="majorHAnsi" w:hAnsiTheme="majorHAnsi" w:cstheme="majorHAnsi"/>
                <w:sz w:val="20"/>
                <w:szCs w:val="20"/>
                <w:lang w:val="ro-MD"/>
              </w:rPr>
              <w:t>2018</w:t>
            </w:r>
          </w:p>
        </w:tc>
        <w:tc>
          <w:tcPr>
            <w:tcW w:w="1842" w:type="dxa"/>
          </w:tcPr>
          <w:p w14:paraId="7A2E980B"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-203 694,7</w:t>
            </w:r>
          </w:p>
        </w:tc>
        <w:tc>
          <w:tcPr>
            <w:tcW w:w="1701" w:type="dxa"/>
          </w:tcPr>
          <w:p w14:paraId="688BDB59"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-203 694,7</w:t>
            </w:r>
          </w:p>
        </w:tc>
        <w:tc>
          <w:tcPr>
            <w:tcW w:w="1701" w:type="dxa"/>
          </w:tcPr>
          <w:p w14:paraId="586AE130"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-24 171,47</w:t>
            </w:r>
          </w:p>
        </w:tc>
        <w:tc>
          <w:tcPr>
            <w:tcW w:w="1701" w:type="dxa"/>
          </w:tcPr>
          <w:p w14:paraId="174DD1F2"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24 171,47</w:t>
            </w:r>
          </w:p>
        </w:tc>
        <w:tc>
          <w:tcPr>
            <w:tcW w:w="1503" w:type="dxa"/>
          </w:tcPr>
          <w:p w14:paraId="1F7BECC9"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11,9</w:t>
            </w:r>
          </w:p>
        </w:tc>
      </w:tr>
      <w:tr w:rsidR="00EF4BC3" w:rsidRPr="009E5B39" w14:paraId="37789394" w14:textId="77777777" w:rsidTr="007F2C21">
        <w:tc>
          <w:tcPr>
            <w:tcW w:w="988" w:type="dxa"/>
          </w:tcPr>
          <w:p w14:paraId="1F230725" w14:textId="77777777" w:rsidR="009860FA" w:rsidRPr="009E5B39" w:rsidRDefault="009860FA" w:rsidP="00EF4BC3">
            <w:pPr>
              <w:jc w:val="both"/>
              <w:rPr>
                <w:rFonts w:asciiTheme="majorHAnsi" w:hAnsiTheme="majorHAnsi" w:cstheme="majorHAnsi"/>
                <w:sz w:val="20"/>
                <w:szCs w:val="20"/>
                <w:lang w:val="ro-MD"/>
              </w:rPr>
            </w:pPr>
            <w:r w:rsidRPr="009E5B39">
              <w:rPr>
                <w:rFonts w:asciiTheme="majorHAnsi" w:hAnsiTheme="majorHAnsi" w:cstheme="majorHAnsi"/>
                <w:sz w:val="20"/>
                <w:szCs w:val="20"/>
                <w:lang w:val="ro-MD"/>
              </w:rPr>
              <w:t>2019</w:t>
            </w:r>
          </w:p>
        </w:tc>
        <w:tc>
          <w:tcPr>
            <w:tcW w:w="1842" w:type="dxa"/>
          </w:tcPr>
          <w:p w14:paraId="1DD5E857"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-257 010,5</w:t>
            </w:r>
          </w:p>
        </w:tc>
        <w:tc>
          <w:tcPr>
            <w:tcW w:w="1701" w:type="dxa"/>
          </w:tcPr>
          <w:p w14:paraId="323F198A"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-257 010,5</w:t>
            </w:r>
          </w:p>
        </w:tc>
        <w:tc>
          <w:tcPr>
            <w:tcW w:w="1701" w:type="dxa"/>
          </w:tcPr>
          <w:p w14:paraId="39C384FF"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-12 631,78</w:t>
            </w:r>
          </w:p>
        </w:tc>
        <w:tc>
          <w:tcPr>
            <w:tcW w:w="1701" w:type="dxa"/>
          </w:tcPr>
          <w:p w14:paraId="1CD1F784"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12 631,78</w:t>
            </w:r>
          </w:p>
        </w:tc>
        <w:tc>
          <w:tcPr>
            <w:tcW w:w="1503" w:type="dxa"/>
          </w:tcPr>
          <w:p w14:paraId="3E11445E"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4,9</w:t>
            </w:r>
          </w:p>
        </w:tc>
      </w:tr>
      <w:tr w:rsidR="00EF4BC3" w:rsidRPr="009E5B39" w14:paraId="6E8AA5DE" w14:textId="77777777" w:rsidTr="007F2C21">
        <w:tc>
          <w:tcPr>
            <w:tcW w:w="988" w:type="dxa"/>
          </w:tcPr>
          <w:p w14:paraId="27C26EE8" w14:textId="77777777" w:rsidR="009860FA" w:rsidRPr="009E5B39" w:rsidRDefault="009860FA" w:rsidP="00EF4BC3">
            <w:pPr>
              <w:jc w:val="both"/>
              <w:rPr>
                <w:rFonts w:asciiTheme="majorHAnsi" w:hAnsiTheme="majorHAnsi" w:cstheme="majorHAnsi"/>
                <w:sz w:val="20"/>
                <w:szCs w:val="20"/>
                <w:lang w:val="ro-MD"/>
              </w:rPr>
            </w:pPr>
            <w:r w:rsidRPr="009E5B39">
              <w:rPr>
                <w:rFonts w:asciiTheme="majorHAnsi" w:hAnsiTheme="majorHAnsi" w:cstheme="majorHAnsi"/>
                <w:sz w:val="20"/>
                <w:szCs w:val="20"/>
                <w:lang w:val="ro-MD"/>
              </w:rPr>
              <w:t>2020</w:t>
            </w:r>
          </w:p>
        </w:tc>
        <w:tc>
          <w:tcPr>
            <w:tcW w:w="1842" w:type="dxa"/>
          </w:tcPr>
          <w:p w14:paraId="69258176"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-254 486,1</w:t>
            </w:r>
          </w:p>
        </w:tc>
        <w:tc>
          <w:tcPr>
            <w:tcW w:w="1701" w:type="dxa"/>
          </w:tcPr>
          <w:p w14:paraId="5EE47B22"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-103 570,0</w:t>
            </w:r>
          </w:p>
        </w:tc>
        <w:tc>
          <w:tcPr>
            <w:tcW w:w="1701" w:type="dxa"/>
          </w:tcPr>
          <w:p w14:paraId="7E54BD6F"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-46 195,42</w:t>
            </w:r>
          </w:p>
        </w:tc>
        <w:tc>
          <w:tcPr>
            <w:tcW w:w="1701" w:type="dxa"/>
          </w:tcPr>
          <w:p w14:paraId="13F455B8"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46 195,42</w:t>
            </w:r>
          </w:p>
        </w:tc>
        <w:tc>
          <w:tcPr>
            <w:tcW w:w="1503" w:type="dxa"/>
          </w:tcPr>
          <w:p w14:paraId="1F893A34" w14:textId="77777777" w:rsidR="009860FA" w:rsidRPr="009E5B39" w:rsidRDefault="009860FA" w:rsidP="00EF4BC3">
            <w:pPr>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44,6</w:t>
            </w:r>
          </w:p>
        </w:tc>
      </w:tr>
    </w:tbl>
    <w:p w14:paraId="580A32B4" w14:textId="6E795A93" w:rsidR="009860FA" w:rsidRPr="009E5B39" w:rsidRDefault="009860FA" w:rsidP="00EF4BC3">
      <w:pPr>
        <w:spacing w:after="0"/>
        <w:jc w:val="both"/>
        <w:rPr>
          <w:rFonts w:asciiTheme="majorHAnsi" w:hAnsiTheme="majorHAnsi" w:cstheme="majorHAnsi"/>
          <w:i/>
          <w:sz w:val="16"/>
          <w:szCs w:val="16"/>
          <w:lang w:val="ro-MD"/>
        </w:rPr>
      </w:pPr>
      <w:r w:rsidRPr="009E5B39">
        <w:rPr>
          <w:rFonts w:asciiTheme="majorHAnsi" w:hAnsiTheme="majorHAnsi" w:cstheme="majorHAnsi"/>
          <w:b/>
          <w:i/>
          <w:sz w:val="16"/>
          <w:szCs w:val="16"/>
          <w:lang w:val="ro-MD"/>
        </w:rPr>
        <w:t>Sursa:</w:t>
      </w:r>
      <w:r w:rsidRPr="009E5B39">
        <w:rPr>
          <w:rFonts w:asciiTheme="majorHAnsi" w:hAnsiTheme="majorHAnsi" w:cstheme="majorHAnsi"/>
          <w:sz w:val="24"/>
          <w:szCs w:val="24"/>
          <w:lang w:val="ro-MD"/>
        </w:rPr>
        <w:t xml:space="preserve"> </w:t>
      </w:r>
      <w:r w:rsidRPr="009E5B39">
        <w:rPr>
          <w:rFonts w:asciiTheme="majorHAnsi" w:hAnsiTheme="majorHAnsi" w:cstheme="majorHAnsi"/>
          <w:i/>
          <w:sz w:val="16"/>
          <w:szCs w:val="16"/>
          <w:lang w:val="ro-MD"/>
        </w:rPr>
        <w:t xml:space="preserve">Raportul financiar privind executarea bugetului </w:t>
      </w:r>
      <w:r w:rsidR="00B54360" w:rsidRPr="009E5B39">
        <w:rPr>
          <w:rFonts w:asciiTheme="majorHAnsi" w:hAnsiTheme="majorHAnsi" w:cstheme="majorHAnsi"/>
          <w:i/>
          <w:sz w:val="16"/>
          <w:szCs w:val="16"/>
          <w:lang w:val="ro-MD"/>
        </w:rPr>
        <w:t>FD</w:t>
      </w:r>
      <w:r w:rsidRPr="009E5B39">
        <w:rPr>
          <w:rFonts w:asciiTheme="majorHAnsi" w:hAnsiTheme="majorHAnsi" w:cstheme="majorHAnsi"/>
          <w:i/>
          <w:sz w:val="16"/>
          <w:szCs w:val="16"/>
          <w:lang w:val="ro-MD"/>
        </w:rPr>
        <w:t>-044 pentru anii 2018,2019,2020.</w:t>
      </w:r>
    </w:p>
    <w:p w14:paraId="1BCF9B96" w14:textId="69625714" w:rsidR="00993692" w:rsidRPr="009E5B39" w:rsidRDefault="00B54360" w:rsidP="003C5073">
      <w:pPr>
        <w:spacing w:after="0" w:line="276" w:lineRule="auto"/>
        <w:jc w:val="both"/>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 xml:space="preserve"> </w:t>
      </w:r>
      <w:r w:rsidR="00993692" w:rsidRPr="009E5B39">
        <w:rPr>
          <w:rFonts w:asciiTheme="majorHAnsi" w:hAnsiTheme="majorHAnsi" w:cstheme="majorHAnsi"/>
          <w:b/>
          <w:i/>
          <w:sz w:val="24"/>
          <w:szCs w:val="24"/>
          <w:lang w:val="ro-MD"/>
        </w:rPr>
        <w:t>4.1.</w:t>
      </w:r>
      <w:r w:rsidR="004030C6" w:rsidRPr="009E5B39">
        <w:rPr>
          <w:rFonts w:asciiTheme="majorHAnsi" w:hAnsiTheme="majorHAnsi" w:cstheme="majorHAnsi"/>
          <w:b/>
          <w:i/>
          <w:sz w:val="24"/>
          <w:szCs w:val="24"/>
          <w:lang w:val="ro-MD"/>
        </w:rPr>
        <w:t>9</w:t>
      </w:r>
      <w:r w:rsidR="00993692" w:rsidRPr="009E5B39">
        <w:rPr>
          <w:rFonts w:asciiTheme="majorHAnsi" w:hAnsiTheme="majorHAnsi" w:cstheme="majorHAnsi"/>
          <w:b/>
          <w:i/>
          <w:sz w:val="24"/>
          <w:szCs w:val="24"/>
          <w:lang w:val="ro-MD"/>
        </w:rPr>
        <w:t xml:space="preserve">. </w:t>
      </w:r>
      <w:r w:rsidR="00993692" w:rsidRPr="009E5B39">
        <w:rPr>
          <w:rFonts w:asciiTheme="majorHAnsi" w:hAnsiTheme="majorHAnsi" w:cstheme="majorHAnsi"/>
          <w:b/>
          <w:i/>
          <w:iCs/>
          <w:sz w:val="24"/>
          <w:szCs w:val="24"/>
          <w:lang w:val="ro-MD"/>
        </w:rPr>
        <w:t xml:space="preserve">DGLCA nu deține </w:t>
      </w:r>
      <w:r w:rsidR="00033989" w:rsidRPr="009E5B39">
        <w:rPr>
          <w:rFonts w:asciiTheme="majorHAnsi" w:hAnsiTheme="majorHAnsi" w:cstheme="majorHAnsi"/>
          <w:b/>
          <w:i/>
          <w:iCs/>
          <w:sz w:val="24"/>
          <w:szCs w:val="24"/>
          <w:lang w:val="ro-MD"/>
        </w:rPr>
        <w:t xml:space="preserve">o </w:t>
      </w:r>
      <w:r w:rsidR="00993692" w:rsidRPr="009E5B39">
        <w:rPr>
          <w:rFonts w:asciiTheme="majorHAnsi" w:hAnsiTheme="majorHAnsi" w:cstheme="majorHAnsi"/>
          <w:b/>
          <w:i/>
          <w:iCs/>
          <w:sz w:val="24"/>
          <w:szCs w:val="24"/>
          <w:lang w:val="ro-MD"/>
        </w:rPr>
        <w:t xml:space="preserve">informație </w:t>
      </w:r>
      <w:r w:rsidR="00B56726" w:rsidRPr="009E5B39">
        <w:rPr>
          <w:rFonts w:asciiTheme="majorHAnsi" w:hAnsiTheme="majorHAnsi" w:cstheme="majorHAnsi"/>
          <w:b/>
          <w:i/>
          <w:iCs/>
          <w:sz w:val="24"/>
          <w:szCs w:val="24"/>
          <w:lang w:val="ro-MD"/>
        </w:rPr>
        <w:t xml:space="preserve">exhaustivă și </w:t>
      </w:r>
      <w:r w:rsidR="00993692" w:rsidRPr="009E5B39">
        <w:rPr>
          <w:rFonts w:asciiTheme="majorHAnsi" w:hAnsiTheme="majorHAnsi" w:cstheme="majorHAnsi"/>
          <w:b/>
          <w:i/>
          <w:iCs/>
          <w:sz w:val="24"/>
          <w:szCs w:val="24"/>
          <w:lang w:val="ro-MD"/>
        </w:rPr>
        <w:t>veridică despre numărul și suprafața apartamentelor neprivatizate din mun. Chișinău, inclusiv a</w:t>
      </w:r>
      <w:r w:rsidR="004E56B6" w:rsidRPr="009E5B39">
        <w:rPr>
          <w:rFonts w:asciiTheme="majorHAnsi" w:hAnsiTheme="majorHAnsi" w:cstheme="majorHAnsi"/>
          <w:b/>
          <w:i/>
          <w:iCs/>
          <w:sz w:val="24"/>
          <w:szCs w:val="24"/>
          <w:lang w:val="ro-MD"/>
        </w:rPr>
        <w:t>le</w:t>
      </w:r>
      <w:r w:rsidR="00993692" w:rsidRPr="009E5B39">
        <w:rPr>
          <w:rFonts w:asciiTheme="majorHAnsi" w:hAnsiTheme="majorHAnsi" w:cstheme="majorHAnsi"/>
          <w:b/>
          <w:i/>
          <w:iCs/>
          <w:sz w:val="24"/>
          <w:szCs w:val="24"/>
          <w:lang w:val="ro-MD"/>
        </w:rPr>
        <w:t xml:space="preserve"> celor transmise în chirie, pentru care se încasează o plată simbolică de 0,2 lei per m</w:t>
      </w:r>
      <w:r w:rsidR="00993692" w:rsidRPr="009E5B39">
        <w:rPr>
          <w:rFonts w:asciiTheme="majorHAnsi" w:hAnsiTheme="majorHAnsi" w:cstheme="majorHAnsi"/>
          <w:b/>
          <w:i/>
          <w:iCs/>
          <w:sz w:val="24"/>
          <w:szCs w:val="24"/>
          <w:vertAlign w:val="superscript"/>
          <w:lang w:val="ro-MD"/>
        </w:rPr>
        <w:t>2</w:t>
      </w:r>
      <w:r w:rsidR="00993692" w:rsidRPr="009E5B39">
        <w:rPr>
          <w:rFonts w:asciiTheme="majorHAnsi" w:hAnsiTheme="majorHAnsi" w:cstheme="majorHAnsi"/>
          <w:b/>
          <w:i/>
          <w:iCs/>
          <w:sz w:val="24"/>
          <w:szCs w:val="24"/>
          <w:lang w:val="ro-MD"/>
        </w:rPr>
        <w:t xml:space="preserve"> închiriat. Deși Curtea de Conturi a menționat încă în Raportul aprobat prin HCC nr.52 din 05.07.2010</w:t>
      </w:r>
      <w:r w:rsidR="00993692" w:rsidRPr="009E5B39">
        <w:rPr>
          <w:vertAlign w:val="superscript"/>
          <w:lang w:val="ro-MD"/>
        </w:rPr>
        <w:footnoteReference w:id="43"/>
      </w:r>
      <w:r w:rsidR="00993692" w:rsidRPr="009E5B39">
        <w:rPr>
          <w:rFonts w:asciiTheme="majorHAnsi" w:hAnsiTheme="majorHAnsi" w:cstheme="majorHAnsi"/>
          <w:b/>
          <w:i/>
          <w:iCs/>
          <w:sz w:val="24"/>
          <w:szCs w:val="24"/>
          <w:lang w:val="ro-MD"/>
        </w:rPr>
        <w:t xml:space="preserve"> despre faptul că plata pentru chiria apartamentelor neprivatizate a fost aprobat</w:t>
      </w:r>
      <w:r w:rsidR="004E56B6" w:rsidRPr="009E5B39">
        <w:rPr>
          <w:rFonts w:asciiTheme="majorHAnsi" w:hAnsiTheme="majorHAnsi" w:cstheme="majorHAnsi"/>
          <w:b/>
          <w:i/>
          <w:iCs/>
          <w:sz w:val="24"/>
          <w:szCs w:val="24"/>
          <w:lang w:val="ro-MD"/>
        </w:rPr>
        <w:t>ă</w:t>
      </w:r>
      <w:r w:rsidR="00993692" w:rsidRPr="009E5B39">
        <w:rPr>
          <w:rFonts w:asciiTheme="majorHAnsi" w:hAnsiTheme="majorHAnsi" w:cstheme="majorHAnsi"/>
          <w:b/>
          <w:i/>
          <w:iCs/>
          <w:sz w:val="24"/>
          <w:szCs w:val="24"/>
          <w:lang w:val="ro-MD"/>
        </w:rPr>
        <w:t xml:space="preserve"> inițial încă în anul 1997 și reaprobat</w:t>
      </w:r>
      <w:r w:rsidR="004E56B6" w:rsidRPr="009E5B39">
        <w:rPr>
          <w:rFonts w:asciiTheme="majorHAnsi" w:hAnsiTheme="majorHAnsi" w:cstheme="majorHAnsi"/>
          <w:b/>
          <w:i/>
          <w:iCs/>
          <w:sz w:val="24"/>
          <w:szCs w:val="24"/>
          <w:lang w:val="ro-MD"/>
        </w:rPr>
        <w:t>ă</w:t>
      </w:r>
      <w:r w:rsidR="00993692" w:rsidRPr="009E5B39">
        <w:rPr>
          <w:rFonts w:asciiTheme="majorHAnsi" w:hAnsiTheme="majorHAnsi" w:cstheme="majorHAnsi"/>
          <w:b/>
          <w:i/>
          <w:iCs/>
          <w:sz w:val="24"/>
          <w:szCs w:val="24"/>
          <w:lang w:val="ro-MD"/>
        </w:rPr>
        <w:t xml:space="preserve"> în același cuantum în anul 2007, APL nu a asigurat ajustarea </w:t>
      </w:r>
      <w:r w:rsidR="004E56B6" w:rsidRPr="009E5B39">
        <w:rPr>
          <w:rFonts w:asciiTheme="majorHAnsi" w:hAnsiTheme="majorHAnsi" w:cstheme="majorHAnsi"/>
          <w:b/>
          <w:i/>
          <w:iCs/>
          <w:sz w:val="24"/>
          <w:szCs w:val="24"/>
          <w:lang w:val="ro-MD"/>
        </w:rPr>
        <w:t xml:space="preserve">acestei plăți </w:t>
      </w:r>
      <w:r w:rsidR="00993692" w:rsidRPr="009E5B39">
        <w:rPr>
          <w:rFonts w:asciiTheme="majorHAnsi" w:hAnsiTheme="majorHAnsi" w:cstheme="majorHAnsi"/>
          <w:b/>
          <w:i/>
          <w:iCs/>
          <w:sz w:val="24"/>
          <w:szCs w:val="24"/>
          <w:lang w:val="ro-MD"/>
        </w:rPr>
        <w:t>timp de 25 de ani, ceea ce condiționează ratarea veniturilor în bugetul municipal din plata pentru locațiunea bunurilor patrimoniului public.</w:t>
      </w:r>
      <w:r w:rsidR="00993692" w:rsidRPr="009E5B39">
        <w:rPr>
          <w:rFonts w:asciiTheme="majorHAnsi" w:hAnsiTheme="majorHAnsi" w:cstheme="majorHAnsi"/>
          <w:b/>
          <w:sz w:val="24"/>
          <w:szCs w:val="24"/>
          <w:lang w:val="ro-MD"/>
        </w:rPr>
        <w:t xml:space="preserve"> </w:t>
      </w:r>
      <w:r w:rsidR="00993692" w:rsidRPr="009E5B39">
        <w:rPr>
          <w:rFonts w:asciiTheme="majorHAnsi" w:hAnsiTheme="majorHAnsi" w:cstheme="majorHAnsi"/>
          <w:sz w:val="24"/>
          <w:szCs w:val="24"/>
          <w:lang w:val="ro-MD"/>
        </w:rPr>
        <w:t>Plata pentru chiria spațiului locativ neprivatizat se încasează prin intermediu</w:t>
      </w:r>
      <w:r w:rsidR="00AD1A47" w:rsidRPr="009E5B39">
        <w:rPr>
          <w:rFonts w:asciiTheme="majorHAnsi" w:hAnsiTheme="majorHAnsi" w:cstheme="majorHAnsi"/>
          <w:sz w:val="24"/>
          <w:szCs w:val="24"/>
          <w:lang w:val="ro-MD"/>
        </w:rPr>
        <w:t>l</w:t>
      </w:r>
      <w:r w:rsidR="00993692" w:rsidRPr="009E5B39">
        <w:rPr>
          <w:rFonts w:asciiTheme="majorHAnsi" w:hAnsiTheme="majorHAnsi" w:cstheme="majorHAnsi"/>
          <w:sz w:val="24"/>
          <w:szCs w:val="24"/>
          <w:lang w:val="ro-MD"/>
        </w:rPr>
        <w:t xml:space="preserve"> ÎM </w:t>
      </w:r>
      <w:r w:rsidR="003B7B77" w:rsidRPr="009E5B39">
        <w:rPr>
          <w:rFonts w:asciiTheme="majorHAnsi" w:hAnsiTheme="majorHAnsi" w:cstheme="majorHAnsi"/>
          <w:sz w:val="24"/>
          <w:szCs w:val="24"/>
          <w:lang w:val="ro-MD"/>
        </w:rPr>
        <w:t>„</w:t>
      </w:r>
      <w:r w:rsidR="00993692" w:rsidRPr="009E5B39">
        <w:rPr>
          <w:rFonts w:asciiTheme="majorHAnsi" w:hAnsiTheme="majorHAnsi" w:cstheme="majorHAnsi"/>
          <w:sz w:val="24"/>
          <w:szCs w:val="24"/>
          <w:lang w:val="ro-MD"/>
        </w:rPr>
        <w:t>I</w:t>
      </w:r>
      <w:r w:rsidR="003B7B77" w:rsidRPr="009E5B39">
        <w:rPr>
          <w:rFonts w:asciiTheme="majorHAnsi" w:hAnsiTheme="majorHAnsi" w:cstheme="majorHAnsi"/>
          <w:sz w:val="24"/>
          <w:szCs w:val="24"/>
          <w:lang w:val="ro-MD"/>
        </w:rPr>
        <w:t>nfocom”</w:t>
      </w:r>
      <w:r w:rsidR="00AD1A47" w:rsidRPr="009E5B39">
        <w:rPr>
          <w:rFonts w:asciiTheme="majorHAnsi" w:hAnsiTheme="majorHAnsi" w:cstheme="majorHAnsi"/>
          <w:sz w:val="24"/>
          <w:szCs w:val="24"/>
          <w:lang w:val="ro-MD"/>
        </w:rPr>
        <w:t xml:space="preserve"> și</w:t>
      </w:r>
      <w:r w:rsidR="00993692" w:rsidRPr="009E5B39">
        <w:rPr>
          <w:rFonts w:asciiTheme="majorHAnsi" w:hAnsiTheme="majorHAnsi" w:cstheme="majorHAnsi"/>
          <w:sz w:val="24"/>
          <w:szCs w:val="24"/>
          <w:lang w:val="ro-MD"/>
        </w:rPr>
        <w:t xml:space="preserve"> ulterior </w:t>
      </w:r>
      <w:r w:rsidR="00AD1A47" w:rsidRPr="009E5B39">
        <w:rPr>
          <w:rFonts w:asciiTheme="majorHAnsi" w:hAnsiTheme="majorHAnsi" w:cstheme="majorHAnsi"/>
          <w:sz w:val="24"/>
          <w:szCs w:val="24"/>
          <w:lang w:val="ro-MD"/>
        </w:rPr>
        <w:t xml:space="preserve">este </w:t>
      </w:r>
      <w:r w:rsidR="00993692" w:rsidRPr="009E5B39">
        <w:rPr>
          <w:rFonts w:asciiTheme="majorHAnsi" w:hAnsiTheme="majorHAnsi" w:cstheme="majorHAnsi"/>
          <w:sz w:val="24"/>
          <w:szCs w:val="24"/>
          <w:lang w:val="ro-MD"/>
        </w:rPr>
        <w:t xml:space="preserve">virată la contul de venituri al DGLCA. Potrivit informațiilor prezentate, în anul 2020 au fost calculate venituri din plata pentru chirie în sumă de </w:t>
      </w:r>
      <w:r w:rsidR="00993692" w:rsidRPr="009E5B39">
        <w:rPr>
          <w:rFonts w:asciiTheme="majorHAnsi" w:hAnsiTheme="majorHAnsi" w:cstheme="majorHAnsi"/>
          <w:b/>
          <w:sz w:val="24"/>
          <w:szCs w:val="24"/>
          <w:lang w:val="ro-MD"/>
        </w:rPr>
        <w:t>118,12 mii lei</w:t>
      </w:r>
      <w:r w:rsidR="00993692" w:rsidRPr="009E5B39">
        <w:rPr>
          <w:rFonts w:asciiTheme="majorHAnsi" w:hAnsiTheme="majorHAnsi" w:cstheme="majorHAnsi"/>
          <w:sz w:val="24"/>
          <w:szCs w:val="24"/>
          <w:lang w:val="ro-MD"/>
        </w:rPr>
        <w:t xml:space="preserve">, ce constituie plata pentru chiria a circa </w:t>
      </w:r>
      <w:r w:rsidR="00993692" w:rsidRPr="009E5B39">
        <w:rPr>
          <w:rFonts w:asciiTheme="majorHAnsi" w:hAnsiTheme="majorHAnsi" w:cstheme="majorHAnsi"/>
          <w:b/>
          <w:sz w:val="24"/>
          <w:szCs w:val="24"/>
          <w:lang w:val="ro-MD"/>
        </w:rPr>
        <w:t>49.216,0 m</w:t>
      </w:r>
      <w:r w:rsidR="00993692" w:rsidRPr="009E5B39">
        <w:rPr>
          <w:rFonts w:asciiTheme="majorHAnsi" w:hAnsiTheme="majorHAnsi" w:cstheme="majorHAnsi"/>
          <w:b/>
          <w:sz w:val="24"/>
          <w:szCs w:val="24"/>
          <w:vertAlign w:val="superscript"/>
          <w:lang w:val="ro-MD"/>
        </w:rPr>
        <w:t>2</w:t>
      </w:r>
      <w:r w:rsidR="00993692" w:rsidRPr="009E5B39">
        <w:rPr>
          <w:rFonts w:asciiTheme="majorHAnsi" w:hAnsiTheme="majorHAnsi" w:cstheme="majorHAnsi"/>
          <w:sz w:val="24"/>
          <w:szCs w:val="24"/>
          <w:lang w:val="ro-MD"/>
        </w:rPr>
        <w:t xml:space="preserve"> de spațiu locativ neprivatizat</w:t>
      </w:r>
      <w:r w:rsidR="00993692" w:rsidRPr="009E5B39">
        <w:rPr>
          <w:vertAlign w:val="superscript"/>
          <w:lang w:val="ro-MD"/>
        </w:rPr>
        <w:footnoteReference w:id="44"/>
      </w:r>
      <w:r w:rsidR="00993692" w:rsidRPr="009E5B39">
        <w:rPr>
          <w:rFonts w:asciiTheme="majorHAnsi" w:hAnsiTheme="majorHAnsi" w:cstheme="majorHAnsi"/>
          <w:sz w:val="24"/>
          <w:szCs w:val="24"/>
          <w:lang w:val="ro-MD"/>
        </w:rPr>
        <w:t xml:space="preserve">. De menționat că plata lunară pentru chiria </w:t>
      </w:r>
      <w:r w:rsidR="00AD1A47" w:rsidRPr="009E5B39">
        <w:rPr>
          <w:rFonts w:asciiTheme="majorHAnsi" w:hAnsiTheme="majorHAnsi" w:cstheme="majorHAnsi"/>
          <w:sz w:val="24"/>
          <w:szCs w:val="24"/>
          <w:lang w:val="ro-MD"/>
        </w:rPr>
        <w:t xml:space="preserve">1 </w:t>
      </w:r>
      <w:r w:rsidR="00993692" w:rsidRPr="009E5B39">
        <w:rPr>
          <w:rFonts w:asciiTheme="majorHAnsi" w:hAnsiTheme="majorHAnsi" w:cstheme="majorHAnsi"/>
          <w:sz w:val="24"/>
          <w:szCs w:val="24"/>
          <w:lang w:val="ro-MD"/>
        </w:rPr>
        <w:t>m</w:t>
      </w:r>
      <w:r w:rsidR="00993692" w:rsidRPr="009E5B39">
        <w:rPr>
          <w:rFonts w:asciiTheme="majorHAnsi" w:hAnsiTheme="majorHAnsi" w:cstheme="majorHAnsi"/>
          <w:sz w:val="24"/>
          <w:szCs w:val="24"/>
          <w:vertAlign w:val="superscript"/>
          <w:lang w:val="ro-MD"/>
        </w:rPr>
        <w:t>2</w:t>
      </w:r>
      <w:r w:rsidR="00993692" w:rsidRPr="009E5B39">
        <w:rPr>
          <w:rFonts w:asciiTheme="majorHAnsi" w:hAnsiTheme="majorHAnsi" w:cstheme="majorHAnsi"/>
          <w:sz w:val="24"/>
          <w:szCs w:val="24"/>
          <w:lang w:val="ro-MD"/>
        </w:rPr>
        <w:t xml:space="preserve"> în locuințele sociale în raionul Briceni</w:t>
      </w:r>
      <w:r w:rsidR="00993692" w:rsidRPr="009E5B39">
        <w:rPr>
          <w:vertAlign w:val="superscript"/>
          <w:lang w:val="ro-MD"/>
        </w:rPr>
        <w:footnoteReference w:id="45"/>
      </w:r>
      <w:r w:rsidR="00993692" w:rsidRPr="009E5B39">
        <w:rPr>
          <w:rFonts w:asciiTheme="majorHAnsi" w:hAnsiTheme="majorHAnsi" w:cstheme="majorHAnsi"/>
          <w:sz w:val="24"/>
          <w:szCs w:val="24"/>
          <w:lang w:val="ro-MD"/>
        </w:rPr>
        <w:t xml:space="preserve"> constituie 6 lei/m</w:t>
      </w:r>
      <w:r w:rsidR="00993692" w:rsidRPr="009E5B39">
        <w:rPr>
          <w:rFonts w:asciiTheme="majorHAnsi" w:hAnsiTheme="majorHAnsi" w:cstheme="majorHAnsi"/>
          <w:sz w:val="24"/>
          <w:szCs w:val="24"/>
          <w:vertAlign w:val="superscript"/>
          <w:lang w:val="ro-MD"/>
        </w:rPr>
        <w:t>2</w:t>
      </w:r>
      <w:r w:rsidR="00993692" w:rsidRPr="009E5B39">
        <w:rPr>
          <w:rFonts w:asciiTheme="majorHAnsi" w:hAnsiTheme="majorHAnsi" w:cstheme="majorHAnsi"/>
          <w:sz w:val="24"/>
          <w:szCs w:val="24"/>
          <w:lang w:val="ro-MD"/>
        </w:rPr>
        <w:t>, în raionul Nisporeni – 12 lei/m</w:t>
      </w:r>
      <w:r w:rsidR="00993692" w:rsidRPr="009E5B39">
        <w:rPr>
          <w:rFonts w:asciiTheme="majorHAnsi" w:hAnsiTheme="majorHAnsi" w:cstheme="majorHAnsi"/>
          <w:sz w:val="24"/>
          <w:szCs w:val="24"/>
          <w:vertAlign w:val="superscript"/>
          <w:lang w:val="ro-MD"/>
        </w:rPr>
        <w:t>2</w:t>
      </w:r>
      <w:r w:rsidR="00993692" w:rsidRPr="009E5B39">
        <w:rPr>
          <w:rFonts w:asciiTheme="majorHAnsi" w:hAnsiTheme="majorHAnsi" w:cstheme="majorHAnsi"/>
          <w:sz w:val="24"/>
          <w:szCs w:val="24"/>
          <w:lang w:val="ro-MD"/>
        </w:rPr>
        <w:t>.</w:t>
      </w:r>
    </w:p>
    <w:p w14:paraId="3DA49ECA" w14:textId="441B75B5" w:rsidR="00993692" w:rsidRPr="009E5B39" w:rsidRDefault="00D46BB2" w:rsidP="003C5073">
      <w:pPr>
        <w:spacing w:after="0" w:line="276" w:lineRule="auto"/>
        <w:ind w:firstLine="720"/>
        <w:jc w:val="both"/>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 xml:space="preserve">Deși CMC aprobă anual Nomenclatorul și tarifele pentru serviciile prestate de către instituțiile din subordine, cuantumul acestora nu a fost modificat/ indexat/ ajustat de la data stabilirii inițiale </w:t>
      </w:r>
      <w:r w:rsidR="00B56726"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variază de la 7 până la 17 ani</w:t>
      </w:r>
      <w:r w:rsidR="00B56726"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 fapt care generează diminuarea veniturilor încasate de la prestarea serviciilor cu plată</w:t>
      </w:r>
      <w:r w:rsidRPr="009E5B39">
        <w:rPr>
          <w:vertAlign w:val="superscript"/>
          <w:lang w:val="ro-MD"/>
        </w:rPr>
        <w:footnoteReference w:id="46"/>
      </w:r>
      <w:r w:rsidRPr="009E5B39">
        <w:rPr>
          <w:rFonts w:asciiTheme="majorHAnsi" w:hAnsiTheme="majorHAnsi" w:cstheme="majorHAnsi"/>
          <w:b/>
          <w:i/>
          <w:sz w:val="24"/>
          <w:szCs w:val="24"/>
          <w:lang w:val="ro-MD"/>
        </w:rPr>
        <w:t xml:space="preserve">.  </w:t>
      </w:r>
    </w:p>
    <w:p w14:paraId="78570A6E" w14:textId="6D16C990" w:rsidR="000C504A" w:rsidRPr="009E5B39" w:rsidRDefault="000C504A" w:rsidP="000C504A">
      <w:pPr>
        <w:tabs>
          <w:tab w:val="left" w:pos="0"/>
        </w:tabs>
        <w:spacing w:after="0" w:line="276" w:lineRule="auto"/>
        <w:contextualSpacing/>
        <w:jc w:val="both"/>
        <w:rPr>
          <w:rFonts w:asciiTheme="majorHAnsi" w:eastAsia="Calibri" w:hAnsiTheme="majorHAnsi" w:cstheme="majorHAnsi"/>
          <w:sz w:val="24"/>
          <w:szCs w:val="24"/>
          <w:lang w:val="ro-MD"/>
        </w:rPr>
      </w:pPr>
      <w:r w:rsidRPr="009E5B39">
        <w:rPr>
          <w:rFonts w:asciiTheme="majorHAnsi" w:eastAsia="Calibri" w:hAnsiTheme="majorHAnsi" w:cstheme="majorHAnsi"/>
          <w:b/>
          <w:i/>
          <w:iCs/>
          <w:sz w:val="24"/>
          <w:szCs w:val="24"/>
          <w:lang w:val="ro-MD"/>
        </w:rPr>
        <w:t>4.1.</w:t>
      </w:r>
      <w:r w:rsidR="00B56726" w:rsidRPr="009E5B39">
        <w:rPr>
          <w:rFonts w:asciiTheme="majorHAnsi" w:eastAsia="Calibri" w:hAnsiTheme="majorHAnsi" w:cstheme="majorHAnsi"/>
          <w:b/>
          <w:i/>
          <w:iCs/>
          <w:sz w:val="24"/>
          <w:szCs w:val="24"/>
          <w:lang w:val="ro-MD"/>
        </w:rPr>
        <w:t>10</w:t>
      </w:r>
      <w:r w:rsidRPr="009E5B39">
        <w:rPr>
          <w:rFonts w:asciiTheme="majorHAnsi" w:eastAsia="Calibri" w:hAnsiTheme="majorHAnsi" w:cstheme="majorHAnsi"/>
          <w:b/>
          <w:i/>
          <w:iCs/>
          <w:sz w:val="24"/>
          <w:szCs w:val="24"/>
          <w:lang w:val="ro-MD"/>
        </w:rPr>
        <w:t xml:space="preserve">.  </w:t>
      </w:r>
      <w:r w:rsidRPr="009E5B39">
        <w:rPr>
          <w:rFonts w:asciiTheme="majorHAnsi" w:eastAsia="Calibri" w:hAnsiTheme="majorHAnsi" w:cstheme="majorHAnsi"/>
          <w:sz w:val="24"/>
          <w:szCs w:val="24"/>
          <w:lang w:val="ro-MD"/>
        </w:rPr>
        <w:t xml:space="preserve">Pentru anul 2019, veniturile planificate de a fi încasate din arenda/ superficia și folosința terenurilor au fost subestimate cu circa </w:t>
      </w:r>
      <w:r w:rsidRPr="009E5B39">
        <w:rPr>
          <w:rFonts w:asciiTheme="majorHAnsi" w:eastAsia="Calibri" w:hAnsiTheme="majorHAnsi" w:cstheme="majorHAnsi"/>
          <w:b/>
          <w:sz w:val="24"/>
          <w:szCs w:val="24"/>
          <w:lang w:val="ro-MD"/>
        </w:rPr>
        <w:t>6759,92 mii lei</w:t>
      </w:r>
      <w:r w:rsidRPr="009E5B39">
        <w:rPr>
          <w:rFonts w:asciiTheme="majorHAnsi" w:eastAsia="Calibri" w:hAnsiTheme="majorHAnsi" w:cstheme="majorHAnsi"/>
          <w:sz w:val="24"/>
          <w:szCs w:val="24"/>
          <w:lang w:val="ro-MD"/>
        </w:rPr>
        <w:t>:</w:t>
      </w:r>
    </w:p>
    <w:tbl>
      <w:tblPr>
        <w:tblW w:w="926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1017"/>
        <w:gridCol w:w="1220"/>
        <w:gridCol w:w="1275"/>
        <w:gridCol w:w="1559"/>
        <w:gridCol w:w="1560"/>
        <w:gridCol w:w="1701"/>
      </w:tblGrid>
      <w:tr w:rsidR="000C504A" w:rsidRPr="009E5B39" w14:paraId="109A6178" w14:textId="77777777" w:rsidTr="0026150B">
        <w:trPr>
          <w:trHeight w:val="47"/>
        </w:trPr>
        <w:tc>
          <w:tcPr>
            <w:tcW w:w="934" w:type="dxa"/>
          </w:tcPr>
          <w:p w14:paraId="3E381519" w14:textId="77777777" w:rsidR="000C504A" w:rsidRPr="009E5B39" w:rsidRDefault="000C504A" w:rsidP="00971C1F">
            <w:pPr>
              <w:tabs>
                <w:tab w:val="left" w:pos="0"/>
              </w:tabs>
              <w:spacing w:after="0"/>
              <w:ind w:left="90"/>
              <w:contextualSpacing/>
              <w:jc w:val="both"/>
              <w:rPr>
                <w:rFonts w:asciiTheme="majorHAnsi" w:eastAsia="Calibri" w:hAnsiTheme="majorHAnsi" w:cstheme="majorHAnsi"/>
                <w:b/>
                <w:sz w:val="20"/>
                <w:szCs w:val="20"/>
                <w:lang w:val="ro-MD"/>
              </w:rPr>
            </w:pPr>
            <w:r w:rsidRPr="009E5B39">
              <w:rPr>
                <w:rFonts w:asciiTheme="majorHAnsi" w:eastAsia="Calibri" w:hAnsiTheme="majorHAnsi" w:cstheme="majorHAnsi"/>
                <w:b/>
                <w:sz w:val="16"/>
                <w:szCs w:val="16"/>
                <w:lang w:val="ro-MD"/>
              </w:rPr>
              <w:t xml:space="preserve">                                                        </w:t>
            </w:r>
            <w:r w:rsidRPr="009E5B39">
              <w:rPr>
                <w:rFonts w:asciiTheme="majorHAnsi" w:eastAsia="Calibri" w:hAnsiTheme="majorHAnsi" w:cstheme="majorHAnsi"/>
                <w:b/>
                <w:sz w:val="20"/>
                <w:szCs w:val="20"/>
                <w:lang w:val="ro-MD"/>
              </w:rPr>
              <w:t>Contul</w:t>
            </w:r>
          </w:p>
        </w:tc>
        <w:tc>
          <w:tcPr>
            <w:tcW w:w="1017" w:type="dxa"/>
          </w:tcPr>
          <w:p w14:paraId="088E32BB" w14:textId="77777777" w:rsidR="000C504A" w:rsidRPr="009E5B39" w:rsidRDefault="000C504A" w:rsidP="00971C1F">
            <w:pPr>
              <w:tabs>
                <w:tab w:val="left" w:pos="0"/>
              </w:tabs>
              <w:spacing w:after="0"/>
              <w:ind w:left="90"/>
              <w:contextualSpacing/>
              <w:jc w:val="both"/>
              <w:rPr>
                <w:rFonts w:asciiTheme="majorHAnsi" w:eastAsia="Calibri" w:hAnsiTheme="majorHAnsi" w:cstheme="majorHAnsi"/>
                <w:b/>
                <w:sz w:val="20"/>
                <w:szCs w:val="20"/>
                <w:lang w:val="ro-MD"/>
              </w:rPr>
            </w:pPr>
            <w:r w:rsidRPr="009E5B39">
              <w:rPr>
                <w:rFonts w:asciiTheme="majorHAnsi" w:eastAsia="Calibri" w:hAnsiTheme="majorHAnsi" w:cstheme="majorHAnsi"/>
                <w:b/>
                <w:sz w:val="20"/>
                <w:szCs w:val="20"/>
                <w:lang w:val="ro-MD"/>
              </w:rPr>
              <w:t>Perioada</w:t>
            </w:r>
          </w:p>
        </w:tc>
        <w:tc>
          <w:tcPr>
            <w:tcW w:w="1220" w:type="dxa"/>
          </w:tcPr>
          <w:p w14:paraId="523CF0D2" w14:textId="77777777" w:rsidR="000C504A" w:rsidRPr="009E5B39" w:rsidRDefault="000C504A" w:rsidP="00971C1F">
            <w:pPr>
              <w:tabs>
                <w:tab w:val="left" w:pos="0"/>
              </w:tabs>
              <w:spacing w:after="0"/>
              <w:ind w:left="90"/>
              <w:contextualSpacing/>
              <w:jc w:val="both"/>
              <w:rPr>
                <w:rFonts w:asciiTheme="majorHAnsi" w:eastAsia="Calibri" w:hAnsiTheme="majorHAnsi" w:cstheme="majorHAnsi"/>
                <w:b/>
                <w:sz w:val="20"/>
                <w:szCs w:val="20"/>
                <w:lang w:val="ro-MD"/>
              </w:rPr>
            </w:pPr>
            <w:r w:rsidRPr="009E5B39">
              <w:rPr>
                <w:rFonts w:asciiTheme="majorHAnsi" w:eastAsia="Calibri" w:hAnsiTheme="majorHAnsi" w:cstheme="majorHAnsi"/>
                <w:b/>
                <w:sz w:val="20"/>
                <w:szCs w:val="20"/>
                <w:lang w:val="ro-MD"/>
              </w:rPr>
              <w:t>Aprobat, mii lei</w:t>
            </w:r>
          </w:p>
        </w:tc>
        <w:tc>
          <w:tcPr>
            <w:tcW w:w="1275" w:type="dxa"/>
          </w:tcPr>
          <w:p w14:paraId="06EF8DAC" w14:textId="77777777" w:rsidR="000C504A" w:rsidRPr="009E5B39" w:rsidRDefault="000C504A" w:rsidP="00971C1F">
            <w:pPr>
              <w:tabs>
                <w:tab w:val="left" w:pos="0"/>
              </w:tabs>
              <w:spacing w:after="0"/>
              <w:ind w:left="90"/>
              <w:contextualSpacing/>
              <w:jc w:val="both"/>
              <w:rPr>
                <w:rFonts w:asciiTheme="majorHAnsi" w:eastAsia="Calibri" w:hAnsiTheme="majorHAnsi" w:cstheme="majorHAnsi"/>
                <w:b/>
                <w:sz w:val="20"/>
                <w:szCs w:val="20"/>
                <w:lang w:val="ro-MD"/>
              </w:rPr>
            </w:pPr>
            <w:r w:rsidRPr="009E5B39">
              <w:rPr>
                <w:rFonts w:asciiTheme="majorHAnsi" w:eastAsia="Calibri" w:hAnsiTheme="majorHAnsi" w:cstheme="majorHAnsi"/>
                <w:b/>
                <w:sz w:val="20"/>
                <w:szCs w:val="20"/>
                <w:lang w:val="ro-MD"/>
              </w:rPr>
              <w:t>Precizat, mii lei</w:t>
            </w:r>
          </w:p>
        </w:tc>
        <w:tc>
          <w:tcPr>
            <w:tcW w:w="1559" w:type="dxa"/>
          </w:tcPr>
          <w:p w14:paraId="2F1AA9BF" w14:textId="77777777" w:rsidR="000C504A" w:rsidRPr="009E5B39" w:rsidRDefault="000C504A" w:rsidP="00971C1F">
            <w:pPr>
              <w:tabs>
                <w:tab w:val="left" w:pos="0"/>
              </w:tabs>
              <w:spacing w:after="0"/>
              <w:ind w:left="90"/>
              <w:contextualSpacing/>
              <w:jc w:val="both"/>
              <w:rPr>
                <w:rFonts w:asciiTheme="majorHAnsi" w:eastAsia="Calibri" w:hAnsiTheme="majorHAnsi" w:cstheme="majorHAnsi"/>
                <w:b/>
                <w:sz w:val="20"/>
                <w:szCs w:val="20"/>
                <w:lang w:val="ro-MD"/>
              </w:rPr>
            </w:pPr>
            <w:r w:rsidRPr="009E5B39">
              <w:rPr>
                <w:rFonts w:asciiTheme="majorHAnsi" w:eastAsia="Calibri" w:hAnsiTheme="majorHAnsi" w:cstheme="majorHAnsi"/>
                <w:b/>
                <w:sz w:val="20"/>
                <w:szCs w:val="20"/>
                <w:lang w:val="ro-MD"/>
              </w:rPr>
              <w:t>Executat, mii lei</w:t>
            </w:r>
          </w:p>
        </w:tc>
        <w:tc>
          <w:tcPr>
            <w:tcW w:w="1560" w:type="dxa"/>
          </w:tcPr>
          <w:p w14:paraId="2CEEC8F3" w14:textId="77777777" w:rsidR="000C504A" w:rsidRPr="009E5B39" w:rsidRDefault="000C504A" w:rsidP="00971C1F">
            <w:pPr>
              <w:tabs>
                <w:tab w:val="left" w:pos="0"/>
              </w:tabs>
              <w:spacing w:after="0"/>
              <w:ind w:left="90"/>
              <w:contextualSpacing/>
              <w:jc w:val="both"/>
              <w:rPr>
                <w:rFonts w:asciiTheme="majorHAnsi" w:eastAsia="Calibri" w:hAnsiTheme="majorHAnsi" w:cstheme="majorHAnsi"/>
                <w:b/>
                <w:sz w:val="20"/>
                <w:szCs w:val="20"/>
                <w:lang w:val="ro-MD"/>
              </w:rPr>
            </w:pPr>
            <w:r w:rsidRPr="009E5B39">
              <w:rPr>
                <w:rFonts w:asciiTheme="majorHAnsi" w:eastAsia="Calibri" w:hAnsiTheme="majorHAnsi" w:cstheme="majorHAnsi"/>
                <w:b/>
                <w:sz w:val="20"/>
                <w:szCs w:val="20"/>
                <w:lang w:val="ro-MD"/>
              </w:rPr>
              <w:t>Venituri efective, mii lei</w:t>
            </w:r>
          </w:p>
        </w:tc>
        <w:tc>
          <w:tcPr>
            <w:tcW w:w="1701" w:type="dxa"/>
          </w:tcPr>
          <w:p w14:paraId="5F9FCD78" w14:textId="77777777" w:rsidR="000C504A" w:rsidRPr="009E5B39" w:rsidRDefault="000C504A" w:rsidP="00971C1F">
            <w:pPr>
              <w:tabs>
                <w:tab w:val="left" w:pos="0"/>
              </w:tabs>
              <w:spacing w:after="0"/>
              <w:ind w:left="90"/>
              <w:contextualSpacing/>
              <w:jc w:val="both"/>
              <w:rPr>
                <w:rFonts w:asciiTheme="majorHAnsi" w:eastAsia="Calibri" w:hAnsiTheme="majorHAnsi" w:cstheme="majorHAnsi"/>
                <w:b/>
                <w:sz w:val="20"/>
                <w:szCs w:val="20"/>
                <w:lang w:val="ro-MD"/>
              </w:rPr>
            </w:pPr>
            <w:r w:rsidRPr="009E5B39">
              <w:rPr>
                <w:rFonts w:asciiTheme="majorHAnsi" w:eastAsia="Calibri" w:hAnsiTheme="majorHAnsi" w:cstheme="majorHAnsi"/>
                <w:b/>
                <w:sz w:val="20"/>
                <w:szCs w:val="20"/>
                <w:lang w:val="ro-MD"/>
              </w:rPr>
              <w:t>Devieri, executat față de precizat</w:t>
            </w:r>
          </w:p>
        </w:tc>
      </w:tr>
      <w:tr w:rsidR="000C504A" w:rsidRPr="009E5B39" w14:paraId="6528295E" w14:textId="77777777" w:rsidTr="0026150B">
        <w:tc>
          <w:tcPr>
            <w:tcW w:w="934" w:type="dxa"/>
            <w:vMerge w:val="restart"/>
          </w:tcPr>
          <w:p w14:paraId="0D99E927" w14:textId="77777777" w:rsidR="000C504A" w:rsidRPr="009E5B39" w:rsidRDefault="000C504A" w:rsidP="00971C1F">
            <w:pPr>
              <w:tabs>
                <w:tab w:val="left" w:pos="0"/>
              </w:tabs>
              <w:spacing w:after="0"/>
              <w:ind w:left="90"/>
              <w:contextualSpacing/>
              <w:jc w:val="both"/>
              <w:rPr>
                <w:rFonts w:asciiTheme="majorHAnsi" w:eastAsia="Calibri" w:hAnsiTheme="majorHAnsi" w:cstheme="majorHAnsi"/>
                <w:sz w:val="20"/>
                <w:szCs w:val="20"/>
                <w:lang w:val="ro-MD"/>
              </w:rPr>
            </w:pPr>
          </w:p>
          <w:p w14:paraId="64922541" w14:textId="77777777" w:rsidR="000C504A" w:rsidRPr="009E5B39" w:rsidRDefault="000C504A" w:rsidP="00971C1F">
            <w:pPr>
              <w:tabs>
                <w:tab w:val="left" w:pos="0"/>
              </w:tabs>
              <w:spacing w:after="0"/>
              <w:ind w:left="90"/>
              <w:contextualSpacing/>
              <w:jc w:val="both"/>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141532</w:t>
            </w:r>
          </w:p>
        </w:tc>
        <w:tc>
          <w:tcPr>
            <w:tcW w:w="1017" w:type="dxa"/>
          </w:tcPr>
          <w:p w14:paraId="55AC0F45" w14:textId="77777777" w:rsidR="000C504A" w:rsidRPr="009E5B39" w:rsidRDefault="000C504A" w:rsidP="00971C1F">
            <w:pPr>
              <w:tabs>
                <w:tab w:val="left" w:pos="0"/>
              </w:tabs>
              <w:spacing w:after="0"/>
              <w:contextualSpacing/>
              <w:jc w:val="both"/>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 xml:space="preserve">    2018</w:t>
            </w:r>
          </w:p>
        </w:tc>
        <w:tc>
          <w:tcPr>
            <w:tcW w:w="1220" w:type="dxa"/>
          </w:tcPr>
          <w:p w14:paraId="44D2B00B"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27500,00</w:t>
            </w:r>
          </w:p>
        </w:tc>
        <w:tc>
          <w:tcPr>
            <w:tcW w:w="1275" w:type="dxa"/>
          </w:tcPr>
          <w:p w14:paraId="61B87800"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27500,00</w:t>
            </w:r>
          </w:p>
        </w:tc>
        <w:tc>
          <w:tcPr>
            <w:tcW w:w="1559" w:type="dxa"/>
          </w:tcPr>
          <w:p w14:paraId="7CE08850"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25237,17</w:t>
            </w:r>
          </w:p>
        </w:tc>
        <w:tc>
          <w:tcPr>
            <w:tcW w:w="1560" w:type="dxa"/>
          </w:tcPr>
          <w:p w14:paraId="4CDA6FFB"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25237,17</w:t>
            </w:r>
          </w:p>
        </w:tc>
        <w:tc>
          <w:tcPr>
            <w:tcW w:w="1701" w:type="dxa"/>
          </w:tcPr>
          <w:p w14:paraId="7306C107"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-2262.83</w:t>
            </w:r>
          </w:p>
        </w:tc>
      </w:tr>
      <w:tr w:rsidR="000C504A" w:rsidRPr="009E5B39" w14:paraId="303C0A67" w14:textId="77777777" w:rsidTr="0026150B">
        <w:tc>
          <w:tcPr>
            <w:tcW w:w="934" w:type="dxa"/>
            <w:vMerge/>
          </w:tcPr>
          <w:p w14:paraId="50C7F6DB" w14:textId="77777777" w:rsidR="000C504A" w:rsidRPr="009E5B39" w:rsidRDefault="000C504A" w:rsidP="00971C1F">
            <w:pPr>
              <w:tabs>
                <w:tab w:val="left" w:pos="0"/>
              </w:tabs>
              <w:spacing w:after="0"/>
              <w:ind w:left="90"/>
              <w:contextualSpacing/>
              <w:jc w:val="both"/>
              <w:rPr>
                <w:rFonts w:asciiTheme="majorHAnsi" w:eastAsia="Calibri" w:hAnsiTheme="majorHAnsi" w:cstheme="majorHAnsi"/>
                <w:sz w:val="20"/>
                <w:szCs w:val="20"/>
                <w:lang w:val="ro-MD"/>
              </w:rPr>
            </w:pPr>
          </w:p>
        </w:tc>
        <w:tc>
          <w:tcPr>
            <w:tcW w:w="1017" w:type="dxa"/>
          </w:tcPr>
          <w:p w14:paraId="22560521" w14:textId="77777777" w:rsidR="000C504A" w:rsidRPr="009E5B39" w:rsidRDefault="000C504A" w:rsidP="00971C1F">
            <w:pPr>
              <w:tabs>
                <w:tab w:val="left" w:pos="0"/>
              </w:tabs>
              <w:spacing w:after="0"/>
              <w:contextualSpacing/>
              <w:jc w:val="both"/>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 xml:space="preserve">    2019</w:t>
            </w:r>
          </w:p>
        </w:tc>
        <w:tc>
          <w:tcPr>
            <w:tcW w:w="1220" w:type="dxa"/>
          </w:tcPr>
          <w:p w14:paraId="590F8719"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25000,00</w:t>
            </w:r>
          </w:p>
        </w:tc>
        <w:tc>
          <w:tcPr>
            <w:tcW w:w="1275" w:type="dxa"/>
          </w:tcPr>
          <w:p w14:paraId="43BEA831"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25000,00</w:t>
            </w:r>
          </w:p>
        </w:tc>
        <w:tc>
          <w:tcPr>
            <w:tcW w:w="1559" w:type="dxa"/>
          </w:tcPr>
          <w:p w14:paraId="04473F0A"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31759,92</w:t>
            </w:r>
          </w:p>
        </w:tc>
        <w:tc>
          <w:tcPr>
            <w:tcW w:w="1560" w:type="dxa"/>
          </w:tcPr>
          <w:p w14:paraId="3C4A10F0"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31759,92</w:t>
            </w:r>
          </w:p>
        </w:tc>
        <w:tc>
          <w:tcPr>
            <w:tcW w:w="1701" w:type="dxa"/>
          </w:tcPr>
          <w:p w14:paraId="0078AAC5"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6759,92</w:t>
            </w:r>
          </w:p>
        </w:tc>
      </w:tr>
      <w:tr w:rsidR="000C504A" w:rsidRPr="009E5B39" w14:paraId="50357D76" w14:textId="77777777" w:rsidTr="0026150B">
        <w:tc>
          <w:tcPr>
            <w:tcW w:w="934" w:type="dxa"/>
            <w:vMerge/>
          </w:tcPr>
          <w:p w14:paraId="0A67EC29" w14:textId="77777777" w:rsidR="000C504A" w:rsidRPr="009E5B39" w:rsidRDefault="000C504A" w:rsidP="00971C1F">
            <w:pPr>
              <w:tabs>
                <w:tab w:val="left" w:pos="0"/>
              </w:tabs>
              <w:spacing w:after="0"/>
              <w:ind w:left="90"/>
              <w:contextualSpacing/>
              <w:jc w:val="both"/>
              <w:rPr>
                <w:rFonts w:asciiTheme="majorHAnsi" w:eastAsia="Calibri" w:hAnsiTheme="majorHAnsi" w:cstheme="majorHAnsi"/>
                <w:sz w:val="20"/>
                <w:szCs w:val="20"/>
                <w:lang w:val="ro-MD"/>
              </w:rPr>
            </w:pPr>
          </w:p>
        </w:tc>
        <w:tc>
          <w:tcPr>
            <w:tcW w:w="1017" w:type="dxa"/>
          </w:tcPr>
          <w:p w14:paraId="4FDB9E99" w14:textId="77777777" w:rsidR="000C504A" w:rsidRPr="009E5B39" w:rsidRDefault="000C504A" w:rsidP="00971C1F">
            <w:pPr>
              <w:tabs>
                <w:tab w:val="left" w:pos="0"/>
              </w:tabs>
              <w:spacing w:after="0"/>
              <w:contextualSpacing/>
              <w:jc w:val="both"/>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 xml:space="preserve">    2020</w:t>
            </w:r>
          </w:p>
        </w:tc>
        <w:tc>
          <w:tcPr>
            <w:tcW w:w="1220" w:type="dxa"/>
          </w:tcPr>
          <w:p w14:paraId="37603088"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27000,00</w:t>
            </w:r>
          </w:p>
        </w:tc>
        <w:tc>
          <w:tcPr>
            <w:tcW w:w="1275" w:type="dxa"/>
          </w:tcPr>
          <w:p w14:paraId="0032A495"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27000,00</w:t>
            </w:r>
          </w:p>
        </w:tc>
        <w:tc>
          <w:tcPr>
            <w:tcW w:w="1559" w:type="dxa"/>
          </w:tcPr>
          <w:p w14:paraId="31E08D12"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26580,95</w:t>
            </w:r>
          </w:p>
        </w:tc>
        <w:tc>
          <w:tcPr>
            <w:tcW w:w="1560" w:type="dxa"/>
          </w:tcPr>
          <w:p w14:paraId="0E90B413"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26580,95</w:t>
            </w:r>
          </w:p>
        </w:tc>
        <w:tc>
          <w:tcPr>
            <w:tcW w:w="1701" w:type="dxa"/>
          </w:tcPr>
          <w:p w14:paraId="6058F82B" w14:textId="77777777" w:rsidR="000C504A" w:rsidRPr="009E5B39" w:rsidRDefault="000C504A" w:rsidP="00971C1F">
            <w:pPr>
              <w:tabs>
                <w:tab w:val="left" w:pos="0"/>
              </w:tabs>
              <w:spacing w:after="0"/>
              <w:ind w:left="90"/>
              <w:contextualSpacing/>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-419.05</w:t>
            </w:r>
          </w:p>
        </w:tc>
      </w:tr>
    </w:tbl>
    <w:p w14:paraId="2F1AEAAA" w14:textId="77777777" w:rsidR="000C504A" w:rsidRPr="009E5B39" w:rsidRDefault="000C504A" w:rsidP="000C504A">
      <w:pPr>
        <w:tabs>
          <w:tab w:val="left" w:pos="0"/>
        </w:tabs>
        <w:spacing w:after="0" w:line="276" w:lineRule="auto"/>
        <w:ind w:left="284"/>
        <w:contextualSpacing/>
        <w:jc w:val="both"/>
        <w:rPr>
          <w:rFonts w:asciiTheme="majorHAnsi" w:eastAsia="Calibri" w:hAnsiTheme="majorHAnsi" w:cstheme="majorHAnsi"/>
          <w:i/>
          <w:sz w:val="18"/>
          <w:szCs w:val="18"/>
          <w:lang w:val="ro-MD"/>
        </w:rPr>
      </w:pPr>
      <w:r w:rsidRPr="009E5B39">
        <w:rPr>
          <w:rFonts w:asciiTheme="majorHAnsi" w:eastAsia="Calibri" w:hAnsiTheme="majorHAnsi" w:cstheme="majorHAnsi"/>
          <w:b/>
          <w:i/>
          <w:sz w:val="18"/>
          <w:szCs w:val="18"/>
          <w:lang w:val="ro-MD"/>
        </w:rPr>
        <w:t>Sursa:</w:t>
      </w:r>
      <w:r w:rsidRPr="009E5B39">
        <w:rPr>
          <w:rFonts w:asciiTheme="majorHAnsi" w:eastAsia="Calibri" w:hAnsiTheme="majorHAnsi" w:cstheme="majorHAnsi"/>
          <w:i/>
          <w:sz w:val="18"/>
          <w:szCs w:val="18"/>
          <w:lang w:val="ro-MD"/>
        </w:rPr>
        <w:t xml:space="preserve"> Raportul financiar privind executarea bugetului FD-044 pentru anii 2018-2020.</w:t>
      </w:r>
    </w:p>
    <w:p w14:paraId="30DD5BDF" w14:textId="41B55AC2" w:rsidR="00E35985" w:rsidRPr="009E5B39" w:rsidRDefault="0031592D" w:rsidP="0026150B">
      <w:pPr>
        <w:keepNext/>
        <w:keepLines/>
        <w:spacing w:before="240" w:after="0"/>
        <w:jc w:val="both"/>
        <w:outlineLvl w:val="1"/>
        <w:rPr>
          <w:rFonts w:asciiTheme="majorHAnsi" w:eastAsiaTheme="majorEastAsia" w:hAnsiTheme="majorHAnsi" w:cstheme="majorHAnsi"/>
          <w:b/>
          <w:iCs/>
          <w:sz w:val="24"/>
          <w:szCs w:val="24"/>
          <w:lang w:val="ro-MD"/>
        </w:rPr>
      </w:pPr>
      <w:bookmarkStart w:id="10" w:name="_Toc116026878"/>
      <w:r w:rsidRPr="009E5B39">
        <w:rPr>
          <w:rFonts w:asciiTheme="majorHAnsi" w:eastAsiaTheme="majorEastAsia" w:hAnsiTheme="majorHAnsi" w:cstheme="majorHAnsi"/>
          <w:b/>
          <w:iCs/>
          <w:sz w:val="24"/>
          <w:szCs w:val="24"/>
          <w:shd w:val="clear" w:color="auto" w:fill="FFFFFF"/>
          <w:lang w:val="ro-MD"/>
        </w:rPr>
        <w:t xml:space="preserve">4.2. </w:t>
      </w:r>
      <w:r w:rsidR="00AD1A47" w:rsidRPr="009E5B39">
        <w:rPr>
          <w:rFonts w:asciiTheme="majorHAnsi" w:eastAsiaTheme="majorEastAsia" w:hAnsiTheme="majorHAnsi" w:cstheme="majorHAnsi"/>
          <w:b/>
          <w:iCs/>
          <w:sz w:val="24"/>
          <w:szCs w:val="24"/>
          <w:shd w:val="clear" w:color="auto" w:fill="FFFFFF"/>
          <w:lang w:val="ro-MD"/>
        </w:rPr>
        <w:t>Obiectivul II</w:t>
      </w:r>
      <w:r w:rsidR="002B5A5A" w:rsidRPr="009E5B39">
        <w:rPr>
          <w:rFonts w:asciiTheme="majorHAnsi" w:eastAsiaTheme="majorEastAsia" w:hAnsiTheme="majorHAnsi" w:cstheme="majorHAnsi"/>
          <w:b/>
          <w:iCs/>
          <w:sz w:val="24"/>
          <w:szCs w:val="24"/>
          <w:shd w:val="clear" w:color="auto" w:fill="FFFFFF"/>
          <w:lang w:val="ro-MD"/>
        </w:rPr>
        <w:t xml:space="preserve"> :</w:t>
      </w:r>
      <w:r w:rsidR="00E35985" w:rsidRPr="009E5B39">
        <w:rPr>
          <w:rFonts w:asciiTheme="majorHAnsi" w:eastAsiaTheme="majorEastAsia" w:hAnsiTheme="majorHAnsi" w:cstheme="majorHAnsi"/>
          <w:b/>
          <w:iCs/>
          <w:sz w:val="24"/>
          <w:szCs w:val="24"/>
          <w:shd w:val="clear" w:color="auto" w:fill="FFFFFF"/>
          <w:lang w:val="ro-MD"/>
        </w:rPr>
        <w:t xml:space="preserve"> A  </w:t>
      </w:r>
      <w:r w:rsidR="00E35985" w:rsidRPr="009E5B39">
        <w:rPr>
          <w:rFonts w:asciiTheme="majorHAnsi" w:eastAsiaTheme="majorEastAsia" w:hAnsiTheme="majorHAnsi" w:cstheme="majorHAnsi"/>
          <w:b/>
          <w:iCs/>
          <w:sz w:val="24"/>
          <w:szCs w:val="24"/>
          <w:lang w:val="ro-MD"/>
        </w:rPr>
        <w:t>justificat</w:t>
      </w:r>
      <w:r w:rsidR="00E35985" w:rsidRPr="009E5B39">
        <w:rPr>
          <w:rFonts w:asciiTheme="majorHAnsi" w:eastAsiaTheme="majorEastAsia" w:hAnsiTheme="majorHAnsi" w:cstheme="majorHAnsi"/>
          <w:b/>
          <w:iCs/>
          <w:sz w:val="24"/>
          <w:szCs w:val="24"/>
          <w:shd w:val="clear" w:color="auto" w:fill="FFFFFF"/>
          <w:lang w:val="ro-MD"/>
        </w:rPr>
        <w:t xml:space="preserve"> UAT </w:t>
      </w:r>
      <w:r w:rsidR="00E35985" w:rsidRPr="009E5B39">
        <w:rPr>
          <w:rFonts w:asciiTheme="majorHAnsi" w:eastAsiaTheme="majorEastAsia" w:hAnsiTheme="majorHAnsi" w:cstheme="majorHAnsi"/>
          <w:b/>
          <w:iCs/>
          <w:sz w:val="24"/>
          <w:szCs w:val="24"/>
          <w:lang w:val="ro-MD"/>
        </w:rPr>
        <w:t>angajarea și gestionarea cheltuielilor potrivit cadrului regulator?</w:t>
      </w:r>
      <w:bookmarkEnd w:id="10"/>
      <w:r w:rsidR="00E35985" w:rsidRPr="009E5B39">
        <w:rPr>
          <w:rFonts w:asciiTheme="majorHAnsi" w:eastAsiaTheme="majorEastAsia" w:hAnsiTheme="majorHAnsi" w:cstheme="majorHAnsi"/>
          <w:b/>
          <w:iCs/>
          <w:sz w:val="24"/>
          <w:szCs w:val="24"/>
          <w:lang w:val="ro-MD"/>
        </w:rPr>
        <w:t xml:space="preserve"> </w:t>
      </w:r>
    </w:p>
    <w:p w14:paraId="371A3BD6" w14:textId="67BFF08B" w:rsidR="00E35985" w:rsidRPr="009E5B39" w:rsidRDefault="00E35985" w:rsidP="00EF4BC3">
      <w:pPr>
        <w:spacing w:after="0" w:line="276" w:lineRule="auto"/>
        <w:ind w:firstLine="709"/>
        <w:jc w:val="both"/>
        <w:rPr>
          <w:rFonts w:asciiTheme="majorHAnsi" w:eastAsia="Calibri" w:hAnsiTheme="majorHAnsi" w:cstheme="majorHAnsi"/>
          <w:sz w:val="24"/>
          <w:szCs w:val="24"/>
          <w:lang w:val="ro-MD"/>
        </w:rPr>
      </w:pPr>
      <w:r w:rsidRPr="009E5B39">
        <w:rPr>
          <w:rFonts w:asciiTheme="majorHAnsi" w:eastAsia="Calibri" w:hAnsiTheme="majorHAnsi" w:cstheme="majorHAnsi"/>
          <w:sz w:val="24"/>
          <w:szCs w:val="24"/>
          <w:lang w:val="ro-MD"/>
        </w:rPr>
        <w:t>Evaluarea managementului financiar al executării cheltuielilor bugetului UAT mun. Chișinău, prin prisma respectării cadrului regulator, denotă că acest domeniu a fost afectat de unele nereguli ș</w:t>
      </w:r>
      <w:r w:rsidR="005B52F2" w:rsidRPr="009E5B39">
        <w:rPr>
          <w:rFonts w:asciiTheme="majorHAnsi" w:eastAsia="Calibri" w:hAnsiTheme="majorHAnsi" w:cstheme="majorHAnsi"/>
          <w:sz w:val="24"/>
          <w:szCs w:val="24"/>
          <w:lang w:val="ro-MD"/>
        </w:rPr>
        <w:t xml:space="preserve">i abateri de la normele legale, </w:t>
      </w:r>
      <w:r w:rsidR="00E6123A" w:rsidRPr="009E5B39">
        <w:rPr>
          <w:rFonts w:asciiTheme="majorHAnsi" w:eastAsia="Calibri" w:hAnsiTheme="majorHAnsi" w:cstheme="majorHAnsi"/>
          <w:sz w:val="24"/>
          <w:szCs w:val="24"/>
          <w:lang w:val="ro-MD"/>
        </w:rPr>
        <w:t xml:space="preserve">ceea </w:t>
      </w:r>
      <w:r w:rsidR="005B52F2" w:rsidRPr="009E5B39">
        <w:rPr>
          <w:rFonts w:asciiTheme="majorHAnsi" w:eastAsia="Calibri" w:hAnsiTheme="majorHAnsi" w:cstheme="majorHAnsi"/>
          <w:sz w:val="24"/>
          <w:szCs w:val="24"/>
          <w:lang w:val="ro-MD"/>
        </w:rPr>
        <w:t xml:space="preserve">ce a </w:t>
      </w:r>
      <w:r w:rsidR="006A5455" w:rsidRPr="009E5B39">
        <w:rPr>
          <w:rFonts w:asciiTheme="majorHAnsi" w:eastAsia="Calibri" w:hAnsiTheme="majorHAnsi" w:cstheme="majorHAnsi"/>
          <w:sz w:val="24"/>
          <w:szCs w:val="24"/>
          <w:lang w:val="ro-MD"/>
        </w:rPr>
        <w:t>generat utilizarea neconformă a transferurilor cu destinație specială pentru infrastructura drumurilor, suportarea cheltuielilor suplimentare din bugetul municipal, cheltuielilor ineficiente și neregulamentare, precum și gestiunea defectuoasă a fondurilor publice.</w:t>
      </w:r>
      <w:r w:rsidRPr="009E5B39">
        <w:rPr>
          <w:rFonts w:asciiTheme="majorHAnsi" w:eastAsia="Calibri" w:hAnsiTheme="majorHAnsi" w:cstheme="majorHAnsi"/>
          <w:sz w:val="24"/>
          <w:szCs w:val="24"/>
          <w:lang w:val="ro-MD"/>
        </w:rPr>
        <w:t xml:space="preserve"> </w:t>
      </w:r>
      <w:r w:rsidRPr="009E5B39">
        <w:rPr>
          <w:rFonts w:asciiTheme="majorHAnsi" w:hAnsiTheme="majorHAnsi" w:cstheme="majorHAnsi"/>
          <w:sz w:val="24"/>
          <w:szCs w:val="24"/>
          <w:lang w:val="ro-MD"/>
        </w:rPr>
        <w:t xml:space="preserve">Cele menționate sunt efectul </w:t>
      </w:r>
      <w:r w:rsidR="00953FEC" w:rsidRPr="009E5B39">
        <w:rPr>
          <w:rFonts w:asciiTheme="majorHAnsi" w:hAnsiTheme="majorHAnsi" w:cstheme="majorHAnsi"/>
          <w:sz w:val="24"/>
          <w:szCs w:val="24"/>
          <w:lang w:val="ro-MD"/>
        </w:rPr>
        <w:t xml:space="preserve">lipsei activităților de </w:t>
      </w:r>
      <w:r w:rsidRPr="009E5B39">
        <w:rPr>
          <w:rFonts w:asciiTheme="majorHAnsi" w:hAnsiTheme="majorHAnsi" w:cstheme="majorHAnsi"/>
          <w:sz w:val="24"/>
          <w:szCs w:val="24"/>
          <w:lang w:val="ro-MD"/>
        </w:rPr>
        <w:t>control</w:t>
      </w:r>
      <w:r w:rsidR="0031592D" w:rsidRPr="009E5B39">
        <w:rPr>
          <w:rFonts w:asciiTheme="majorHAnsi" w:hAnsiTheme="majorHAnsi" w:cstheme="majorHAnsi"/>
          <w:sz w:val="24"/>
          <w:szCs w:val="24"/>
          <w:lang w:val="ro-MD"/>
        </w:rPr>
        <w:t xml:space="preserve"> </w:t>
      </w:r>
      <w:r w:rsidR="00953FEC" w:rsidRPr="009E5B39">
        <w:rPr>
          <w:rFonts w:asciiTheme="majorHAnsi" w:hAnsiTheme="majorHAnsi" w:cstheme="majorHAnsi"/>
          <w:sz w:val="24"/>
          <w:szCs w:val="24"/>
          <w:lang w:val="ro-MD"/>
        </w:rPr>
        <w:t>eficiente instituite în cadrul procesului bugetar</w:t>
      </w:r>
      <w:r w:rsidR="00D46BB2" w:rsidRPr="009E5B39">
        <w:rPr>
          <w:rFonts w:asciiTheme="majorHAnsi" w:hAnsiTheme="majorHAnsi" w:cstheme="majorHAnsi"/>
          <w:sz w:val="24"/>
          <w:szCs w:val="24"/>
          <w:lang w:val="ro-MD"/>
        </w:rPr>
        <w:t>.</w:t>
      </w:r>
      <w:r w:rsidR="00D46BB2" w:rsidRPr="009E5B39">
        <w:rPr>
          <w:rFonts w:asciiTheme="majorHAnsi" w:hAnsiTheme="majorHAnsi" w:cstheme="majorHAnsi"/>
          <w:strike/>
          <w:sz w:val="24"/>
          <w:szCs w:val="24"/>
          <w:lang w:val="ro-MD"/>
        </w:rPr>
        <w:t xml:space="preserve"> </w:t>
      </w:r>
    </w:p>
    <w:p w14:paraId="4BE6C30B" w14:textId="345159F8" w:rsidR="00E35985" w:rsidRPr="009E5B39" w:rsidRDefault="006A5455" w:rsidP="003C5073">
      <w:pPr>
        <w:spacing w:after="0" w:line="276" w:lineRule="auto"/>
        <w:jc w:val="both"/>
        <w:rPr>
          <w:rFonts w:asciiTheme="majorHAnsi" w:eastAsia="Times New Roman" w:hAnsiTheme="majorHAnsi" w:cstheme="majorHAnsi"/>
          <w:b/>
          <w:i/>
          <w:iCs/>
          <w:sz w:val="24"/>
          <w:szCs w:val="24"/>
          <w:lang w:val="ro-MD" w:eastAsia="ru-RU"/>
        </w:rPr>
      </w:pPr>
      <w:r w:rsidRPr="009E5B39">
        <w:rPr>
          <w:rFonts w:asciiTheme="majorHAnsi" w:hAnsiTheme="majorHAnsi" w:cstheme="majorHAnsi"/>
          <w:b/>
          <w:i/>
          <w:sz w:val="24"/>
          <w:szCs w:val="24"/>
          <w:lang w:val="ro-MD"/>
        </w:rPr>
        <w:t xml:space="preserve">4.2.1. </w:t>
      </w:r>
      <w:r w:rsidR="00E35985" w:rsidRPr="009E5B39">
        <w:rPr>
          <w:rFonts w:asciiTheme="majorHAnsi" w:hAnsiTheme="majorHAnsi" w:cstheme="majorHAnsi"/>
          <w:b/>
          <w:i/>
          <w:sz w:val="24"/>
          <w:szCs w:val="24"/>
          <w:lang w:val="ro-MD"/>
        </w:rPr>
        <w:t>Neexecutarea recomandării Curții de Conturi</w:t>
      </w:r>
      <w:r w:rsidR="00E35985" w:rsidRPr="009E5B39">
        <w:rPr>
          <w:rFonts w:asciiTheme="majorHAnsi" w:hAnsiTheme="majorHAnsi" w:cstheme="majorHAnsi"/>
          <w:b/>
          <w:i/>
          <w:sz w:val="24"/>
          <w:szCs w:val="24"/>
          <w:vertAlign w:val="superscript"/>
          <w:lang w:val="ro-MD"/>
        </w:rPr>
        <w:footnoteReference w:id="47"/>
      </w:r>
      <w:r w:rsidR="00E35985" w:rsidRPr="009E5B39">
        <w:rPr>
          <w:rFonts w:asciiTheme="majorHAnsi" w:hAnsiTheme="majorHAnsi" w:cstheme="majorHAnsi"/>
          <w:b/>
          <w:i/>
          <w:sz w:val="24"/>
          <w:szCs w:val="24"/>
          <w:lang w:val="ro-MD"/>
        </w:rPr>
        <w:t xml:space="preserve">, înaintată Ministerului </w:t>
      </w:r>
      <w:r w:rsidR="000A3A06" w:rsidRPr="009E5B39">
        <w:rPr>
          <w:rFonts w:asciiTheme="majorHAnsi" w:hAnsiTheme="majorHAnsi" w:cstheme="majorHAnsi"/>
          <w:b/>
          <w:i/>
          <w:sz w:val="24"/>
          <w:szCs w:val="24"/>
          <w:lang w:val="ro-MD"/>
        </w:rPr>
        <w:t>E</w:t>
      </w:r>
      <w:r w:rsidR="00E35985" w:rsidRPr="009E5B39">
        <w:rPr>
          <w:rFonts w:asciiTheme="majorHAnsi" w:hAnsiTheme="majorHAnsi" w:cstheme="majorHAnsi"/>
          <w:b/>
          <w:i/>
          <w:sz w:val="24"/>
          <w:szCs w:val="24"/>
          <w:lang w:val="ro-MD"/>
        </w:rPr>
        <w:t xml:space="preserve">conomiei și </w:t>
      </w:r>
      <w:r w:rsidR="000A3A06" w:rsidRPr="009E5B39">
        <w:rPr>
          <w:rFonts w:asciiTheme="majorHAnsi" w:hAnsiTheme="majorHAnsi" w:cstheme="majorHAnsi"/>
          <w:b/>
          <w:i/>
          <w:sz w:val="24"/>
          <w:szCs w:val="24"/>
          <w:lang w:val="ro-MD"/>
        </w:rPr>
        <w:t>I</w:t>
      </w:r>
      <w:r w:rsidR="00E35985" w:rsidRPr="009E5B39">
        <w:rPr>
          <w:rFonts w:asciiTheme="majorHAnsi" w:hAnsiTheme="majorHAnsi" w:cstheme="majorHAnsi"/>
          <w:b/>
          <w:i/>
          <w:sz w:val="24"/>
          <w:szCs w:val="24"/>
          <w:lang w:val="ro-MD"/>
        </w:rPr>
        <w:t>nfrastructurii</w:t>
      </w:r>
      <w:r w:rsidR="00921057"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 xml:space="preserve"> precum și excluderea din Anexa nr. 2 </w:t>
      </w:r>
      <w:r w:rsidR="00921057" w:rsidRPr="009E5B39">
        <w:rPr>
          <w:rFonts w:asciiTheme="majorHAnsi" w:hAnsiTheme="majorHAnsi" w:cstheme="majorHAnsi"/>
          <w:b/>
          <w:i/>
          <w:sz w:val="24"/>
          <w:szCs w:val="24"/>
          <w:lang w:val="ro-MD"/>
        </w:rPr>
        <w:t>la</w:t>
      </w:r>
      <w:r w:rsidR="00E35985" w:rsidRPr="009E5B39">
        <w:rPr>
          <w:rFonts w:asciiTheme="majorHAnsi" w:hAnsiTheme="majorHAnsi" w:cstheme="majorHAnsi"/>
          <w:b/>
          <w:i/>
          <w:sz w:val="24"/>
          <w:szCs w:val="24"/>
          <w:lang w:val="ro-MD"/>
        </w:rPr>
        <w:t xml:space="preserve"> HG nr.1468 din 31.12.2016 a denumirii UAT</w:t>
      </w:r>
      <w:r w:rsidR="00921057" w:rsidRPr="009E5B39">
        <w:rPr>
          <w:rFonts w:asciiTheme="majorHAnsi" w:hAnsiTheme="majorHAnsi" w:cstheme="majorHAnsi"/>
          <w:b/>
          <w:i/>
          <w:sz w:val="24"/>
          <w:szCs w:val="24"/>
          <w:lang w:val="ro-MD"/>
        </w:rPr>
        <w:t xml:space="preserve"> căreia i-</w:t>
      </w:r>
      <w:r w:rsidR="00E35985" w:rsidRPr="009E5B39">
        <w:rPr>
          <w:rFonts w:asciiTheme="majorHAnsi" w:hAnsiTheme="majorHAnsi" w:cstheme="majorHAnsi"/>
          <w:b/>
          <w:i/>
          <w:sz w:val="24"/>
          <w:szCs w:val="24"/>
          <w:lang w:val="ro-MD"/>
        </w:rPr>
        <w:t>au fost transmise</w:t>
      </w:r>
      <w:r w:rsidR="00921057"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 xml:space="preserve"> în anul 2017</w:t>
      </w:r>
      <w:r w:rsidR="00921057"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 xml:space="preserve"> drumurile publice locale de interes raional</w:t>
      </w:r>
      <w:r w:rsidR="00780AAA" w:rsidRPr="009E5B39">
        <w:rPr>
          <w:rStyle w:val="FootnoteReference"/>
          <w:rFonts w:asciiTheme="majorHAnsi" w:hAnsiTheme="majorHAnsi" w:cstheme="majorHAnsi"/>
          <w:b/>
          <w:i/>
          <w:sz w:val="24"/>
          <w:szCs w:val="24"/>
          <w:lang w:val="ro-MD"/>
        </w:rPr>
        <w:footnoteReference w:id="48"/>
      </w:r>
      <w:r w:rsidR="00E35985" w:rsidRPr="009E5B39">
        <w:rPr>
          <w:rFonts w:asciiTheme="majorHAnsi" w:hAnsiTheme="majorHAnsi" w:cstheme="majorHAnsi"/>
          <w:b/>
          <w:i/>
          <w:sz w:val="24"/>
          <w:szCs w:val="24"/>
          <w:lang w:val="ro-MD"/>
        </w:rPr>
        <w:t>,  creează o</w:t>
      </w:r>
      <w:r w:rsidR="00E35985" w:rsidRPr="009E5B39">
        <w:rPr>
          <w:rFonts w:asciiTheme="majorHAnsi" w:hAnsiTheme="majorHAnsi" w:cstheme="majorHAnsi"/>
          <w:sz w:val="24"/>
          <w:szCs w:val="24"/>
          <w:lang w:val="ro-MD"/>
        </w:rPr>
        <w:t xml:space="preserve"> </w:t>
      </w:r>
      <w:r w:rsidR="00E35985" w:rsidRPr="009E5B39">
        <w:rPr>
          <w:rFonts w:asciiTheme="majorHAnsi" w:eastAsia="Times New Roman" w:hAnsiTheme="majorHAnsi" w:cstheme="majorHAnsi"/>
          <w:b/>
          <w:i/>
          <w:iCs/>
          <w:sz w:val="24"/>
          <w:szCs w:val="24"/>
          <w:lang w:val="ro-MD" w:eastAsia="ru-RU"/>
        </w:rPr>
        <w:t>neclaritate privi</w:t>
      </w:r>
      <w:r w:rsidR="00921057" w:rsidRPr="009E5B39">
        <w:rPr>
          <w:rFonts w:asciiTheme="majorHAnsi" w:eastAsia="Times New Roman" w:hAnsiTheme="majorHAnsi" w:cstheme="majorHAnsi"/>
          <w:b/>
          <w:i/>
          <w:iCs/>
          <w:sz w:val="24"/>
          <w:szCs w:val="24"/>
          <w:lang w:val="ro-MD" w:eastAsia="ru-RU"/>
        </w:rPr>
        <w:t>nd</w:t>
      </w:r>
      <w:r w:rsidR="00E35985" w:rsidRPr="009E5B39">
        <w:rPr>
          <w:rFonts w:asciiTheme="majorHAnsi" w:eastAsia="Times New Roman" w:hAnsiTheme="majorHAnsi" w:cstheme="majorHAnsi"/>
          <w:b/>
          <w:i/>
          <w:iCs/>
          <w:sz w:val="24"/>
          <w:szCs w:val="24"/>
          <w:lang w:val="ro-MD" w:eastAsia="ru-RU"/>
        </w:rPr>
        <w:t xml:space="preserve"> lungimea drumurilor luate în considerație la calcularea transferurilor cu destinație specială pentru infrastructura drumurilor de interes raional</w:t>
      </w:r>
      <w:r w:rsidR="00420F96" w:rsidRPr="009E5B39">
        <w:rPr>
          <w:rFonts w:asciiTheme="majorHAnsi" w:eastAsia="Times New Roman" w:hAnsiTheme="majorHAnsi" w:cstheme="majorHAnsi"/>
          <w:b/>
          <w:i/>
          <w:iCs/>
          <w:sz w:val="24"/>
          <w:szCs w:val="24"/>
          <w:lang w:val="ro-MD" w:eastAsia="ru-RU"/>
        </w:rPr>
        <w:t>/municipal</w:t>
      </w:r>
      <w:r w:rsidR="00E35985" w:rsidRPr="009E5B39">
        <w:rPr>
          <w:rFonts w:asciiTheme="majorHAnsi" w:eastAsia="Times New Roman" w:hAnsiTheme="majorHAnsi" w:cstheme="majorHAnsi"/>
          <w:iCs/>
          <w:sz w:val="24"/>
          <w:szCs w:val="24"/>
          <w:lang w:val="ro-MD" w:eastAsia="ru-RU"/>
        </w:rPr>
        <w:t xml:space="preserve"> </w:t>
      </w:r>
      <w:r w:rsidR="00E35985" w:rsidRPr="009E5B39">
        <w:rPr>
          <w:rFonts w:asciiTheme="majorHAnsi" w:eastAsia="Times New Roman" w:hAnsiTheme="majorHAnsi" w:cstheme="majorHAnsi"/>
          <w:b/>
          <w:i/>
          <w:iCs/>
          <w:sz w:val="24"/>
          <w:szCs w:val="24"/>
          <w:lang w:val="ro-MD" w:eastAsia="ru-RU"/>
        </w:rPr>
        <w:t>pentru toate UAT de nivelul II din țară.</w:t>
      </w:r>
    </w:p>
    <w:p w14:paraId="6ED555EF" w14:textId="497BE36E" w:rsidR="00E35985" w:rsidRPr="009E5B39" w:rsidRDefault="00E35985" w:rsidP="00EF4BC3">
      <w:pPr>
        <w:spacing w:after="0" w:line="276" w:lineRule="auto"/>
        <w:ind w:firstLine="709"/>
        <w:jc w:val="both"/>
        <w:rPr>
          <w:rFonts w:asciiTheme="majorHAnsi" w:eastAsia="Times New Roman" w:hAnsiTheme="majorHAnsi" w:cstheme="majorHAnsi"/>
          <w:b/>
          <w:i/>
          <w:iCs/>
          <w:sz w:val="24"/>
          <w:szCs w:val="24"/>
          <w:lang w:val="ro-MD" w:eastAsia="ru-RU"/>
        </w:rPr>
      </w:pPr>
      <w:r w:rsidRPr="009E5B39">
        <w:rPr>
          <w:rFonts w:asciiTheme="majorHAnsi" w:eastAsia="Times New Roman" w:hAnsiTheme="majorHAnsi" w:cstheme="majorHAnsi"/>
          <w:bCs/>
          <w:iCs/>
          <w:sz w:val="24"/>
          <w:szCs w:val="24"/>
          <w:lang w:val="ro-MD"/>
        </w:rPr>
        <w:t xml:space="preserve">În perioada </w:t>
      </w:r>
      <w:r w:rsidR="00921057" w:rsidRPr="009E5B39">
        <w:rPr>
          <w:rFonts w:asciiTheme="majorHAnsi" w:eastAsia="Times New Roman" w:hAnsiTheme="majorHAnsi" w:cstheme="majorHAnsi"/>
          <w:bCs/>
          <w:iCs/>
          <w:sz w:val="24"/>
          <w:szCs w:val="24"/>
          <w:lang w:val="ro-MD"/>
        </w:rPr>
        <w:t xml:space="preserve">anilor </w:t>
      </w:r>
      <w:r w:rsidRPr="009E5B39">
        <w:rPr>
          <w:rFonts w:asciiTheme="majorHAnsi" w:eastAsia="Times New Roman" w:hAnsiTheme="majorHAnsi" w:cstheme="majorHAnsi"/>
          <w:bCs/>
          <w:iCs/>
          <w:sz w:val="24"/>
          <w:szCs w:val="24"/>
          <w:lang w:val="ro-MD"/>
        </w:rPr>
        <w:t>2018-2020</w:t>
      </w:r>
      <w:r w:rsidR="00921057" w:rsidRPr="009E5B39">
        <w:rPr>
          <w:rFonts w:asciiTheme="majorHAnsi" w:eastAsia="Times New Roman" w:hAnsiTheme="majorHAnsi" w:cstheme="majorHAnsi"/>
          <w:bCs/>
          <w:iCs/>
          <w:sz w:val="24"/>
          <w:szCs w:val="24"/>
          <w:lang w:val="ro-MD"/>
        </w:rPr>
        <w:t>,</w:t>
      </w:r>
      <w:r w:rsidRPr="009E5B39">
        <w:rPr>
          <w:rFonts w:asciiTheme="majorHAnsi" w:eastAsia="Times New Roman" w:hAnsiTheme="majorHAnsi" w:cstheme="majorHAnsi"/>
          <w:bCs/>
          <w:iCs/>
          <w:sz w:val="24"/>
          <w:szCs w:val="24"/>
          <w:lang w:val="ro-MD"/>
        </w:rPr>
        <w:t xml:space="preserve"> mun. Chișinău a beneficiat de TDS pentru infrastructura drumurilor publice în sumă totală de </w:t>
      </w:r>
      <w:r w:rsidRPr="009E5B39">
        <w:rPr>
          <w:rFonts w:asciiTheme="majorHAnsi" w:eastAsia="Times New Roman" w:hAnsiTheme="majorHAnsi" w:cstheme="majorHAnsi"/>
          <w:b/>
          <w:bCs/>
          <w:iCs/>
          <w:sz w:val="24"/>
          <w:szCs w:val="24"/>
          <w:lang w:val="ro-MD"/>
        </w:rPr>
        <w:t>426</w:t>
      </w:r>
      <w:r w:rsidR="009D6C8C" w:rsidRPr="009E5B39">
        <w:rPr>
          <w:rFonts w:asciiTheme="majorHAnsi" w:eastAsia="Times New Roman" w:hAnsiTheme="majorHAnsi" w:cstheme="majorHAnsi"/>
          <w:b/>
          <w:bCs/>
          <w:iCs/>
          <w:sz w:val="24"/>
          <w:szCs w:val="24"/>
          <w:lang w:val="ro-MD"/>
        </w:rPr>
        <w:t>,</w:t>
      </w:r>
      <w:r w:rsidRPr="009E5B39">
        <w:rPr>
          <w:rFonts w:asciiTheme="majorHAnsi" w:eastAsia="Times New Roman" w:hAnsiTheme="majorHAnsi" w:cstheme="majorHAnsi"/>
          <w:b/>
          <w:bCs/>
          <w:iCs/>
          <w:sz w:val="24"/>
          <w:szCs w:val="24"/>
          <w:lang w:val="ro-MD"/>
        </w:rPr>
        <w:t>8</w:t>
      </w:r>
      <w:r w:rsidR="009D6C8C" w:rsidRPr="009E5B39">
        <w:rPr>
          <w:rFonts w:asciiTheme="majorHAnsi" w:eastAsia="Times New Roman" w:hAnsiTheme="majorHAnsi" w:cstheme="majorHAnsi"/>
          <w:b/>
          <w:bCs/>
          <w:iCs/>
          <w:sz w:val="24"/>
          <w:szCs w:val="24"/>
          <w:lang w:val="ro-MD"/>
        </w:rPr>
        <w:t>8</w:t>
      </w:r>
      <w:r w:rsidRPr="009E5B39">
        <w:rPr>
          <w:rFonts w:asciiTheme="majorHAnsi" w:eastAsia="Times New Roman" w:hAnsiTheme="majorHAnsi" w:cstheme="majorHAnsi"/>
          <w:b/>
          <w:bCs/>
          <w:iCs/>
          <w:sz w:val="24"/>
          <w:szCs w:val="24"/>
          <w:lang w:val="ro-MD"/>
        </w:rPr>
        <w:t xml:space="preserve"> mi</w:t>
      </w:r>
      <w:r w:rsidR="009D6C8C" w:rsidRPr="009E5B39">
        <w:rPr>
          <w:rFonts w:asciiTheme="majorHAnsi" w:eastAsia="Times New Roman" w:hAnsiTheme="majorHAnsi" w:cstheme="majorHAnsi"/>
          <w:b/>
          <w:bCs/>
          <w:iCs/>
          <w:sz w:val="24"/>
          <w:szCs w:val="24"/>
          <w:lang w:val="ro-MD"/>
        </w:rPr>
        <w:t>l</w:t>
      </w:r>
      <w:r w:rsidR="00E6123A" w:rsidRPr="009E5B39">
        <w:rPr>
          <w:rFonts w:asciiTheme="majorHAnsi" w:eastAsia="Times New Roman" w:hAnsiTheme="majorHAnsi" w:cstheme="majorHAnsi"/>
          <w:b/>
          <w:bCs/>
          <w:iCs/>
          <w:sz w:val="24"/>
          <w:szCs w:val="24"/>
          <w:lang w:val="ro-MD"/>
        </w:rPr>
        <w:t>.</w:t>
      </w:r>
      <w:r w:rsidRPr="009E5B39">
        <w:rPr>
          <w:rFonts w:asciiTheme="majorHAnsi" w:eastAsia="Times New Roman" w:hAnsiTheme="majorHAnsi" w:cstheme="majorHAnsi"/>
          <w:b/>
          <w:bCs/>
          <w:iCs/>
          <w:sz w:val="24"/>
          <w:szCs w:val="24"/>
          <w:lang w:val="ro-MD"/>
        </w:rPr>
        <w:t xml:space="preserve"> lei</w:t>
      </w:r>
      <w:r w:rsidRPr="009E5B39">
        <w:rPr>
          <w:rFonts w:asciiTheme="majorHAnsi" w:eastAsia="Times New Roman" w:hAnsiTheme="majorHAnsi" w:cstheme="majorHAnsi"/>
          <w:bCs/>
          <w:iCs/>
          <w:sz w:val="24"/>
          <w:szCs w:val="24"/>
          <w:lang w:val="ro-MD"/>
        </w:rPr>
        <w:t xml:space="preserve">, din care: </w:t>
      </w:r>
      <w:r w:rsidRPr="009E5B39">
        <w:rPr>
          <w:rFonts w:asciiTheme="majorHAnsi" w:eastAsia="Times New Roman" w:hAnsiTheme="majorHAnsi" w:cstheme="majorHAnsi"/>
          <w:b/>
          <w:bCs/>
          <w:iCs/>
          <w:sz w:val="24"/>
          <w:szCs w:val="24"/>
          <w:lang w:val="ro-MD"/>
        </w:rPr>
        <w:t>203</w:t>
      </w:r>
      <w:r w:rsidR="009D6C8C" w:rsidRPr="009E5B39">
        <w:rPr>
          <w:rFonts w:asciiTheme="majorHAnsi" w:eastAsia="Times New Roman" w:hAnsiTheme="majorHAnsi" w:cstheme="majorHAnsi"/>
          <w:b/>
          <w:bCs/>
          <w:iCs/>
          <w:sz w:val="24"/>
          <w:szCs w:val="24"/>
          <w:lang w:val="ro-MD"/>
        </w:rPr>
        <w:t>,</w:t>
      </w:r>
      <w:r w:rsidRPr="009E5B39">
        <w:rPr>
          <w:rFonts w:asciiTheme="majorHAnsi" w:eastAsia="Times New Roman" w:hAnsiTheme="majorHAnsi" w:cstheme="majorHAnsi"/>
          <w:b/>
          <w:bCs/>
          <w:iCs/>
          <w:sz w:val="24"/>
          <w:szCs w:val="24"/>
          <w:lang w:val="ro-MD"/>
        </w:rPr>
        <w:t>36 mi</w:t>
      </w:r>
      <w:r w:rsidR="009D6C8C" w:rsidRPr="009E5B39">
        <w:rPr>
          <w:rFonts w:asciiTheme="majorHAnsi" w:eastAsia="Times New Roman" w:hAnsiTheme="majorHAnsi" w:cstheme="majorHAnsi"/>
          <w:b/>
          <w:bCs/>
          <w:iCs/>
          <w:sz w:val="24"/>
          <w:szCs w:val="24"/>
          <w:lang w:val="ro-MD"/>
        </w:rPr>
        <w:t>l</w:t>
      </w:r>
      <w:r w:rsidR="00E6123A" w:rsidRPr="009E5B39">
        <w:rPr>
          <w:rFonts w:asciiTheme="majorHAnsi" w:eastAsia="Times New Roman" w:hAnsiTheme="majorHAnsi" w:cstheme="majorHAnsi"/>
          <w:b/>
          <w:bCs/>
          <w:iCs/>
          <w:sz w:val="24"/>
          <w:szCs w:val="24"/>
          <w:lang w:val="ro-MD"/>
        </w:rPr>
        <w:t>.</w:t>
      </w:r>
      <w:r w:rsidRPr="009E5B39">
        <w:rPr>
          <w:rFonts w:asciiTheme="majorHAnsi" w:eastAsia="Times New Roman" w:hAnsiTheme="majorHAnsi" w:cstheme="majorHAnsi"/>
          <w:b/>
          <w:bCs/>
          <w:iCs/>
          <w:sz w:val="24"/>
          <w:szCs w:val="24"/>
          <w:lang w:val="ro-MD"/>
        </w:rPr>
        <w:t xml:space="preserve"> lei</w:t>
      </w:r>
      <w:r w:rsidRPr="009E5B39">
        <w:rPr>
          <w:rFonts w:asciiTheme="majorHAnsi" w:eastAsia="Times New Roman" w:hAnsiTheme="majorHAnsi" w:cstheme="majorHAnsi"/>
          <w:bCs/>
          <w:iCs/>
          <w:sz w:val="24"/>
          <w:szCs w:val="24"/>
          <w:lang w:val="ro-MD"/>
        </w:rPr>
        <w:t xml:space="preserve"> – pentru întreținerea drumurilor publice de interes raional (municipal)</w:t>
      </w:r>
      <w:r w:rsidR="00921057" w:rsidRPr="009E5B39">
        <w:rPr>
          <w:rFonts w:asciiTheme="majorHAnsi" w:eastAsia="Times New Roman" w:hAnsiTheme="majorHAnsi" w:cstheme="majorHAnsi"/>
          <w:bCs/>
          <w:iCs/>
          <w:sz w:val="24"/>
          <w:szCs w:val="24"/>
          <w:lang w:val="ro-MD"/>
        </w:rPr>
        <w:t>,</w:t>
      </w:r>
      <w:r w:rsidRPr="009E5B39">
        <w:rPr>
          <w:rFonts w:asciiTheme="majorHAnsi" w:eastAsia="Times New Roman" w:hAnsiTheme="majorHAnsi" w:cstheme="majorHAnsi"/>
          <w:bCs/>
          <w:iCs/>
          <w:sz w:val="24"/>
          <w:szCs w:val="24"/>
          <w:lang w:val="ro-MD"/>
        </w:rPr>
        <w:t xml:space="preserve"> și </w:t>
      </w:r>
      <w:r w:rsidRPr="009E5B39">
        <w:rPr>
          <w:rFonts w:asciiTheme="majorHAnsi" w:eastAsia="Times New Roman" w:hAnsiTheme="majorHAnsi" w:cstheme="majorHAnsi"/>
          <w:b/>
          <w:bCs/>
          <w:iCs/>
          <w:sz w:val="24"/>
          <w:szCs w:val="24"/>
          <w:lang w:val="ro-MD"/>
        </w:rPr>
        <w:t>223</w:t>
      </w:r>
      <w:r w:rsidR="009D6C8C" w:rsidRPr="009E5B39">
        <w:rPr>
          <w:rFonts w:asciiTheme="majorHAnsi" w:eastAsia="Times New Roman" w:hAnsiTheme="majorHAnsi" w:cstheme="majorHAnsi"/>
          <w:b/>
          <w:bCs/>
          <w:iCs/>
          <w:sz w:val="24"/>
          <w:szCs w:val="24"/>
          <w:lang w:val="ro-MD"/>
        </w:rPr>
        <w:t>,</w:t>
      </w:r>
      <w:r w:rsidRPr="009E5B39">
        <w:rPr>
          <w:rFonts w:asciiTheme="majorHAnsi" w:eastAsia="Times New Roman" w:hAnsiTheme="majorHAnsi" w:cstheme="majorHAnsi"/>
          <w:b/>
          <w:bCs/>
          <w:iCs/>
          <w:sz w:val="24"/>
          <w:szCs w:val="24"/>
          <w:lang w:val="ro-MD"/>
        </w:rPr>
        <w:t>5</w:t>
      </w:r>
      <w:r w:rsidR="009D6C8C" w:rsidRPr="009E5B39">
        <w:rPr>
          <w:rFonts w:asciiTheme="majorHAnsi" w:eastAsia="Times New Roman" w:hAnsiTheme="majorHAnsi" w:cstheme="majorHAnsi"/>
          <w:b/>
          <w:bCs/>
          <w:iCs/>
          <w:sz w:val="24"/>
          <w:szCs w:val="24"/>
          <w:lang w:val="ro-MD"/>
        </w:rPr>
        <w:t>2</w:t>
      </w:r>
      <w:r w:rsidRPr="009E5B39">
        <w:rPr>
          <w:rFonts w:asciiTheme="majorHAnsi" w:eastAsia="Times New Roman" w:hAnsiTheme="majorHAnsi" w:cstheme="majorHAnsi"/>
          <w:b/>
          <w:bCs/>
          <w:iCs/>
          <w:sz w:val="24"/>
          <w:szCs w:val="24"/>
          <w:lang w:val="ro-MD"/>
        </w:rPr>
        <w:t xml:space="preserve"> mi</w:t>
      </w:r>
      <w:r w:rsidR="009D6C8C" w:rsidRPr="009E5B39">
        <w:rPr>
          <w:rFonts w:asciiTheme="majorHAnsi" w:eastAsia="Times New Roman" w:hAnsiTheme="majorHAnsi" w:cstheme="majorHAnsi"/>
          <w:b/>
          <w:bCs/>
          <w:iCs/>
          <w:sz w:val="24"/>
          <w:szCs w:val="24"/>
          <w:lang w:val="ro-MD"/>
        </w:rPr>
        <w:t>l</w:t>
      </w:r>
      <w:r w:rsidR="00E6123A" w:rsidRPr="009E5B39">
        <w:rPr>
          <w:rFonts w:asciiTheme="majorHAnsi" w:eastAsia="Times New Roman" w:hAnsiTheme="majorHAnsi" w:cstheme="majorHAnsi"/>
          <w:b/>
          <w:bCs/>
          <w:iCs/>
          <w:sz w:val="24"/>
          <w:szCs w:val="24"/>
          <w:lang w:val="ro-MD"/>
        </w:rPr>
        <w:t>.</w:t>
      </w:r>
      <w:r w:rsidRPr="009E5B39">
        <w:rPr>
          <w:rFonts w:asciiTheme="majorHAnsi" w:eastAsia="Times New Roman" w:hAnsiTheme="majorHAnsi" w:cstheme="majorHAnsi"/>
          <w:b/>
          <w:bCs/>
          <w:iCs/>
          <w:sz w:val="24"/>
          <w:szCs w:val="24"/>
          <w:lang w:val="ro-MD"/>
        </w:rPr>
        <w:t xml:space="preserve"> lei</w:t>
      </w:r>
      <w:r w:rsidRPr="009E5B39">
        <w:rPr>
          <w:rFonts w:asciiTheme="majorHAnsi" w:eastAsia="Times New Roman" w:hAnsiTheme="majorHAnsi" w:cstheme="majorHAnsi"/>
          <w:bCs/>
          <w:iCs/>
          <w:sz w:val="24"/>
          <w:szCs w:val="24"/>
          <w:lang w:val="ro-MD"/>
        </w:rPr>
        <w:t xml:space="preserve"> – pentru întreținerea infrastructurii drumurilor de interes local</w:t>
      </w:r>
      <w:r w:rsidR="00D02BF7" w:rsidRPr="009E5B39">
        <w:rPr>
          <w:rFonts w:asciiTheme="majorHAnsi" w:eastAsia="Times New Roman" w:hAnsiTheme="majorHAnsi" w:cstheme="majorHAnsi"/>
          <w:bCs/>
          <w:iCs/>
          <w:sz w:val="24"/>
          <w:szCs w:val="24"/>
          <w:lang w:val="ro-MD"/>
        </w:rPr>
        <w:t xml:space="preserve">. Analiza </w:t>
      </w:r>
      <w:r w:rsidRPr="009E5B39">
        <w:rPr>
          <w:rFonts w:asciiTheme="majorHAnsi" w:eastAsia="Times New Roman" w:hAnsiTheme="majorHAnsi" w:cstheme="majorHAnsi"/>
          <w:bCs/>
          <w:iCs/>
          <w:sz w:val="24"/>
          <w:szCs w:val="24"/>
          <w:lang w:val="ro-MD"/>
        </w:rPr>
        <w:t xml:space="preserve"> utiliz</w:t>
      </w:r>
      <w:r w:rsidR="00D02BF7" w:rsidRPr="009E5B39">
        <w:rPr>
          <w:rFonts w:asciiTheme="majorHAnsi" w:eastAsia="Times New Roman" w:hAnsiTheme="majorHAnsi" w:cstheme="majorHAnsi"/>
          <w:bCs/>
          <w:iCs/>
          <w:sz w:val="24"/>
          <w:szCs w:val="24"/>
          <w:lang w:val="ro-MD"/>
        </w:rPr>
        <w:t>ării</w:t>
      </w:r>
      <w:r w:rsidRPr="009E5B39">
        <w:rPr>
          <w:rFonts w:asciiTheme="majorHAnsi" w:eastAsia="Times New Roman" w:hAnsiTheme="majorHAnsi" w:cstheme="majorHAnsi"/>
          <w:bCs/>
          <w:iCs/>
          <w:sz w:val="24"/>
          <w:szCs w:val="24"/>
          <w:lang w:val="ro-MD"/>
        </w:rPr>
        <w:t xml:space="preserve"> acestora </w:t>
      </w:r>
      <w:r w:rsidR="00D02BF7" w:rsidRPr="009E5B39">
        <w:rPr>
          <w:rFonts w:asciiTheme="majorHAnsi" w:eastAsia="Times New Roman" w:hAnsiTheme="majorHAnsi" w:cstheme="majorHAnsi"/>
          <w:bCs/>
          <w:iCs/>
          <w:sz w:val="24"/>
          <w:szCs w:val="24"/>
          <w:lang w:val="ro-MD"/>
        </w:rPr>
        <w:t xml:space="preserve">denotă </w:t>
      </w:r>
      <w:r w:rsidR="00921057" w:rsidRPr="009E5B39">
        <w:rPr>
          <w:rFonts w:asciiTheme="majorHAnsi" w:eastAsia="Times New Roman" w:hAnsiTheme="majorHAnsi" w:cstheme="majorHAnsi"/>
          <w:bCs/>
          <w:iCs/>
          <w:sz w:val="24"/>
          <w:szCs w:val="24"/>
          <w:lang w:val="ro-MD"/>
        </w:rPr>
        <w:t>următoarele</w:t>
      </w:r>
      <w:r w:rsidR="00D02BF7" w:rsidRPr="009E5B39">
        <w:rPr>
          <w:rFonts w:asciiTheme="majorHAnsi" w:eastAsia="Times New Roman" w:hAnsiTheme="majorHAnsi" w:cstheme="majorHAnsi"/>
          <w:bCs/>
          <w:iCs/>
          <w:sz w:val="24"/>
          <w:szCs w:val="24"/>
          <w:lang w:val="ro-MD"/>
        </w:rPr>
        <w:t>:</w:t>
      </w:r>
      <w:r w:rsidRPr="009E5B39">
        <w:rPr>
          <w:rFonts w:asciiTheme="majorHAnsi" w:eastAsia="Times New Roman" w:hAnsiTheme="majorHAnsi" w:cstheme="majorHAnsi"/>
          <w:bCs/>
          <w:iCs/>
          <w:sz w:val="24"/>
          <w:szCs w:val="24"/>
          <w:lang w:val="ro-MD"/>
        </w:rPr>
        <w:t xml:space="preserve"> </w:t>
      </w:r>
    </w:p>
    <w:p w14:paraId="094EA2F8" w14:textId="7BDFE33A" w:rsidR="00E35985" w:rsidRPr="009E5B39" w:rsidRDefault="00D02BF7" w:rsidP="00CC07C4">
      <w:pPr>
        <w:pStyle w:val="ListParagraph"/>
        <w:numPr>
          <w:ilvl w:val="0"/>
          <w:numId w:val="112"/>
        </w:numPr>
        <w:tabs>
          <w:tab w:val="left" w:pos="142"/>
          <w:tab w:val="left" w:pos="426"/>
        </w:tabs>
        <w:spacing w:after="0" w:line="276" w:lineRule="auto"/>
        <w:ind w:left="0" w:firstLine="360"/>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Deși cadrul normativ</w:t>
      </w:r>
      <w:r w:rsidRPr="009E5B39">
        <w:rPr>
          <w:rFonts w:eastAsia="Times New Roman"/>
          <w:iCs/>
          <w:vertAlign w:val="superscript"/>
          <w:lang w:val="ro-MD"/>
        </w:rPr>
        <w:footnoteReference w:id="49"/>
      </w:r>
      <w:r w:rsidRPr="009E5B39">
        <w:rPr>
          <w:rFonts w:asciiTheme="majorHAnsi" w:hAnsiTheme="majorHAnsi" w:cstheme="majorHAnsi"/>
          <w:i/>
          <w:sz w:val="24"/>
          <w:szCs w:val="24"/>
          <w:lang w:val="ro-MD"/>
        </w:rPr>
        <w:t xml:space="preserve"> prevede că APL de nivelul al doilea aprobă modul de distribuire a mijloacelor fondului rutier pe capitole de cheltuieli pentru drumurile de interes raional (municipal), </w:t>
      </w:r>
      <w:r w:rsidR="00E35985" w:rsidRPr="009E5B39">
        <w:rPr>
          <w:rFonts w:asciiTheme="majorHAnsi" w:hAnsiTheme="majorHAnsi" w:cstheme="majorHAnsi"/>
          <w:i/>
          <w:sz w:val="24"/>
          <w:szCs w:val="24"/>
          <w:lang w:val="ro-MD"/>
        </w:rPr>
        <w:t>CMC nu a</w:t>
      </w:r>
      <w:r w:rsidRPr="009E5B39">
        <w:rPr>
          <w:rFonts w:asciiTheme="majorHAnsi" w:hAnsiTheme="majorHAnsi" w:cstheme="majorHAnsi"/>
          <w:i/>
          <w:sz w:val="24"/>
          <w:szCs w:val="24"/>
          <w:lang w:val="ro-MD"/>
        </w:rPr>
        <w:t xml:space="preserve"> ținut cont de prevederile în cauză și</w:t>
      </w:r>
      <w:r w:rsidR="00E35985" w:rsidRPr="009E5B39">
        <w:rPr>
          <w:rFonts w:asciiTheme="majorHAnsi" w:hAnsiTheme="majorHAnsi" w:cstheme="majorHAnsi"/>
          <w:i/>
          <w:sz w:val="24"/>
          <w:szCs w:val="24"/>
          <w:lang w:val="ro-MD"/>
        </w:rPr>
        <w:t xml:space="preserve">, în perioada </w:t>
      </w:r>
      <w:r w:rsidR="00033989" w:rsidRPr="009E5B39">
        <w:rPr>
          <w:rFonts w:asciiTheme="majorHAnsi" w:hAnsiTheme="majorHAnsi" w:cstheme="majorHAnsi"/>
          <w:i/>
          <w:sz w:val="24"/>
          <w:szCs w:val="24"/>
          <w:lang w:val="ro-MD"/>
        </w:rPr>
        <w:t xml:space="preserve">anilor </w:t>
      </w:r>
      <w:r w:rsidR="00E35985" w:rsidRPr="009E5B39">
        <w:rPr>
          <w:rFonts w:asciiTheme="majorHAnsi" w:hAnsiTheme="majorHAnsi" w:cstheme="majorHAnsi"/>
          <w:i/>
          <w:sz w:val="24"/>
          <w:szCs w:val="24"/>
          <w:lang w:val="ro-MD"/>
        </w:rPr>
        <w:t xml:space="preserve">2018-2020, </w:t>
      </w:r>
      <w:r w:rsidRPr="009E5B39">
        <w:rPr>
          <w:rFonts w:asciiTheme="majorHAnsi" w:hAnsiTheme="majorHAnsi" w:cstheme="majorHAnsi"/>
          <w:i/>
          <w:sz w:val="24"/>
          <w:szCs w:val="24"/>
          <w:lang w:val="ro-MD"/>
        </w:rPr>
        <w:t xml:space="preserve">nu a aprobat distribuirea </w:t>
      </w:r>
      <w:r w:rsidR="00E35985" w:rsidRPr="009E5B39">
        <w:rPr>
          <w:rFonts w:asciiTheme="majorHAnsi" w:hAnsiTheme="majorHAnsi" w:cstheme="majorHAnsi"/>
          <w:i/>
          <w:sz w:val="24"/>
          <w:szCs w:val="24"/>
          <w:lang w:val="ro-MD"/>
        </w:rPr>
        <w:t>TDS pentru infrastructura drumurilor pe capitole de cheltuieli</w:t>
      </w:r>
      <w:r w:rsidR="00420F96" w:rsidRPr="009E5B39">
        <w:rPr>
          <w:rFonts w:asciiTheme="majorHAnsi" w:hAnsiTheme="majorHAnsi" w:cstheme="majorHAnsi"/>
          <w:i/>
          <w:sz w:val="24"/>
          <w:szCs w:val="24"/>
          <w:lang w:val="ro-MD"/>
        </w:rPr>
        <w:t xml:space="preserve">, deci nu a asigurat </w:t>
      </w:r>
      <w:r w:rsidR="00420F96" w:rsidRPr="009E5B39">
        <w:rPr>
          <w:rFonts w:asciiTheme="majorHAnsi" w:eastAsia="Times New Roman" w:hAnsiTheme="majorHAnsi" w:cstheme="majorHAnsi"/>
          <w:i/>
          <w:iCs/>
          <w:sz w:val="24"/>
          <w:szCs w:val="24"/>
          <w:lang w:val="ro-MD"/>
        </w:rPr>
        <w:t>utilizarea conform destinației a alocațiilor din TDS de la bugetul de stat</w:t>
      </w:r>
      <w:r w:rsidR="002613C8" w:rsidRPr="009E5B39">
        <w:rPr>
          <w:rFonts w:asciiTheme="majorHAnsi" w:hAnsiTheme="majorHAnsi" w:cstheme="majorHAnsi"/>
          <w:i/>
          <w:sz w:val="24"/>
          <w:szCs w:val="24"/>
          <w:lang w:val="ro-MD"/>
        </w:rPr>
        <w:t>.</w:t>
      </w:r>
      <w:r w:rsidR="00B22831" w:rsidRPr="009E5B39">
        <w:rPr>
          <w:rFonts w:asciiTheme="majorHAnsi" w:eastAsia="Times New Roman" w:hAnsiTheme="majorHAnsi" w:cstheme="majorHAnsi"/>
          <w:i/>
          <w:iCs/>
          <w:sz w:val="24"/>
          <w:szCs w:val="24"/>
          <w:lang w:val="ro-MD"/>
        </w:rPr>
        <w:t xml:space="preserve"> </w:t>
      </w:r>
      <w:r w:rsidR="002613C8" w:rsidRPr="009E5B39">
        <w:rPr>
          <w:rFonts w:asciiTheme="majorHAnsi" w:eastAsia="Times New Roman" w:hAnsiTheme="majorHAnsi" w:cstheme="majorHAnsi"/>
          <w:i/>
          <w:iCs/>
          <w:sz w:val="24"/>
          <w:szCs w:val="24"/>
          <w:lang w:val="ro-MD"/>
        </w:rPr>
        <w:t>S-a</w:t>
      </w:r>
      <w:r w:rsidR="00B22831" w:rsidRPr="009E5B39">
        <w:rPr>
          <w:rFonts w:asciiTheme="majorHAnsi" w:eastAsia="Times New Roman" w:hAnsiTheme="majorHAnsi" w:cstheme="majorHAnsi"/>
          <w:i/>
          <w:iCs/>
          <w:sz w:val="24"/>
          <w:szCs w:val="24"/>
          <w:lang w:val="ro-MD"/>
        </w:rPr>
        <w:t xml:space="preserve"> </w:t>
      </w:r>
      <w:r w:rsidR="00E35985" w:rsidRPr="009E5B39">
        <w:rPr>
          <w:rFonts w:asciiTheme="majorHAnsi" w:eastAsia="Times New Roman" w:hAnsiTheme="majorHAnsi" w:cstheme="majorHAnsi"/>
          <w:i/>
          <w:iCs/>
          <w:sz w:val="24"/>
          <w:szCs w:val="24"/>
          <w:lang w:val="ro-MD"/>
        </w:rPr>
        <w:t>l</w:t>
      </w:r>
      <w:r w:rsidR="00B22831" w:rsidRPr="009E5B39">
        <w:rPr>
          <w:rFonts w:asciiTheme="majorHAnsi" w:eastAsia="Times New Roman" w:hAnsiTheme="majorHAnsi" w:cstheme="majorHAnsi"/>
          <w:i/>
          <w:iCs/>
          <w:sz w:val="24"/>
          <w:szCs w:val="24"/>
          <w:lang w:val="ro-MD"/>
        </w:rPr>
        <w:t>ă</w:t>
      </w:r>
      <w:r w:rsidR="00E35985" w:rsidRPr="009E5B39">
        <w:rPr>
          <w:rFonts w:asciiTheme="majorHAnsi" w:eastAsia="Times New Roman" w:hAnsiTheme="majorHAnsi" w:cstheme="majorHAnsi"/>
          <w:i/>
          <w:iCs/>
          <w:sz w:val="24"/>
          <w:szCs w:val="24"/>
          <w:lang w:val="ro-MD"/>
        </w:rPr>
        <w:t>s</w:t>
      </w:r>
      <w:r w:rsidR="00B22831" w:rsidRPr="009E5B39">
        <w:rPr>
          <w:rFonts w:asciiTheme="majorHAnsi" w:eastAsia="Times New Roman" w:hAnsiTheme="majorHAnsi" w:cstheme="majorHAnsi"/>
          <w:i/>
          <w:iCs/>
          <w:sz w:val="24"/>
          <w:szCs w:val="24"/>
          <w:lang w:val="ro-MD"/>
        </w:rPr>
        <w:t>at</w:t>
      </w:r>
      <w:r w:rsidR="00E35985" w:rsidRPr="009E5B39">
        <w:rPr>
          <w:rFonts w:asciiTheme="majorHAnsi" w:eastAsia="Times New Roman" w:hAnsiTheme="majorHAnsi" w:cstheme="majorHAnsi"/>
          <w:i/>
          <w:iCs/>
          <w:sz w:val="24"/>
          <w:szCs w:val="24"/>
          <w:lang w:val="ro-MD"/>
        </w:rPr>
        <w:t xml:space="preserve"> la discreția autorității executive să decidă </w:t>
      </w:r>
      <w:r w:rsidR="002613C8" w:rsidRPr="009E5B39">
        <w:rPr>
          <w:rFonts w:asciiTheme="majorHAnsi" w:eastAsia="Times New Roman" w:hAnsiTheme="majorHAnsi" w:cstheme="majorHAnsi"/>
          <w:i/>
          <w:iCs/>
          <w:sz w:val="24"/>
          <w:szCs w:val="24"/>
          <w:lang w:val="ro-MD"/>
        </w:rPr>
        <w:t xml:space="preserve">asupra </w:t>
      </w:r>
      <w:r w:rsidR="00E35985" w:rsidRPr="009E5B39">
        <w:rPr>
          <w:rFonts w:asciiTheme="majorHAnsi" w:eastAsia="Times New Roman" w:hAnsiTheme="majorHAnsi" w:cstheme="majorHAnsi"/>
          <w:i/>
          <w:iCs/>
          <w:sz w:val="24"/>
          <w:szCs w:val="24"/>
          <w:lang w:val="ro-MD"/>
        </w:rPr>
        <w:t>obiectivul</w:t>
      </w:r>
      <w:r w:rsidR="002613C8" w:rsidRPr="009E5B39">
        <w:rPr>
          <w:rFonts w:asciiTheme="majorHAnsi" w:eastAsia="Times New Roman" w:hAnsiTheme="majorHAnsi" w:cstheme="majorHAnsi"/>
          <w:i/>
          <w:iCs/>
          <w:sz w:val="24"/>
          <w:szCs w:val="24"/>
          <w:lang w:val="ro-MD"/>
        </w:rPr>
        <w:t>ui</w:t>
      </w:r>
      <w:r w:rsidR="00E35985" w:rsidRPr="009E5B39">
        <w:rPr>
          <w:rFonts w:asciiTheme="majorHAnsi" w:eastAsia="Times New Roman" w:hAnsiTheme="majorHAnsi" w:cstheme="majorHAnsi"/>
          <w:i/>
          <w:iCs/>
          <w:sz w:val="24"/>
          <w:szCs w:val="24"/>
          <w:lang w:val="ro-MD"/>
        </w:rPr>
        <w:t xml:space="preserve"> care necesită a fi reparat, atât capital</w:t>
      </w:r>
      <w:r w:rsidR="002613C8" w:rsidRPr="009E5B39">
        <w:rPr>
          <w:rFonts w:asciiTheme="majorHAnsi" w:eastAsia="Times New Roman" w:hAnsiTheme="majorHAnsi" w:cstheme="majorHAnsi"/>
          <w:i/>
          <w:iCs/>
          <w:sz w:val="24"/>
          <w:szCs w:val="24"/>
          <w:lang w:val="ro-MD"/>
        </w:rPr>
        <w:t>,</w:t>
      </w:r>
      <w:r w:rsidR="00E35985" w:rsidRPr="009E5B39">
        <w:rPr>
          <w:rFonts w:asciiTheme="majorHAnsi" w:eastAsia="Times New Roman" w:hAnsiTheme="majorHAnsi" w:cstheme="majorHAnsi"/>
          <w:i/>
          <w:iCs/>
          <w:sz w:val="24"/>
          <w:szCs w:val="24"/>
          <w:lang w:val="ro-MD"/>
        </w:rPr>
        <w:t xml:space="preserve"> cât și curent. </w:t>
      </w:r>
    </w:p>
    <w:p w14:paraId="6CB7C02E" w14:textId="4026C829" w:rsidR="00B22831" w:rsidRPr="009E5B39" w:rsidRDefault="00B22831" w:rsidP="00CC07C4">
      <w:pPr>
        <w:pStyle w:val="ListParagraph"/>
        <w:numPr>
          <w:ilvl w:val="0"/>
          <w:numId w:val="112"/>
        </w:numPr>
        <w:tabs>
          <w:tab w:val="left" w:pos="142"/>
          <w:tab w:val="left" w:pos="426"/>
        </w:tabs>
        <w:spacing w:after="0" w:line="276" w:lineRule="auto"/>
        <w:ind w:left="0" w:firstLine="360"/>
        <w:jc w:val="both"/>
        <w:rPr>
          <w:rFonts w:asciiTheme="majorHAnsi" w:eastAsia="Times New Roman" w:hAnsiTheme="majorHAnsi" w:cstheme="majorHAnsi"/>
          <w:bCs/>
          <w:i/>
          <w:iCs/>
          <w:sz w:val="24"/>
          <w:szCs w:val="24"/>
          <w:lang w:val="ro-MD"/>
        </w:rPr>
      </w:pPr>
      <w:r w:rsidRPr="009E5B39">
        <w:rPr>
          <w:rFonts w:asciiTheme="majorHAnsi" w:eastAsia="Times New Roman" w:hAnsiTheme="majorHAnsi" w:cstheme="majorHAnsi"/>
          <w:i/>
          <w:sz w:val="24"/>
          <w:szCs w:val="24"/>
          <w:lang w:val="ro-MD"/>
        </w:rPr>
        <w:t>Contrar prevederilor art.12 alin.(2) și alin.(3) din Legea nr.397-XV din 16.10.2003, î</w:t>
      </w:r>
      <w:r w:rsidRPr="009E5B39">
        <w:rPr>
          <w:rFonts w:asciiTheme="majorHAnsi" w:eastAsia="Times New Roman" w:hAnsiTheme="majorHAnsi" w:cstheme="majorHAnsi"/>
          <w:bCs/>
          <w:i/>
          <w:iCs/>
          <w:sz w:val="24"/>
          <w:szCs w:val="24"/>
          <w:lang w:val="ro-MD"/>
        </w:rPr>
        <w:t xml:space="preserve">n perioada </w:t>
      </w:r>
      <w:r w:rsidR="00A941B1" w:rsidRPr="009E5B39">
        <w:rPr>
          <w:rFonts w:asciiTheme="majorHAnsi" w:eastAsia="Times New Roman" w:hAnsiTheme="majorHAnsi" w:cstheme="majorHAnsi"/>
          <w:bCs/>
          <w:i/>
          <w:iCs/>
          <w:sz w:val="24"/>
          <w:szCs w:val="24"/>
          <w:lang w:val="ro-MD"/>
        </w:rPr>
        <w:t xml:space="preserve">anilor </w:t>
      </w:r>
      <w:r w:rsidRPr="009E5B39">
        <w:rPr>
          <w:rFonts w:asciiTheme="majorHAnsi" w:eastAsia="Times New Roman" w:hAnsiTheme="majorHAnsi" w:cstheme="majorHAnsi"/>
          <w:bCs/>
          <w:i/>
          <w:iCs/>
          <w:sz w:val="24"/>
          <w:szCs w:val="24"/>
          <w:lang w:val="ro-MD"/>
        </w:rPr>
        <w:t>2018-2020</w:t>
      </w:r>
      <w:r w:rsidR="00A941B1" w:rsidRPr="009E5B39">
        <w:rPr>
          <w:rFonts w:asciiTheme="majorHAnsi" w:eastAsia="Times New Roman" w:hAnsiTheme="majorHAnsi" w:cstheme="majorHAnsi"/>
          <w:bCs/>
          <w:i/>
          <w:iCs/>
          <w:sz w:val="24"/>
          <w:szCs w:val="24"/>
          <w:lang w:val="ro-MD"/>
        </w:rPr>
        <w:t>,</w:t>
      </w:r>
      <w:r w:rsidRPr="009E5B39">
        <w:rPr>
          <w:rFonts w:asciiTheme="majorHAnsi" w:eastAsia="Times New Roman" w:hAnsiTheme="majorHAnsi" w:cstheme="majorHAnsi"/>
          <w:bCs/>
          <w:i/>
          <w:iCs/>
          <w:sz w:val="24"/>
          <w:szCs w:val="24"/>
          <w:lang w:val="ro-MD"/>
        </w:rPr>
        <w:t xml:space="preserve"> APL a mun. Chișinău a utilizat contrar destinației TDS pentru infrastructura drumu</w:t>
      </w:r>
      <w:r w:rsidR="00A941B1" w:rsidRPr="009E5B39">
        <w:rPr>
          <w:rFonts w:asciiTheme="majorHAnsi" w:eastAsia="Times New Roman" w:hAnsiTheme="majorHAnsi" w:cstheme="majorHAnsi"/>
          <w:bCs/>
          <w:i/>
          <w:iCs/>
          <w:sz w:val="24"/>
          <w:szCs w:val="24"/>
          <w:lang w:val="ro-MD"/>
        </w:rPr>
        <w:t>rilor</w:t>
      </w:r>
      <w:r w:rsidRPr="009E5B39">
        <w:rPr>
          <w:rFonts w:asciiTheme="majorHAnsi" w:eastAsia="Times New Roman" w:hAnsiTheme="majorHAnsi" w:cstheme="majorHAnsi"/>
          <w:bCs/>
          <w:i/>
          <w:iCs/>
          <w:sz w:val="24"/>
          <w:szCs w:val="24"/>
          <w:lang w:val="ro-MD"/>
        </w:rPr>
        <w:t xml:space="preserve"> în sumă totală de 31,78</w:t>
      </w:r>
      <w:r w:rsidRPr="009E5B39">
        <w:rPr>
          <w:bCs/>
          <w:iCs/>
          <w:vertAlign w:val="superscript"/>
          <w:lang w:val="ro-MD"/>
        </w:rPr>
        <w:footnoteReference w:id="50"/>
      </w:r>
      <w:r w:rsidRPr="009E5B39">
        <w:rPr>
          <w:rFonts w:asciiTheme="majorHAnsi" w:eastAsia="Times New Roman" w:hAnsiTheme="majorHAnsi" w:cstheme="majorHAnsi"/>
          <w:bCs/>
          <w:i/>
          <w:iCs/>
          <w:sz w:val="24"/>
          <w:szCs w:val="24"/>
          <w:lang w:val="ro-MD"/>
        </w:rPr>
        <w:t xml:space="preserve"> mil</w:t>
      </w:r>
      <w:r w:rsidR="00A941B1" w:rsidRPr="009E5B39">
        <w:rPr>
          <w:rFonts w:asciiTheme="majorHAnsi" w:eastAsia="Times New Roman" w:hAnsiTheme="majorHAnsi" w:cstheme="majorHAnsi"/>
          <w:bCs/>
          <w:i/>
          <w:iCs/>
          <w:sz w:val="24"/>
          <w:szCs w:val="24"/>
          <w:lang w:val="ro-MD"/>
        </w:rPr>
        <w:t>.</w:t>
      </w:r>
      <w:r w:rsidRPr="009E5B39">
        <w:rPr>
          <w:rFonts w:asciiTheme="majorHAnsi" w:eastAsia="Times New Roman" w:hAnsiTheme="majorHAnsi" w:cstheme="majorHAnsi"/>
          <w:bCs/>
          <w:i/>
          <w:iCs/>
          <w:sz w:val="24"/>
          <w:szCs w:val="24"/>
          <w:lang w:val="ro-MD"/>
        </w:rPr>
        <w:t xml:space="preserve"> lei, care a fost direcționată pentru achitarea lucrărilor de reconstrucție a infrastructurii tehnico-edilitare </w:t>
      </w:r>
      <w:r w:rsidRPr="009E5B39">
        <w:rPr>
          <w:rFonts w:asciiTheme="majorHAnsi" w:eastAsia="Times New Roman" w:hAnsiTheme="majorHAnsi" w:cstheme="majorHAnsi"/>
          <w:bCs/>
          <w:i/>
          <w:sz w:val="24"/>
          <w:szCs w:val="24"/>
          <w:lang w:val="ro-MD"/>
        </w:rPr>
        <w:t>(</w:t>
      </w:r>
      <w:r w:rsidRPr="009E5B39">
        <w:rPr>
          <w:rFonts w:asciiTheme="majorHAnsi" w:hAnsiTheme="majorHAnsi" w:cstheme="majorHAnsi"/>
          <w:bCs/>
          <w:i/>
          <w:sz w:val="24"/>
          <w:szCs w:val="24"/>
          <w:lang w:val="ro-MD"/>
        </w:rPr>
        <w:t>rețele electrice, rețele de telefonie, rețele de apeduct și de canalizare)</w:t>
      </w:r>
      <w:r w:rsidRPr="009E5B39">
        <w:rPr>
          <w:bCs/>
          <w:vertAlign w:val="superscript"/>
          <w:lang w:val="ro-MD"/>
        </w:rPr>
        <w:footnoteReference w:id="51"/>
      </w:r>
      <w:r w:rsidRPr="009E5B39">
        <w:rPr>
          <w:rFonts w:asciiTheme="majorHAnsi" w:hAnsiTheme="majorHAnsi" w:cstheme="majorHAnsi"/>
          <w:i/>
          <w:sz w:val="24"/>
          <w:szCs w:val="24"/>
          <w:lang w:val="ro-MD"/>
        </w:rPr>
        <w:t>.</w:t>
      </w:r>
    </w:p>
    <w:p w14:paraId="779E2EE7" w14:textId="4A6B2A8D" w:rsidR="00B22831" w:rsidRPr="009E5B39" w:rsidRDefault="00C17F44" w:rsidP="00CC07C4">
      <w:pPr>
        <w:pStyle w:val="ListParagraph"/>
        <w:numPr>
          <w:ilvl w:val="0"/>
          <w:numId w:val="112"/>
        </w:numPr>
        <w:tabs>
          <w:tab w:val="left" w:pos="142"/>
          <w:tab w:val="left" w:pos="426"/>
        </w:tabs>
        <w:spacing w:after="0" w:line="276" w:lineRule="auto"/>
        <w:ind w:left="0" w:firstLine="360"/>
        <w:jc w:val="both"/>
        <w:rPr>
          <w:rFonts w:asciiTheme="majorHAnsi" w:eastAsia="Times New Roman" w:hAnsiTheme="majorHAnsi" w:cstheme="majorHAnsi"/>
          <w:b/>
          <w:bCs/>
          <w:i/>
          <w:iCs/>
          <w:sz w:val="24"/>
          <w:szCs w:val="24"/>
          <w:lang w:val="ro-MD"/>
        </w:rPr>
      </w:pPr>
      <w:r w:rsidRPr="009E5B39">
        <w:rPr>
          <w:rFonts w:asciiTheme="majorHAnsi" w:eastAsia="Times New Roman" w:hAnsiTheme="majorHAnsi" w:cstheme="majorHAnsi"/>
          <w:bCs/>
          <w:i/>
          <w:iCs/>
          <w:sz w:val="24"/>
          <w:szCs w:val="24"/>
          <w:lang w:val="ro-MD"/>
        </w:rPr>
        <w:t>N</w:t>
      </w:r>
      <w:r w:rsidR="00B22831" w:rsidRPr="009E5B39">
        <w:rPr>
          <w:rFonts w:asciiTheme="majorHAnsi" w:eastAsia="Times New Roman" w:hAnsiTheme="majorHAnsi" w:cstheme="majorHAnsi"/>
          <w:bCs/>
          <w:i/>
          <w:iCs/>
          <w:sz w:val="24"/>
          <w:szCs w:val="24"/>
          <w:lang w:val="ro-MD"/>
        </w:rPr>
        <w:t>erespect</w:t>
      </w:r>
      <w:r w:rsidRPr="009E5B39">
        <w:rPr>
          <w:rFonts w:asciiTheme="majorHAnsi" w:eastAsia="Times New Roman" w:hAnsiTheme="majorHAnsi" w:cstheme="majorHAnsi"/>
          <w:bCs/>
          <w:i/>
          <w:iCs/>
          <w:sz w:val="24"/>
          <w:szCs w:val="24"/>
          <w:lang w:val="ro-MD"/>
        </w:rPr>
        <w:t>ându-se</w:t>
      </w:r>
      <w:r w:rsidR="00B22831" w:rsidRPr="009E5B39">
        <w:rPr>
          <w:rFonts w:asciiTheme="majorHAnsi" w:eastAsia="Times New Roman" w:hAnsiTheme="majorHAnsi" w:cstheme="majorHAnsi"/>
          <w:bCs/>
          <w:i/>
          <w:iCs/>
          <w:sz w:val="24"/>
          <w:szCs w:val="24"/>
          <w:lang w:val="ro-MD"/>
        </w:rPr>
        <w:t xml:space="preserve"> prevederil</w:t>
      </w:r>
      <w:r w:rsidRPr="009E5B39">
        <w:rPr>
          <w:rFonts w:asciiTheme="majorHAnsi" w:eastAsia="Times New Roman" w:hAnsiTheme="majorHAnsi" w:cstheme="majorHAnsi"/>
          <w:bCs/>
          <w:i/>
          <w:iCs/>
          <w:sz w:val="24"/>
          <w:szCs w:val="24"/>
          <w:lang w:val="ro-MD"/>
        </w:rPr>
        <w:t>e</w:t>
      </w:r>
      <w:r w:rsidR="00B22831" w:rsidRPr="009E5B39">
        <w:rPr>
          <w:rFonts w:asciiTheme="majorHAnsi" w:eastAsia="Times New Roman" w:hAnsiTheme="majorHAnsi" w:cstheme="majorHAnsi"/>
          <w:bCs/>
          <w:i/>
          <w:iCs/>
          <w:sz w:val="24"/>
          <w:szCs w:val="24"/>
          <w:lang w:val="ro-MD"/>
        </w:rPr>
        <w:t xml:space="preserve"> art.1 din Legea nr.720-XIII din 02.02.1996, TDS pentru infrastructura drumurilor publice de interes raional (municipal), alocate de la bugetul de stat în  funcție de numărul de kilometri administrați, au fost utiliza</w:t>
      </w:r>
      <w:r w:rsidRPr="009E5B39">
        <w:rPr>
          <w:rFonts w:asciiTheme="majorHAnsi" w:eastAsia="Times New Roman" w:hAnsiTheme="majorHAnsi" w:cstheme="majorHAnsi"/>
          <w:bCs/>
          <w:i/>
          <w:iCs/>
          <w:sz w:val="24"/>
          <w:szCs w:val="24"/>
          <w:lang w:val="ro-MD"/>
        </w:rPr>
        <w:t>te</w:t>
      </w:r>
      <w:r w:rsidR="00B22831" w:rsidRPr="009E5B39">
        <w:rPr>
          <w:rFonts w:asciiTheme="majorHAnsi" w:eastAsia="Times New Roman" w:hAnsiTheme="majorHAnsi" w:cstheme="majorHAnsi"/>
          <w:bCs/>
          <w:i/>
          <w:iCs/>
          <w:sz w:val="24"/>
          <w:szCs w:val="24"/>
          <w:lang w:val="ro-MD"/>
        </w:rPr>
        <w:t xml:space="preserve"> pentru infrastructura drumurilor publice de interes local.</w:t>
      </w:r>
      <w:r w:rsidR="00B22831" w:rsidRPr="009E5B39">
        <w:rPr>
          <w:rFonts w:asciiTheme="majorHAnsi" w:eastAsia="Times New Roman" w:hAnsiTheme="majorHAnsi" w:cstheme="majorHAnsi"/>
          <w:b/>
          <w:bCs/>
          <w:i/>
          <w:iCs/>
          <w:sz w:val="24"/>
          <w:szCs w:val="24"/>
          <w:lang w:val="ro-MD"/>
        </w:rPr>
        <w:t xml:space="preserve"> </w:t>
      </w:r>
      <w:r w:rsidR="00B22831" w:rsidRPr="009E5B39">
        <w:rPr>
          <w:rFonts w:asciiTheme="majorHAnsi" w:hAnsiTheme="majorHAnsi" w:cstheme="majorHAnsi"/>
          <w:sz w:val="24"/>
          <w:szCs w:val="24"/>
          <w:lang w:val="ro-MD"/>
        </w:rPr>
        <w:t>În perioada auditată</w:t>
      </w:r>
      <w:r w:rsidRPr="009E5B39">
        <w:rPr>
          <w:rFonts w:asciiTheme="majorHAnsi" w:hAnsiTheme="majorHAnsi" w:cstheme="majorHAnsi"/>
          <w:sz w:val="24"/>
          <w:szCs w:val="24"/>
          <w:lang w:val="ro-MD"/>
        </w:rPr>
        <w:t>,</w:t>
      </w:r>
      <w:r w:rsidR="00B22831" w:rsidRPr="009E5B39">
        <w:rPr>
          <w:rFonts w:asciiTheme="majorHAnsi" w:hAnsiTheme="majorHAnsi" w:cstheme="majorHAnsi"/>
          <w:sz w:val="24"/>
          <w:szCs w:val="24"/>
          <w:lang w:val="ro-MD"/>
        </w:rPr>
        <w:t xml:space="preserve"> din suma TDS pentru întreținerea infrastructurii drumurilor de interes raional (municipal) au fost utilizate mijloace financiare în sumă de numai </w:t>
      </w:r>
      <w:r w:rsidR="00B22831" w:rsidRPr="009E5B39">
        <w:rPr>
          <w:rFonts w:asciiTheme="majorHAnsi" w:hAnsiTheme="majorHAnsi" w:cstheme="majorHAnsi"/>
          <w:b/>
          <w:sz w:val="24"/>
          <w:szCs w:val="24"/>
          <w:lang w:val="ro-MD"/>
        </w:rPr>
        <w:t>10,35 mil</w:t>
      </w:r>
      <w:r w:rsidRPr="009E5B39">
        <w:rPr>
          <w:rFonts w:asciiTheme="majorHAnsi" w:hAnsiTheme="majorHAnsi" w:cstheme="majorHAnsi"/>
          <w:b/>
          <w:sz w:val="24"/>
          <w:szCs w:val="24"/>
          <w:lang w:val="ro-MD"/>
        </w:rPr>
        <w:t>.</w:t>
      </w:r>
      <w:r w:rsidR="00B22831" w:rsidRPr="009E5B39">
        <w:rPr>
          <w:rFonts w:asciiTheme="majorHAnsi" w:hAnsiTheme="majorHAnsi" w:cstheme="majorHAnsi"/>
          <w:b/>
          <w:sz w:val="24"/>
          <w:szCs w:val="24"/>
          <w:lang w:val="ro-MD"/>
        </w:rPr>
        <w:t xml:space="preserve"> lei</w:t>
      </w:r>
      <w:r w:rsidR="00B22831" w:rsidRPr="009E5B39">
        <w:rPr>
          <w:rFonts w:asciiTheme="majorHAnsi" w:hAnsiTheme="majorHAnsi" w:cstheme="majorHAnsi"/>
          <w:sz w:val="24"/>
          <w:szCs w:val="24"/>
          <w:lang w:val="ro-MD"/>
        </w:rPr>
        <w:t xml:space="preserve">, sau cu </w:t>
      </w:r>
      <w:r w:rsidR="00B22831" w:rsidRPr="009E5B39">
        <w:rPr>
          <w:rFonts w:asciiTheme="majorHAnsi" w:hAnsiTheme="majorHAnsi" w:cstheme="majorHAnsi"/>
          <w:b/>
          <w:sz w:val="24"/>
          <w:szCs w:val="24"/>
          <w:lang w:val="ro-MD"/>
        </w:rPr>
        <w:t>193,01 mil</w:t>
      </w:r>
      <w:r w:rsidRPr="009E5B39">
        <w:rPr>
          <w:rFonts w:asciiTheme="majorHAnsi" w:hAnsiTheme="majorHAnsi" w:cstheme="majorHAnsi"/>
          <w:b/>
          <w:sz w:val="24"/>
          <w:szCs w:val="24"/>
          <w:lang w:val="ro-MD"/>
        </w:rPr>
        <w:t>.</w:t>
      </w:r>
      <w:r w:rsidR="00B22831" w:rsidRPr="009E5B39">
        <w:rPr>
          <w:rFonts w:asciiTheme="majorHAnsi" w:hAnsiTheme="majorHAnsi" w:cstheme="majorHAnsi"/>
          <w:b/>
          <w:sz w:val="24"/>
          <w:szCs w:val="24"/>
          <w:lang w:val="ro-MD"/>
        </w:rPr>
        <w:t xml:space="preserve"> lei</w:t>
      </w:r>
      <w:r w:rsidR="00B22831" w:rsidRPr="009E5B39">
        <w:rPr>
          <w:rFonts w:asciiTheme="majorHAnsi" w:hAnsiTheme="majorHAnsi" w:cstheme="majorHAnsi"/>
          <w:sz w:val="24"/>
          <w:szCs w:val="24"/>
          <w:lang w:val="ro-MD"/>
        </w:rPr>
        <w:t xml:space="preserve"> mai puțin decât </w:t>
      </w:r>
      <w:r w:rsidRPr="009E5B39">
        <w:rPr>
          <w:rFonts w:asciiTheme="majorHAnsi" w:hAnsiTheme="majorHAnsi" w:cstheme="majorHAnsi"/>
          <w:sz w:val="24"/>
          <w:szCs w:val="24"/>
          <w:lang w:val="ro-MD"/>
        </w:rPr>
        <w:t>s-</w:t>
      </w:r>
      <w:r w:rsidR="00B22831" w:rsidRPr="009E5B39">
        <w:rPr>
          <w:rFonts w:asciiTheme="majorHAnsi" w:hAnsiTheme="majorHAnsi" w:cstheme="majorHAnsi"/>
          <w:sz w:val="24"/>
          <w:szCs w:val="24"/>
          <w:lang w:val="ro-MD"/>
        </w:rPr>
        <w:t>au alocat în acest scop</w:t>
      </w:r>
      <w:r w:rsidRPr="009E5B39">
        <w:rPr>
          <w:rFonts w:asciiTheme="majorHAnsi" w:hAnsiTheme="majorHAnsi" w:cstheme="majorHAnsi"/>
          <w:sz w:val="24"/>
          <w:szCs w:val="24"/>
          <w:lang w:val="ro-MD"/>
        </w:rPr>
        <w:t>, p</w:t>
      </w:r>
      <w:r w:rsidR="00B22831" w:rsidRPr="009E5B39">
        <w:rPr>
          <w:rFonts w:asciiTheme="majorHAnsi" w:hAnsiTheme="majorHAnsi" w:cstheme="majorHAnsi"/>
          <w:sz w:val="24"/>
          <w:szCs w:val="24"/>
          <w:lang w:val="ro-MD"/>
        </w:rPr>
        <w:t xml:space="preserve">e când pentru întreținerea infrastructurii drumurilor publice locale au fost utilizate TDS cu </w:t>
      </w:r>
      <w:r w:rsidR="00B22831" w:rsidRPr="009E5B39">
        <w:rPr>
          <w:rFonts w:asciiTheme="majorHAnsi" w:hAnsiTheme="majorHAnsi" w:cstheme="majorHAnsi"/>
          <w:b/>
          <w:sz w:val="24"/>
          <w:szCs w:val="24"/>
          <w:lang w:val="ro-MD"/>
        </w:rPr>
        <w:t>162,81 mil</w:t>
      </w:r>
      <w:r w:rsidRPr="009E5B39">
        <w:rPr>
          <w:rFonts w:asciiTheme="majorHAnsi" w:hAnsiTheme="majorHAnsi" w:cstheme="majorHAnsi"/>
          <w:b/>
          <w:sz w:val="24"/>
          <w:szCs w:val="24"/>
          <w:lang w:val="ro-MD"/>
        </w:rPr>
        <w:t>.</w:t>
      </w:r>
      <w:r w:rsidR="00B22831" w:rsidRPr="009E5B39">
        <w:rPr>
          <w:rFonts w:asciiTheme="majorHAnsi" w:hAnsiTheme="majorHAnsi" w:cstheme="majorHAnsi"/>
          <w:b/>
          <w:sz w:val="24"/>
          <w:szCs w:val="24"/>
          <w:lang w:val="ro-MD"/>
        </w:rPr>
        <w:t xml:space="preserve"> lei</w:t>
      </w:r>
      <w:r w:rsidR="00B22831" w:rsidRPr="009E5B39">
        <w:rPr>
          <w:rFonts w:asciiTheme="majorHAnsi" w:hAnsiTheme="majorHAnsi" w:cstheme="majorHAnsi"/>
          <w:sz w:val="24"/>
          <w:szCs w:val="24"/>
          <w:lang w:val="ro-MD"/>
        </w:rPr>
        <w:t xml:space="preserve"> mai mult decât suma alocată </w:t>
      </w:r>
      <w:r w:rsidRPr="009E5B39">
        <w:rPr>
          <w:rFonts w:asciiTheme="majorHAnsi" w:hAnsiTheme="majorHAnsi" w:cstheme="majorHAnsi"/>
          <w:sz w:val="24"/>
          <w:szCs w:val="24"/>
          <w:lang w:val="ro-MD"/>
        </w:rPr>
        <w:t>în acest scop</w:t>
      </w:r>
      <w:r w:rsidR="00B22831" w:rsidRPr="009E5B39">
        <w:rPr>
          <w:rFonts w:asciiTheme="majorHAnsi" w:hAnsiTheme="majorHAnsi" w:cstheme="majorHAnsi"/>
          <w:sz w:val="24"/>
          <w:szCs w:val="24"/>
          <w:lang w:val="ro-MD"/>
        </w:rPr>
        <w:t>.</w:t>
      </w:r>
      <w:r w:rsidR="00B22831" w:rsidRPr="009E5B39">
        <w:rPr>
          <w:rFonts w:asciiTheme="majorHAnsi" w:eastAsia="Times New Roman" w:hAnsiTheme="majorHAnsi" w:cstheme="majorHAnsi"/>
          <w:sz w:val="24"/>
          <w:szCs w:val="24"/>
          <w:lang w:val="ro-MD"/>
        </w:rPr>
        <w:t xml:space="preserve"> Totodată, în anul 2018, din TDS primite </w:t>
      </w:r>
      <w:r w:rsidRPr="009E5B39">
        <w:rPr>
          <w:rFonts w:asciiTheme="majorHAnsi" w:eastAsia="Times New Roman" w:hAnsiTheme="majorHAnsi" w:cstheme="majorHAnsi"/>
          <w:sz w:val="24"/>
          <w:szCs w:val="24"/>
          <w:lang w:val="ro-MD"/>
        </w:rPr>
        <w:t>s-</w:t>
      </w:r>
      <w:r w:rsidR="00B22831" w:rsidRPr="009E5B39">
        <w:rPr>
          <w:rFonts w:asciiTheme="majorHAnsi" w:eastAsia="Times New Roman" w:hAnsiTheme="majorHAnsi" w:cstheme="majorHAnsi"/>
          <w:sz w:val="24"/>
          <w:szCs w:val="24"/>
          <w:lang w:val="ro-MD"/>
        </w:rPr>
        <w:t xml:space="preserve">a achitat </w:t>
      </w:r>
      <w:r w:rsidR="00B22831" w:rsidRPr="009E5B39">
        <w:rPr>
          <w:rFonts w:asciiTheme="majorHAnsi" w:eastAsia="Times New Roman" w:hAnsiTheme="majorHAnsi" w:cstheme="majorHAnsi"/>
          <w:b/>
          <w:sz w:val="24"/>
          <w:szCs w:val="24"/>
          <w:lang w:val="ro-MD"/>
        </w:rPr>
        <w:t>1,0 mil</w:t>
      </w:r>
      <w:r w:rsidRPr="009E5B39">
        <w:rPr>
          <w:rFonts w:asciiTheme="majorHAnsi" w:eastAsia="Times New Roman" w:hAnsiTheme="majorHAnsi" w:cstheme="majorHAnsi"/>
          <w:b/>
          <w:sz w:val="24"/>
          <w:szCs w:val="24"/>
          <w:lang w:val="ro-MD"/>
        </w:rPr>
        <w:t>.</w:t>
      </w:r>
      <w:r w:rsidR="00B22831" w:rsidRPr="009E5B39">
        <w:rPr>
          <w:rFonts w:asciiTheme="majorHAnsi" w:eastAsia="Times New Roman" w:hAnsiTheme="majorHAnsi" w:cstheme="majorHAnsi"/>
          <w:b/>
          <w:sz w:val="24"/>
          <w:szCs w:val="24"/>
          <w:lang w:val="ro-MD"/>
        </w:rPr>
        <w:t xml:space="preserve"> lei</w:t>
      </w:r>
      <w:r w:rsidR="00B22831" w:rsidRPr="009E5B39">
        <w:rPr>
          <w:rFonts w:asciiTheme="majorHAnsi" w:eastAsia="Times New Roman" w:hAnsiTheme="majorHAnsi" w:cstheme="majorHAnsi"/>
          <w:sz w:val="24"/>
          <w:szCs w:val="24"/>
          <w:lang w:val="ro-MD"/>
        </w:rPr>
        <w:t xml:space="preserve"> pentru reparația drumului într-o localitate care nu face parte din municipiul Chișinău</w:t>
      </w:r>
      <w:r w:rsidR="00B22831" w:rsidRPr="009E5B39">
        <w:rPr>
          <w:vertAlign w:val="superscript"/>
          <w:lang w:val="ro-MD"/>
        </w:rPr>
        <w:footnoteReference w:id="52"/>
      </w:r>
      <w:r w:rsidR="00B22831" w:rsidRPr="009E5B39">
        <w:rPr>
          <w:rFonts w:asciiTheme="majorHAnsi" w:eastAsia="Times New Roman" w:hAnsiTheme="majorHAnsi" w:cstheme="majorHAnsi"/>
          <w:sz w:val="24"/>
          <w:szCs w:val="24"/>
          <w:lang w:val="ro-MD"/>
        </w:rPr>
        <w:t xml:space="preserve">. </w:t>
      </w:r>
      <w:r w:rsidR="00B22831" w:rsidRPr="009E5B39">
        <w:rPr>
          <w:rFonts w:asciiTheme="majorHAnsi" w:hAnsiTheme="majorHAnsi" w:cstheme="majorHAnsi"/>
          <w:sz w:val="24"/>
          <w:szCs w:val="24"/>
          <w:lang w:val="ro-MD"/>
        </w:rPr>
        <w:t xml:space="preserve"> </w:t>
      </w:r>
      <w:r w:rsidR="00B22831" w:rsidRPr="009E5B39">
        <w:rPr>
          <w:rFonts w:asciiTheme="majorHAnsi" w:eastAsia="Times New Roman" w:hAnsiTheme="majorHAnsi" w:cstheme="majorHAnsi"/>
          <w:bCs/>
          <w:i/>
          <w:iCs/>
          <w:sz w:val="24"/>
          <w:szCs w:val="24"/>
          <w:lang w:val="ro-MD"/>
        </w:rPr>
        <w:t xml:space="preserve">Analiza detaliată a </w:t>
      </w:r>
      <w:r w:rsidR="00501AD3" w:rsidRPr="009E5B39">
        <w:rPr>
          <w:rFonts w:asciiTheme="majorHAnsi" w:eastAsia="Times New Roman" w:hAnsiTheme="majorHAnsi" w:cstheme="majorHAnsi"/>
          <w:bCs/>
          <w:i/>
          <w:iCs/>
          <w:sz w:val="24"/>
          <w:szCs w:val="24"/>
          <w:lang w:val="ro-MD"/>
        </w:rPr>
        <w:t xml:space="preserve">utilizării </w:t>
      </w:r>
      <w:r w:rsidR="00B22831" w:rsidRPr="009E5B39">
        <w:rPr>
          <w:rFonts w:asciiTheme="majorHAnsi" w:eastAsia="Times New Roman" w:hAnsiTheme="majorHAnsi" w:cstheme="majorHAnsi"/>
          <w:bCs/>
          <w:i/>
          <w:iCs/>
          <w:sz w:val="24"/>
          <w:szCs w:val="24"/>
          <w:lang w:val="ro-MD"/>
        </w:rPr>
        <w:t xml:space="preserve">TDS pentru infrastructura drumurilor este prezentată în </w:t>
      </w:r>
      <w:r w:rsidR="004D14A8" w:rsidRPr="009E5B39">
        <w:rPr>
          <w:rFonts w:asciiTheme="majorHAnsi" w:eastAsia="Times New Roman" w:hAnsiTheme="majorHAnsi" w:cstheme="majorHAnsi"/>
          <w:bCs/>
          <w:i/>
          <w:iCs/>
          <w:sz w:val="24"/>
          <w:szCs w:val="24"/>
          <w:lang w:val="ro-MD"/>
        </w:rPr>
        <w:t>A</w:t>
      </w:r>
      <w:r w:rsidR="00B22831" w:rsidRPr="009E5B39">
        <w:rPr>
          <w:rFonts w:asciiTheme="majorHAnsi" w:eastAsia="Times New Roman" w:hAnsiTheme="majorHAnsi" w:cstheme="majorHAnsi"/>
          <w:bCs/>
          <w:i/>
          <w:iCs/>
          <w:sz w:val="24"/>
          <w:szCs w:val="24"/>
          <w:lang w:val="ro-MD"/>
        </w:rPr>
        <w:t xml:space="preserve">nexa nr. </w:t>
      </w:r>
      <w:r w:rsidR="00EB08A9" w:rsidRPr="009E5B39">
        <w:rPr>
          <w:rFonts w:asciiTheme="majorHAnsi" w:eastAsia="Times New Roman" w:hAnsiTheme="majorHAnsi" w:cstheme="majorHAnsi"/>
          <w:bCs/>
          <w:i/>
          <w:iCs/>
          <w:sz w:val="24"/>
          <w:szCs w:val="24"/>
          <w:lang w:val="ro-MD"/>
        </w:rPr>
        <w:t>5</w:t>
      </w:r>
      <w:r w:rsidR="00B22831" w:rsidRPr="009E5B39">
        <w:rPr>
          <w:rFonts w:asciiTheme="majorHAnsi" w:eastAsia="Times New Roman" w:hAnsiTheme="majorHAnsi" w:cstheme="majorHAnsi"/>
          <w:bCs/>
          <w:i/>
          <w:iCs/>
          <w:sz w:val="24"/>
          <w:szCs w:val="24"/>
          <w:lang w:val="ro-MD"/>
        </w:rPr>
        <w:t xml:space="preserve"> la Raport</w:t>
      </w:r>
      <w:r w:rsidR="004D14A8" w:rsidRPr="009E5B39">
        <w:rPr>
          <w:rFonts w:asciiTheme="majorHAnsi" w:eastAsia="Times New Roman" w:hAnsiTheme="majorHAnsi" w:cstheme="majorHAnsi"/>
          <w:bCs/>
          <w:i/>
          <w:iCs/>
          <w:sz w:val="24"/>
          <w:szCs w:val="24"/>
          <w:lang w:val="ro-MD"/>
        </w:rPr>
        <w:t>ul de audit</w:t>
      </w:r>
      <w:r w:rsidR="00B22831" w:rsidRPr="009E5B39">
        <w:rPr>
          <w:rFonts w:asciiTheme="majorHAnsi" w:eastAsia="Times New Roman" w:hAnsiTheme="majorHAnsi" w:cstheme="majorHAnsi"/>
          <w:bCs/>
          <w:i/>
          <w:iCs/>
          <w:sz w:val="24"/>
          <w:szCs w:val="24"/>
          <w:lang w:val="ro-MD"/>
        </w:rPr>
        <w:t>.</w:t>
      </w:r>
    </w:p>
    <w:p w14:paraId="28CEC25C" w14:textId="1946999D" w:rsidR="00E35985" w:rsidRPr="009E5B39" w:rsidRDefault="004D14A8">
      <w:pPr>
        <w:pStyle w:val="ListParagraph"/>
        <w:numPr>
          <w:ilvl w:val="0"/>
          <w:numId w:val="112"/>
        </w:numPr>
        <w:tabs>
          <w:tab w:val="left" w:pos="142"/>
          <w:tab w:val="left" w:pos="426"/>
        </w:tabs>
        <w:spacing w:after="0" w:line="276" w:lineRule="auto"/>
        <w:ind w:left="0" w:firstLine="360"/>
        <w:jc w:val="both"/>
        <w:rPr>
          <w:rFonts w:asciiTheme="majorHAnsi" w:eastAsia="Times New Roman" w:hAnsiTheme="majorHAnsi" w:cstheme="majorHAnsi"/>
          <w:bCs/>
          <w:i/>
          <w:iCs/>
          <w:sz w:val="24"/>
          <w:szCs w:val="24"/>
          <w:lang w:val="ro-MD"/>
        </w:rPr>
      </w:pPr>
      <w:r w:rsidRPr="009E5B39">
        <w:rPr>
          <w:rFonts w:asciiTheme="majorHAnsi" w:eastAsia="Times New Roman" w:hAnsiTheme="majorHAnsi" w:cstheme="majorHAnsi"/>
          <w:bCs/>
          <w:i/>
          <w:iCs/>
          <w:sz w:val="24"/>
          <w:szCs w:val="24"/>
          <w:lang w:val="ro-MD"/>
        </w:rPr>
        <w:t>Cu toate</w:t>
      </w:r>
      <w:r w:rsidR="00B22831" w:rsidRPr="009E5B39">
        <w:rPr>
          <w:rFonts w:asciiTheme="majorHAnsi" w:eastAsia="Times New Roman" w:hAnsiTheme="majorHAnsi" w:cstheme="majorHAnsi"/>
          <w:bCs/>
          <w:i/>
          <w:iCs/>
          <w:sz w:val="24"/>
          <w:szCs w:val="24"/>
          <w:lang w:val="ro-MD"/>
        </w:rPr>
        <w:t xml:space="preserve"> că din bugetul de stat </w:t>
      </w:r>
      <w:r w:rsidR="0069758A" w:rsidRPr="009E5B39">
        <w:rPr>
          <w:rFonts w:asciiTheme="majorHAnsi" w:eastAsia="Times New Roman" w:hAnsiTheme="majorHAnsi" w:cstheme="majorHAnsi"/>
          <w:bCs/>
          <w:i/>
          <w:iCs/>
          <w:sz w:val="24"/>
          <w:szCs w:val="24"/>
          <w:lang w:val="ro-MD"/>
        </w:rPr>
        <w:t xml:space="preserve">sunt alocate mijloace financiare pentru reparația infrastructurii căilor de comunicații, </w:t>
      </w:r>
      <w:r w:rsidR="00E35985" w:rsidRPr="009E5B39">
        <w:rPr>
          <w:rFonts w:asciiTheme="majorHAnsi" w:eastAsia="Times New Roman" w:hAnsiTheme="majorHAnsi" w:cstheme="majorHAnsi"/>
          <w:bCs/>
          <w:i/>
          <w:iCs/>
          <w:sz w:val="24"/>
          <w:szCs w:val="24"/>
          <w:lang w:val="ro-MD"/>
        </w:rPr>
        <w:t>APL a mun.</w:t>
      </w:r>
      <w:r w:rsidR="00495C73" w:rsidRPr="009E5B39">
        <w:rPr>
          <w:rFonts w:asciiTheme="majorHAnsi" w:eastAsia="Times New Roman" w:hAnsiTheme="majorHAnsi" w:cstheme="majorHAnsi"/>
          <w:bCs/>
          <w:i/>
          <w:iCs/>
          <w:sz w:val="24"/>
          <w:szCs w:val="24"/>
          <w:lang w:val="ro-MD"/>
        </w:rPr>
        <w:t xml:space="preserve"> </w:t>
      </w:r>
      <w:r w:rsidR="00E35985" w:rsidRPr="009E5B39">
        <w:rPr>
          <w:rFonts w:asciiTheme="majorHAnsi" w:eastAsia="Times New Roman" w:hAnsiTheme="majorHAnsi" w:cstheme="majorHAnsi"/>
          <w:bCs/>
          <w:i/>
          <w:iCs/>
          <w:sz w:val="24"/>
          <w:szCs w:val="24"/>
          <w:lang w:val="ro-MD"/>
        </w:rPr>
        <w:t xml:space="preserve">Chișinău, în perioada </w:t>
      </w:r>
      <w:r w:rsidRPr="009E5B39">
        <w:rPr>
          <w:rFonts w:asciiTheme="majorHAnsi" w:eastAsia="Times New Roman" w:hAnsiTheme="majorHAnsi" w:cstheme="majorHAnsi"/>
          <w:bCs/>
          <w:i/>
          <w:iCs/>
          <w:sz w:val="24"/>
          <w:szCs w:val="24"/>
          <w:lang w:val="ro-MD"/>
        </w:rPr>
        <w:t xml:space="preserve">anilor </w:t>
      </w:r>
      <w:r w:rsidR="00E35985" w:rsidRPr="009E5B39">
        <w:rPr>
          <w:rFonts w:asciiTheme="majorHAnsi" w:eastAsia="Times New Roman" w:hAnsiTheme="majorHAnsi" w:cstheme="majorHAnsi"/>
          <w:bCs/>
          <w:i/>
          <w:iCs/>
          <w:sz w:val="24"/>
          <w:szCs w:val="24"/>
          <w:lang w:val="ro-MD"/>
        </w:rPr>
        <w:t xml:space="preserve">2018-2020, nu a </w:t>
      </w:r>
      <w:r w:rsidR="0069758A" w:rsidRPr="009E5B39">
        <w:rPr>
          <w:rFonts w:asciiTheme="majorHAnsi" w:eastAsia="Times New Roman" w:hAnsiTheme="majorHAnsi" w:cstheme="majorHAnsi"/>
          <w:bCs/>
          <w:i/>
          <w:iCs/>
          <w:sz w:val="24"/>
          <w:szCs w:val="24"/>
          <w:lang w:val="ro-MD"/>
        </w:rPr>
        <w:t>valorificat</w:t>
      </w:r>
      <w:r w:rsidR="00E35985" w:rsidRPr="009E5B39">
        <w:rPr>
          <w:rFonts w:asciiTheme="majorHAnsi" w:eastAsia="Times New Roman" w:hAnsiTheme="majorHAnsi" w:cstheme="majorHAnsi"/>
          <w:bCs/>
          <w:i/>
          <w:iCs/>
          <w:sz w:val="24"/>
          <w:szCs w:val="24"/>
          <w:lang w:val="ro-MD"/>
        </w:rPr>
        <w:t xml:space="preserve"> integral mijloacele</w:t>
      </w:r>
      <w:r w:rsidRPr="009E5B39">
        <w:rPr>
          <w:rFonts w:asciiTheme="majorHAnsi" w:eastAsia="Times New Roman" w:hAnsiTheme="majorHAnsi" w:cstheme="majorHAnsi"/>
          <w:bCs/>
          <w:i/>
          <w:iCs/>
          <w:sz w:val="24"/>
          <w:szCs w:val="24"/>
          <w:lang w:val="ro-MD"/>
        </w:rPr>
        <w:t xml:space="preserve"> financiare</w:t>
      </w:r>
      <w:r w:rsidR="00E35985" w:rsidRPr="009E5B39">
        <w:rPr>
          <w:rFonts w:asciiTheme="majorHAnsi" w:eastAsia="Times New Roman" w:hAnsiTheme="majorHAnsi" w:cstheme="majorHAnsi"/>
          <w:bCs/>
          <w:i/>
          <w:iCs/>
          <w:sz w:val="24"/>
          <w:szCs w:val="24"/>
          <w:lang w:val="ro-MD"/>
        </w:rPr>
        <w:t xml:space="preserve"> alocate de la bugetul de stat ca transferuri cu destinație specială pentru infrastructura drumurilor, suma totală a acestora constituind  29</w:t>
      </w:r>
      <w:r w:rsidR="009D6C8C" w:rsidRPr="009E5B39">
        <w:rPr>
          <w:rFonts w:asciiTheme="majorHAnsi" w:eastAsia="Times New Roman" w:hAnsiTheme="majorHAnsi" w:cstheme="majorHAnsi"/>
          <w:bCs/>
          <w:i/>
          <w:iCs/>
          <w:sz w:val="24"/>
          <w:szCs w:val="24"/>
          <w:lang w:val="ro-MD"/>
        </w:rPr>
        <w:t>,</w:t>
      </w:r>
      <w:r w:rsidR="00E35985" w:rsidRPr="009E5B39">
        <w:rPr>
          <w:rFonts w:asciiTheme="majorHAnsi" w:eastAsia="Times New Roman" w:hAnsiTheme="majorHAnsi" w:cstheme="majorHAnsi"/>
          <w:bCs/>
          <w:i/>
          <w:iCs/>
          <w:sz w:val="24"/>
          <w:szCs w:val="24"/>
          <w:lang w:val="ro-MD"/>
        </w:rPr>
        <w:t>2</w:t>
      </w:r>
      <w:r w:rsidR="009D6C8C" w:rsidRPr="009E5B39">
        <w:rPr>
          <w:rFonts w:asciiTheme="majorHAnsi" w:eastAsia="Times New Roman" w:hAnsiTheme="majorHAnsi" w:cstheme="majorHAnsi"/>
          <w:bCs/>
          <w:i/>
          <w:iCs/>
          <w:sz w:val="24"/>
          <w:szCs w:val="24"/>
          <w:lang w:val="ro-MD"/>
        </w:rPr>
        <w:t>1</w:t>
      </w:r>
      <w:r w:rsidR="00E35985" w:rsidRPr="009E5B39">
        <w:rPr>
          <w:rFonts w:asciiTheme="majorHAnsi" w:eastAsia="Times New Roman" w:hAnsiTheme="majorHAnsi" w:cstheme="majorHAnsi"/>
          <w:bCs/>
          <w:i/>
          <w:iCs/>
          <w:sz w:val="24"/>
          <w:szCs w:val="24"/>
          <w:lang w:val="ro-MD"/>
        </w:rPr>
        <w:t xml:space="preserve"> mi</w:t>
      </w:r>
      <w:r w:rsidR="009D6C8C" w:rsidRPr="009E5B39">
        <w:rPr>
          <w:rFonts w:asciiTheme="majorHAnsi" w:eastAsia="Times New Roman" w:hAnsiTheme="majorHAnsi" w:cstheme="majorHAnsi"/>
          <w:bCs/>
          <w:i/>
          <w:iCs/>
          <w:sz w:val="24"/>
          <w:szCs w:val="24"/>
          <w:lang w:val="ro-MD"/>
        </w:rPr>
        <w:t>l</w:t>
      </w:r>
      <w:r w:rsidRPr="009E5B39">
        <w:rPr>
          <w:rFonts w:asciiTheme="majorHAnsi" w:eastAsia="Times New Roman" w:hAnsiTheme="majorHAnsi" w:cstheme="majorHAnsi"/>
          <w:bCs/>
          <w:i/>
          <w:iCs/>
          <w:sz w:val="24"/>
          <w:szCs w:val="24"/>
          <w:lang w:val="ro-MD"/>
        </w:rPr>
        <w:t>.</w:t>
      </w:r>
      <w:r w:rsidR="00E35985" w:rsidRPr="009E5B39">
        <w:rPr>
          <w:rFonts w:asciiTheme="majorHAnsi" w:eastAsia="Times New Roman" w:hAnsiTheme="majorHAnsi" w:cstheme="majorHAnsi"/>
          <w:bCs/>
          <w:i/>
          <w:iCs/>
          <w:sz w:val="24"/>
          <w:szCs w:val="24"/>
          <w:lang w:val="ro-MD"/>
        </w:rPr>
        <w:t xml:space="preserve"> lei</w:t>
      </w:r>
      <w:r w:rsidR="00E35985" w:rsidRPr="009E5B39">
        <w:rPr>
          <w:vertAlign w:val="superscript"/>
          <w:lang w:val="ro-MD"/>
        </w:rPr>
        <w:footnoteReference w:id="53"/>
      </w:r>
      <w:r w:rsidR="00E35985" w:rsidRPr="009E5B39">
        <w:rPr>
          <w:rFonts w:asciiTheme="majorHAnsi" w:eastAsia="Times New Roman" w:hAnsiTheme="majorHAnsi" w:cstheme="majorHAnsi"/>
          <w:bCs/>
          <w:i/>
          <w:iCs/>
          <w:sz w:val="24"/>
          <w:szCs w:val="24"/>
          <w:lang w:val="ro-MD"/>
        </w:rPr>
        <w:t xml:space="preserve">. </w:t>
      </w:r>
    </w:p>
    <w:p w14:paraId="21E3FEA7" w14:textId="44894E4A" w:rsidR="00E35985" w:rsidRPr="009E5B39" w:rsidRDefault="0069758A" w:rsidP="003C5073">
      <w:pPr>
        <w:numPr>
          <w:ilvl w:val="2"/>
          <w:numId w:val="50"/>
        </w:numPr>
        <w:tabs>
          <w:tab w:val="left" w:pos="0"/>
        </w:tabs>
        <w:spacing w:after="0" w:line="276" w:lineRule="auto"/>
        <w:ind w:left="0" w:firstLine="0"/>
        <w:contextualSpacing/>
        <w:jc w:val="both"/>
        <w:rPr>
          <w:rFonts w:asciiTheme="majorHAnsi" w:hAnsiTheme="majorHAnsi" w:cstheme="majorHAnsi"/>
          <w:sz w:val="24"/>
          <w:szCs w:val="24"/>
          <w:lang w:val="ro-MD"/>
        </w:rPr>
      </w:pPr>
      <w:r w:rsidRPr="009E5B39">
        <w:rPr>
          <w:rFonts w:asciiTheme="majorHAnsi" w:hAnsiTheme="majorHAnsi" w:cstheme="majorHAnsi"/>
          <w:b/>
          <w:i/>
          <w:sz w:val="24"/>
          <w:szCs w:val="24"/>
          <w:lang w:val="ro-MD"/>
        </w:rPr>
        <w:t xml:space="preserve">APL </w:t>
      </w:r>
      <w:r w:rsidR="002F0A2E" w:rsidRPr="009E5B39">
        <w:rPr>
          <w:rFonts w:asciiTheme="majorHAnsi" w:hAnsiTheme="majorHAnsi" w:cstheme="majorHAnsi"/>
          <w:b/>
          <w:i/>
          <w:sz w:val="24"/>
          <w:szCs w:val="24"/>
          <w:lang w:val="ro-MD"/>
        </w:rPr>
        <w:t xml:space="preserve">a </w:t>
      </w:r>
      <w:r w:rsidRPr="009E5B39">
        <w:rPr>
          <w:rFonts w:asciiTheme="majorHAnsi" w:hAnsiTheme="majorHAnsi" w:cstheme="majorHAnsi"/>
          <w:b/>
          <w:i/>
          <w:sz w:val="24"/>
          <w:szCs w:val="24"/>
          <w:lang w:val="ro-MD"/>
        </w:rPr>
        <w:t xml:space="preserve">mun. Chișinău nu dispune de o </w:t>
      </w:r>
      <w:r w:rsidR="00E35985" w:rsidRPr="009E5B39">
        <w:rPr>
          <w:rFonts w:asciiTheme="majorHAnsi" w:hAnsiTheme="majorHAnsi" w:cstheme="majorHAnsi"/>
          <w:b/>
          <w:i/>
          <w:sz w:val="24"/>
          <w:szCs w:val="24"/>
          <w:lang w:val="ro-MD"/>
        </w:rPr>
        <w:t>clarit</w:t>
      </w:r>
      <w:r w:rsidRPr="009E5B39">
        <w:rPr>
          <w:rFonts w:asciiTheme="majorHAnsi" w:hAnsiTheme="majorHAnsi" w:cstheme="majorHAnsi"/>
          <w:b/>
          <w:i/>
          <w:sz w:val="24"/>
          <w:szCs w:val="24"/>
          <w:lang w:val="ro-MD"/>
        </w:rPr>
        <w:t>ate</w:t>
      </w:r>
      <w:r w:rsidR="00E35985" w:rsidRPr="009E5B39">
        <w:rPr>
          <w:rFonts w:asciiTheme="majorHAnsi" w:hAnsiTheme="majorHAnsi" w:cstheme="majorHAnsi"/>
          <w:b/>
          <w:i/>
          <w:sz w:val="24"/>
          <w:szCs w:val="24"/>
          <w:lang w:val="ro-MD"/>
        </w:rPr>
        <w:t xml:space="preserve"> </w:t>
      </w:r>
      <w:r w:rsidR="00475A02" w:rsidRPr="009E5B39">
        <w:rPr>
          <w:rFonts w:asciiTheme="majorHAnsi" w:hAnsiTheme="majorHAnsi" w:cstheme="majorHAnsi"/>
          <w:b/>
          <w:i/>
          <w:sz w:val="24"/>
          <w:szCs w:val="24"/>
          <w:lang w:val="ro-MD"/>
        </w:rPr>
        <w:t>asupra</w:t>
      </w:r>
      <w:r w:rsidR="00E35985" w:rsidRPr="009E5B39">
        <w:rPr>
          <w:rFonts w:asciiTheme="majorHAnsi" w:hAnsiTheme="majorHAnsi" w:cstheme="majorHAnsi"/>
          <w:b/>
          <w:i/>
          <w:sz w:val="24"/>
          <w:szCs w:val="24"/>
          <w:lang w:val="ro-MD"/>
        </w:rPr>
        <w:t xml:space="preserve"> competențel</w:t>
      </w:r>
      <w:r w:rsidR="00475A02" w:rsidRPr="009E5B39">
        <w:rPr>
          <w:rFonts w:asciiTheme="majorHAnsi" w:hAnsiTheme="majorHAnsi" w:cstheme="majorHAnsi"/>
          <w:b/>
          <w:i/>
          <w:sz w:val="24"/>
          <w:szCs w:val="24"/>
          <w:lang w:val="ro-MD"/>
        </w:rPr>
        <w:t>or</w:t>
      </w:r>
      <w:r w:rsidR="00E35985" w:rsidRPr="009E5B39">
        <w:rPr>
          <w:rFonts w:asciiTheme="majorHAnsi" w:hAnsiTheme="majorHAnsi" w:cstheme="majorHAnsi"/>
          <w:b/>
          <w:i/>
          <w:sz w:val="24"/>
          <w:szCs w:val="24"/>
          <w:lang w:val="ro-MD"/>
        </w:rPr>
        <w:t xml:space="preserve"> și atribuțiil</w:t>
      </w:r>
      <w:r w:rsidR="00475A02" w:rsidRPr="009E5B39">
        <w:rPr>
          <w:rFonts w:asciiTheme="majorHAnsi" w:hAnsiTheme="majorHAnsi" w:cstheme="majorHAnsi"/>
          <w:b/>
          <w:i/>
          <w:sz w:val="24"/>
          <w:szCs w:val="24"/>
          <w:lang w:val="ro-MD"/>
        </w:rPr>
        <w:t xml:space="preserve">or </w:t>
      </w:r>
      <w:r w:rsidR="00E35985" w:rsidRPr="009E5B39">
        <w:rPr>
          <w:rFonts w:asciiTheme="majorHAnsi" w:hAnsiTheme="majorHAnsi" w:cstheme="majorHAnsi"/>
          <w:b/>
          <w:i/>
          <w:sz w:val="24"/>
          <w:szCs w:val="24"/>
          <w:lang w:val="ro-MD"/>
        </w:rPr>
        <w:t xml:space="preserve"> concrete ale instituțiilor din subordine </w:t>
      </w:r>
      <w:r w:rsidR="00475A02" w:rsidRPr="009E5B39">
        <w:rPr>
          <w:rFonts w:asciiTheme="majorHAnsi" w:hAnsiTheme="majorHAnsi" w:cstheme="majorHAnsi"/>
          <w:b/>
          <w:i/>
          <w:sz w:val="24"/>
          <w:szCs w:val="24"/>
          <w:lang w:val="ro-MD"/>
        </w:rPr>
        <w:t>privind</w:t>
      </w:r>
      <w:r w:rsidR="00E35985" w:rsidRPr="009E5B39">
        <w:rPr>
          <w:rFonts w:asciiTheme="majorHAnsi" w:hAnsiTheme="majorHAnsi" w:cstheme="majorHAnsi"/>
          <w:b/>
          <w:i/>
          <w:sz w:val="24"/>
          <w:szCs w:val="24"/>
          <w:lang w:val="ro-MD"/>
        </w:rPr>
        <w:t xml:space="preserve"> ținer</w:t>
      </w:r>
      <w:r w:rsidR="00475A02" w:rsidRPr="009E5B39">
        <w:rPr>
          <w:rFonts w:asciiTheme="majorHAnsi" w:hAnsiTheme="majorHAnsi" w:cstheme="majorHAnsi"/>
          <w:b/>
          <w:i/>
          <w:sz w:val="24"/>
          <w:szCs w:val="24"/>
          <w:lang w:val="ro-MD"/>
        </w:rPr>
        <w:t>ea</w:t>
      </w:r>
      <w:r w:rsidR="00E35985" w:rsidRPr="009E5B39">
        <w:rPr>
          <w:rFonts w:asciiTheme="majorHAnsi" w:hAnsiTheme="majorHAnsi" w:cstheme="majorHAnsi"/>
          <w:b/>
          <w:i/>
          <w:sz w:val="24"/>
          <w:szCs w:val="24"/>
          <w:lang w:val="ro-MD"/>
        </w:rPr>
        <w:t xml:space="preserve"> evidenței patrimoniului public</w:t>
      </w:r>
      <w:r w:rsidRPr="009E5B39">
        <w:rPr>
          <w:rFonts w:asciiTheme="majorHAnsi" w:hAnsiTheme="majorHAnsi" w:cstheme="majorHAnsi"/>
          <w:b/>
          <w:i/>
          <w:sz w:val="24"/>
          <w:szCs w:val="24"/>
          <w:lang w:val="ro-MD"/>
        </w:rPr>
        <w:t xml:space="preserve">, precum și planifică și raportează neconform cheltuielile </w:t>
      </w:r>
      <w:r w:rsidR="00E35985" w:rsidRPr="009E5B39">
        <w:rPr>
          <w:rFonts w:asciiTheme="majorHAnsi" w:hAnsiTheme="majorHAnsi" w:cstheme="majorHAnsi"/>
          <w:b/>
          <w:i/>
          <w:sz w:val="24"/>
          <w:szCs w:val="24"/>
          <w:lang w:val="ro-MD"/>
        </w:rPr>
        <w:t xml:space="preserve"> pentru reparația acestuia</w:t>
      </w:r>
      <w:r w:rsidR="00E95840" w:rsidRPr="009E5B39">
        <w:rPr>
          <w:rFonts w:asciiTheme="majorHAnsi" w:hAnsiTheme="majorHAnsi" w:cstheme="majorHAnsi"/>
          <w:b/>
          <w:i/>
          <w:sz w:val="24"/>
          <w:szCs w:val="24"/>
          <w:lang w:val="ro-MD"/>
        </w:rPr>
        <w:t xml:space="preserve">, ceea ce cauzează denaturarea valorii patrimoniului public al UAT. </w:t>
      </w:r>
      <w:r w:rsidR="00E35985" w:rsidRPr="009E5B39">
        <w:rPr>
          <w:rFonts w:asciiTheme="majorHAnsi" w:hAnsiTheme="majorHAnsi" w:cstheme="majorHAnsi"/>
          <w:b/>
          <w:i/>
          <w:sz w:val="24"/>
          <w:szCs w:val="24"/>
          <w:lang w:val="ro-MD"/>
        </w:rPr>
        <w:t xml:space="preserve"> </w:t>
      </w:r>
      <w:r w:rsidR="00E35985" w:rsidRPr="009E5B39">
        <w:rPr>
          <w:rFonts w:asciiTheme="majorHAnsi" w:hAnsiTheme="majorHAnsi" w:cstheme="majorHAnsi"/>
          <w:sz w:val="24"/>
          <w:szCs w:val="24"/>
          <w:lang w:val="ro-MD"/>
        </w:rPr>
        <w:t>Astfel,</w:t>
      </w:r>
      <w:r w:rsidR="00E35985" w:rsidRPr="009E5B39">
        <w:rPr>
          <w:rFonts w:asciiTheme="majorHAnsi" w:hAnsiTheme="majorHAnsi" w:cstheme="majorHAnsi"/>
          <w:b/>
          <w:sz w:val="24"/>
          <w:szCs w:val="24"/>
          <w:lang w:val="ro-MD"/>
        </w:rPr>
        <w:t xml:space="preserve"> </w:t>
      </w:r>
    </w:p>
    <w:p w14:paraId="6A579E7F" w14:textId="16314513" w:rsidR="00CC07C4" w:rsidRPr="009E5B39" w:rsidRDefault="00E35985" w:rsidP="00CC07C4">
      <w:pPr>
        <w:pStyle w:val="ListParagraph"/>
        <w:numPr>
          <w:ilvl w:val="0"/>
          <w:numId w:val="113"/>
        </w:numPr>
        <w:tabs>
          <w:tab w:val="left" w:pos="426"/>
        </w:tabs>
        <w:spacing w:after="0" w:line="276" w:lineRule="auto"/>
        <w:ind w:left="0" w:firstLine="567"/>
        <w:jc w:val="both"/>
        <w:rPr>
          <w:rFonts w:asciiTheme="majorHAnsi" w:hAnsiTheme="majorHAnsi" w:cstheme="majorHAnsi"/>
          <w:sz w:val="24"/>
          <w:szCs w:val="24"/>
          <w:lang w:val="ro-MD"/>
        </w:rPr>
      </w:pPr>
      <w:r w:rsidRPr="009E5B39">
        <w:rPr>
          <w:rFonts w:asciiTheme="majorHAnsi" w:hAnsiTheme="majorHAnsi" w:cstheme="majorHAnsi"/>
          <w:b/>
          <w:i/>
          <w:sz w:val="24"/>
          <w:szCs w:val="24"/>
          <w:lang w:val="ro-MD"/>
        </w:rPr>
        <w:t xml:space="preserve">APL </w:t>
      </w:r>
      <w:r w:rsidR="002F0A2E" w:rsidRPr="009E5B39">
        <w:rPr>
          <w:rFonts w:asciiTheme="majorHAnsi" w:hAnsiTheme="majorHAnsi" w:cstheme="majorHAnsi"/>
          <w:b/>
          <w:i/>
          <w:sz w:val="24"/>
          <w:szCs w:val="24"/>
          <w:lang w:val="ro-MD"/>
        </w:rPr>
        <w:t xml:space="preserve">a </w:t>
      </w:r>
      <w:r w:rsidRPr="009E5B39">
        <w:rPr>
          <w:rFonts w:asciiTheme="majorHAnsi" w:hAnsiTheme="majorHAnsi" w:cstheme="majorHAnsi"/>
          <w:b/>
          <w:i/>
          <w:sz w:val="24"/>
          <w:szCs w:val="24"/>
          <w:lang w:val="ro-MD"/>
        </w:rPr>
        <w:t>mun. Chișinău</w:t>
      </w:r>
      <w:r w:rsidRPr="009E5B39">
        <w:rPr>
          <w:rFonts w:asciiTheme="majorHAnsi" w:hAnsiTheme="majorHAnsi" w:cstheme="majorHAnsi"/>
          <w:b/>
          <w:sz w:val="24"/>
          <w:szCs w:val="24"/>
          <w:lang w:val="ro-MD"/>
        </w:rPr>
        <w:t xml:space="preserve"> </w:t>
      </w:r>
      <w:r w:rsidRPr="009E5B39">
        <w:rPr>
          <w:rFonts w:asciiTheme="majorHAnsi" w:hAnsiTheme="majorHAnsi" w:cstheme="majorHAnsi"/>
          <w:b/>
          <w:i/>
          <w:sz w:val="24"/>
          <w:szCs w:val="24"/>
          <w:lang w:val="ro-MD"/>
        </w:rPr>
        <w:t xml:space="preserve">nu califică conform tipul de lucrări de reparație pentru fiecare obiect, ceea ce </w:t>
      </w:r>
      <w:r w:rsidR="00A43ADB" w:rsidRPr="009E5B39">
        <w:rPr>
          <w:rFonts w:asciiTheme="majorHAnsi" w:hAnsiTheme="majorHAnsi" w:cstheme="majorHAnsi"/>
          <w:b/>
          <w:i/>
          <w:sz w:val="24"/>
          <w:szCs w:val="24"/>
          <w:lang w:val="ro-MD"/>
        </w:rPr>
        <w:t>determină</w:t>
      </w:r>
      <w:r w:rsidRPr="009E5B39">
        <w:rPr>
          <w:rFonts w:asciiTheme="majorHAnsi" w:hAnsiTheme="majorHAnsi" w:cstheme="majorHAnsi"/>
          <w:b/>
          <w:i/>
          <w:sz w:val="24"/>
          <w:szCs w:val="24"/>
          <w:lang w:val="ro-MD"/>
        </w:rPr>
        <w:t xml:space="preserve"> necapitalizarea valorii lucrărilor de reparație cu caracter capital executate și diminu</w:t>
      </w:r>
      <w:r w:rsidR="00A43ADB" w:rsidRPr="009E5B39">
        <w:rPr>
          <w:rFonts w:asciiTheme="majorHAnsi" w:hAnsiTheme="majorHAnsi" w:cstheme="majorHAnsi"/>
          <w:b/>
          <w:i/>
          <w:sz w:val="24"/>
          <w:szCs w:val="24"/>
          <w:lang w:val="ro-MD"/>
        </w:rPr>
        <w:t>area</w:t>
      </w:r>
      <w:r w:rsidRPr="009E5B39">
        <w:rPr>
          <w:rFonts w:asciiTheme="majorHAnsi" w:hAnsiTheme="majorHAnsi" w:cstheme="majorHAnsi"/>
          <w:b/>
          <w:i/>
          <w:sz w:val="24"/>
          <w:szCs w:val="24"/>
          <w:lang w:val="ro-MD"/>
        </w:rPr>
        <w:t xml:space="preserve"> valo</w:t>
      </w:r>
      <w:r w:rsidR="00A43ADB" w:rsidRPr="009E5B39">
        <w:rPr>
          <w:rFonts w:asciiTheme="majorHAnsi" w:hAnsiTheme="majorHAnsi" w:cstheme="majorHAnsi"/>
          <w:b/>
          <w:i/>
          <w:sz w:val="24"/>
          <w:szCs w:val="24"/>
          <w:lang w:val="ro-MD"/>
        </w:rPr>
        <w:t>rii</w:t>
      </w:r>
      <w:r w:rsidRPr="009E5B39">
        <w:rPr>
          <w:rFonts w:asciiTheme="majorHAnsi" w:hAnsiTheme="majorHAnsi" w:cstheme="majorHAnsi"/>
          <w:b/>
          <w:i/>
          <w:sz w:val="24"/>
          <w:szCs w:val="24"/>
          <w:lang w:val="ro-MD"/>
        </w:rPr>
        <w:t xml:space="preserve"> just</w:t>
      </w:r>
      <w:r w:rsidR="00A43ADB" w:rsidRPr="009E5B39">
        <w:rPr>
          <w:rFonts w:asciiTheme="majorHAnsi" w:hAnsiTheme="majorHAnsi" w:cstheme="majorHAnsi"/>
          <w:b/>
          <w:i/>
          <w:sz w:val="24"/>
          <w:szCs w:val="24"/>
          <w:lang w:val="ro-MD"/>
        </w:rPr>
        <w:t>e</w:t>
      </w:r>
      <w:r w:rsidRPr="009E5B39">
        <w:rPr>
          <w:rFonts w:asciiTheme="majorHAnsi" w:hAnsiTheme="majorHAnsi" w:cstheme="majorHAnsi"/>
          <w:b/>
          <w:i/>
          <w:sz w:val="24"/>
          <w:szCs w:val="24"/>
          <w:lang w:val="ro-MD"/>
        </w:rPr>
        <w:t xml:space="preserve"> a obiectului reparat. </w:t>
      </w:r>
      <w:r w:rsidRPr="009E5B39">
        <w:rPr>
          <w:rFonts w:asciiTheme="majorHAnsi" w:eastAsia="Calibri" w:hAnsiTheme="majorHAnsi" w:cstheme="majorHAnsi"/>
          <w:sz w:val="24"/>
          <w:szCs w:val="24"/>
          <w:lang w:val="ro-MD"/>
        </w:rPr>
        <w:t>Potrivit Instrucțiunii din 18.08.1999</w:t>
      </w:r>
      <w:r w:rsidRPr="009E5B39">
        <w:rPr>
          <w:rFonts w:eastAsia="Calibri"/>
          <w:vertAlign w:val="superscript"/>
          <w:lang w:val="ro-MD"/>
        </w:rPr>
        <w:footnoteReference w:id="54"/>
      </w:r>
      <w:r w:rsidR="00A43ADB"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i/>
          <w:sz w:val="24"/>
          <w:szCs w:val="24"/>
          <w:lang w:val="ro-MD"/>
        </w:rPr>
        <w:t>lucrările de reparare și întreținere a drumurilor publice și construcțiilor aferente lor se clasifică în: reparații capitale</w:t>
      </w:r>
      <w:r w:rsidR="001E7DF3" w:rsidRPr="009E5B39">
        <w:rPr>
          <w:rFonts w:asciiTheme="majorHAnsi" w:eastAsia="Calibri" w:hAnsiTheme="majorHAnsi" w:cstheme="majorHAnsi"/>
          <w:i/>
          <w:sz w:val="24"/>
          <w:szCs w:val="24"/>
          <w:lang w:val="ro-MD"/>
        </w:rPr>
        <w:t>, reparații mijlocii</w:t>
      </w:r>
      <w:r w:rsidRPr="009E5B39">
        <w:rPr>
          <w:rFonts w:asciiTheme="majorHAnsi" w:eastAsia="Calibri" w:hAnsiTheme="majorHAnsi" w:cstheme="majorHAnsi"/>
          <w:i/>
          <w:sz w:val="24"/>
          <w:szCs w:val="24"/>
          <w:lang w:val="ro-MD"/>
        </w:rPr>
        <w:t xml:space="preserve">, reparații curente și întreținere. </w:t>
      </w:r>
      <w:r w:rsidRPr="009E5B39">
        <w:rPr>
          <w:rFonts w:asciiTheme="majorHAnsi" w:hAnsiTheme="majorHAnsi" w:cstheme="majorHAnsi"/>
          <w:sz w:val="24"/>
          <w:szCs w:val="24"/>
          <w:lang w:val="ro-MD"/>
        </w:rPr>
        <w:t xml:space="preserve">În perioada </w:t>
      </w:r>
      <w:r w:rsidR="00A43ADB" w:rsidRPr="009E5B39">
        <w:rPr>
          <w:rFonts w:asciiTheme="majorHAnsi" w:hAnsiTheme="majorHAnsi" w:cstheme="majorHAnsi"/>
          <w:sz w:val="24"/>
          <w:szCs w:val="24"/>
          <w:lang w:val="ro-MD"/>
        </w:rPr>
        <w:t xml:space="preserve">anilor </w:t>
      </w:r>
      <w:r w:rsidRPr="009E5B39">
        <w:rPr>
          <w:rFonts w:asciiTheme="majorHAnsi" w:hAnsiTheme="majorHAnsi" w:cstheme="majorHAnsi"/>
          <w:sz w:val="24"/>
          <w:szCs w:val="24"/>
          <w:lang w:val="ro-MD"/>
        </w:rPr>
        <w:t>2018-2020, din valoarea totală a lucrărilor de reparație/reabilitare/amenajare a infrastructurii căilor de comunicație și a instalațiilor de transmisie, contractate de la ÎM</w:t>
      </w:r>
      <w:r w:rsidRPr="009E5B39">
        <w:rPr>
          <w:vertAlign w:val="superscript"/>
          <w:lang w:val="ro-MD"/>
        </w:rPr>
        <w:footnoteReference w:id="55"/>
      </w:r>
      <w:r w:rsidRPr="009E5B39">
        <w:rPr>
          <w:rFonts w:asciiTheme="majorHAnsi" w:hAnsiTheme="majorHAnsi" w:cstheme="majorHAnsi"/>
          <w:sz w:val="24"/>
          <w:szCs w:val="24"/>
          <w:lang w:val="ro-MD"/>
        </w:rPr>
        <w:t xml:space="preserve"> și alți antreprenori și achitate de către DGTPCC, lucrările de reparație executate pe</w:t>
      </w:r>
      <w:r w:rsidR="00A43ADB"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suprafaț</w:t>
      </w:r>
      <w:r w:rsidR="00A43ADB"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de </w:t>
      </w:r>
      <w:r w:rsidRPr="009E5B39">
        <w:rPr>
          <w:rFonts w:asciiTheme="majorHAnsi" w:hAnsiTheme="majorHAnsi" w:cstheme="majorHAnsi"/>
          <w:b/>
          <w:sz w:val="24"/>
          <w:szCs w:val="24"/>
          <w:lang w:val="ro-MD"/>
        </w:rPr>
        <w:t>449.454,3 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sz w:val="24"/>
          <w:szCs w:val="24"/>
          <w:lang w:val="ro-MD"/>
        </w:rPr>
        <w:t xml:space="preserve"> </w:t>
      </w:r>
      <w:r w:rsidR="00A43ADB"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în valoare de </w:t>
      </w:r>
      <w:r w:rsidRPr="009E5B39">
        <w:rPr>
          <w:rFonts w:asciiTheme="majorHAnsi" w:hAnsiTheme="majorHAnsi" w:cstheme="majorHAnsi"/>
          <w:b/>
          <w:sz w:val="24"/>
          <w:szCs w:val="24"/>
          <w:lang w:val="ro-MD"/>
        </w:rPr>
        <w:t>200</w:t>
      </w:r>
      <w:r w:rsidR="009D6C8C"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01 mi</w:t>
      </w:r>
      <w:r w:rsidR="009D6C8C" w:rsidRPr="009E5B39">
        <w:rPr>
          <w:rFonts w:asciiTheme="majorHAnsi" w:hAnsiTheme="majorHAnsi" w:cstheme="majorHAnsi"/>
          <w:b/>
          <w:sz w:val="24"/>
          <w:szCs w:val="24"/>
          <w:lang w:val="ro-MD"/>
        </w:rPr>
        <w:t>l</w:t>
      </w:r>
      <w:r w:rsidRPr="009E5B39">
        <w:rPr>
          <w:rFonts w:asciiTheme="majorHAnsi" w:hAnsiTheme="majorHAnsi" w:cstheme="majorHAnsi"/>
          <w:b/>
          <w:sz w:val="24"/>
          <w:szCs w:val="24"/>
          <w:lang w:val="ro-MD"/>
        </w:rPr>
        <w:t xml:space="preserve"> lei</w:t>
      </w:r>
      <w:r w:rsidRPr="009E5B39">
        <w:rPr>
          <w:vertAlign w:val="superscript"/>
          <w:lang w:val="ro-MD"/>
        </w:rPr>
        <w:footnoteReference w:id="56"/>
      </w:r>
      <w:r w:rsidR="00F37A01"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 xml:space="preserve">și a instalațiilor de transmisie în valoare de </w:t>
      </w:r>
      <w:r w:rsidRPr="009E5B39">
        <w:rPr>
          <w:rFonts w:asciiTheme="majorHAnsi" w:hAnsiTheme="majorHAnsi" w:cstheme="majorHAnsi"/>
          <w:b/>
          <w:sz w:val="24"/>
          <w:szCs w:val="24"/>
          <w:lang w:val="ro-MD"/>
        </w:rPr>
        <w:t>39</w:t>
      </w:r>
      <w:r w:rsidR="009D6C8C"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9</w:t>
      </w:r>
      <w:r w:rsidR="009D6C8C" w:rsidRPr="009E5B39">
        <w:rPr>
          <w:rFonts w:asciiTheme="majorHAnsi" w:hAnsiTheme="majorHAnsi" w:cstheme="majorHAnsi"/>
          <w:b/>
          <w:sz w:val="24"/>
          <w:szCs w:val="24"/>
          <w:lang w:val="ro-MD"/>
        </w:rPr>
        <w:t>6</w:t>
      </w:r>
      <w:r w:rsidRPr="009E5B39">
        <w:rPr>
          <w:rFonts w:asciiTheme="majorHAnsi" w:hAnsiTheme="majorHAnsi" w:cstheme="majorHAnsi"/>
          <w:b/>
          <w:sz w:val="24"/>
          <w:szCs w:val="24"/>
          <w:lang w:val="ro-MD"/>
        </w:rPr>
        <w:t xml:space="preserve"> mi</w:t>
      </w:r>
      <w:r w:rsidR="009D6C8C" w:rsidRPr="009E5B39">
        <w:rPr>
          <w:rFonts w:asciiTheme="majorHAnsi" w:hAnsiTheme="majorHAnsi" w:cstheme="majorHAnsi"/>
          <w:b/>
          <w:sz w:val="24"/>
          <w:szCs w:val="24"/>
          <w:lang w:val="ro-MD"/>
        </w:rPr>
        <w:t>l</w:t>
      </w:r>
      <w:r w:rsidR="009069BC"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vertAlign w:val="superscript"/>
          <w:lang w:val="ro-MD"/>
        </w:rPr>
        <w:footnoteReference w:id="57"/>
      </w:r>
      <w:r w:rsidRPr="009E5B39">
        <w:rPr>
          <w:rFonts w:asciiTheme="majorHAnsi" w:hAnsiTheme="majorHAnsi" w:cstheme="majorHAnsi"/>
          <w:sz w:val="24"/>
          <w:szCs w:val="24"/>
          <w:lang w:val="ro-MD"/>
        </w:rPr>
        <w:t xml:space="preserve"> constituie lucrări de reparații mijlocii/capitale, </w:t>
      </w:r>
      <w:r w:rsidR="009069BC" w:rsidRPr="009E5B39">
        <w:rPr>
          <w:rFonts w:asciiTheme="majorHAnsi" w:hAnsiTheme="majorHAnsi" w:cstheme="majorHAnsi"/>
          <w:sz w:val="24"/>
          <w:szCs w:val="24"/>
          <w:lang w:val="ro-MD"/>
        </w:rPr>
        <w:t>care,</w:t>
      </w:r>
      <w:r w:rsidRPr="009E5B39">
        <w:rPr>
          <w:rFonts w:asciiTheme="majorHAnsi" w:hAnsiTheme="majorHAnsi" w:cstheme="majorHAnsi"/>
          <w:sz w:val="24"/>
          <w:szCs w:val="24"/>
          <w:lang w:val="ro-MD"/>
        </w:rPr>
        <w:t xml:space="preserve"> potrivit SNC</w:t>
      </w:r>
      <w:r w:rsidR="009069B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urmau a fi reflectate la majorarea valorii obiectului reparat, acestea execut</w:t>
      </w:r>
      <w:r w:rsidR="009069BC" w:rsidRPr="009E5B39">
        <w:rPr>
          <w:rFonts w:asciiTheme="majorHAnsi" w:hAnsiTheme="majorHAnsi" w:cstheme="majorHAnsi"/>
          <w:sz w:val="24"/>
          <w:szCs w:val="24"/>
          <w:lang w:val="ro-MD"/>
        </w:rPr>
        <w:t>ându-se</w:t>
      </w:r>
      <w:r w:rsidRPr="009E5B39">
        <w:rPr>
          <w:rFonts w:asciiTheme="majorHAnsi" w:hAnsiTheme="majorHAnsi" w:cstheme="majorHAnsi"/>
          <w:sz w:val="24"/>
          <w:szCs w:val="24"/>
          <w:lang w:val="ro-MD"/>
        </w:rPr>
        <w:t xml:space="preserve"> pe suprafețe mari, fiind înlocuite bordurile și pavate trotuarele, moderniza</w:t>
      </w:r>
      <w:r w:rsidR="009069BC" w:rsidRPr="009E5B39">
        <w:rPr>
          <w:rFonts w:asciiTheme="majorHAnsi" w:hAnsiTheme="majorHAnsi" w:cstheme="majorHAnsi"/>
          <w:sz w:val="24"/>
          <w:szCs w:val="24"/>
          <w:lang w:val="ro-MD"/>
        </w:rPr>
        <w:t>te</w:t>
      </w:r>
      <w:r w:rsidRPr="009E5B39">
        <w:rPr>
          <w:rFonts w:asciiTheme="majorHAnsi" w:hAnsiTheme="majorHAnsi" w:cstheme="majorHAnsi"/>
          <w:sz w:val="24"/>
          <w:szCs w:val="24"/>
          <w:lang w:val="ro-MD"/>
        </w:rPr>
        <w:t>/renova</w:t>
      </w:r>
      <w:r w:rsidR="009069BC" w:rsidRPr="009E5B39">
        <w:rPr>
          <w:rFonts w:asciiTheme="majorHAnsi" w:hAnsiTheme="majorHAnsi" w:cstheme="majorHAnsi"/>
          <w:sz w:val="24"/>
          <w:szCs w:val="24"/>
          <w:lang w:val="ro-MD"/>
        </w:rPr>
        <w:t xml:space="preserve">te </w:t>
      </w:r>
      <w:r w:rsidRPr="009E5B39">
        <w:rPr>
          <w:rFonts w:asciiTheme="majorHAnsi" w:hAnsiTheme="majorHAnsi" w:cstheme="majorHAnsi"/>
          <w:sz w:val="24"/>
          <w:szCs w:val="24"/>
          <w:lang w:val="ro-MD"/>
        </w:rPr>
        <w:t>sistemul public de iluminat și obiectivel</w:t>
      </w:r>
      <w:r w:rsidR="009069BC"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de semafoare, astfel</w:t>
      </w:r>
      <w:r w:rsidR="003B2149" w:rsidRPr="009E5B39">
        <w:rPr>
          <w:rFonts w:asciiTheme="majorHAnsi" w:hAnsiTheme="majorHAnsi" w:cstheme="majorHAnsi"/>
          <w:sz w:val="24"/>
          <w:szCs w:val="24"/>
          <w:lang w:val="ro-MD"/>
        </w:rPr>
        <w:t xml:space="preserve"> </w:t>
      </w:r>
      <w:r w:rsidRPr="009E5B39">
        <w:rPr>
          <w:rFonts w:asciiTheme="majorHAnsi" w:eastAsia="Calibri" w:hAnsiTheme="majorHAnsi" w:cstheme="majorHAnsi"/>
          <w:i/>
          <w:sz w:val="24"/>
          <w:szCs w:val="24"/>
          <w:lang w:val="ro-MD"/>
        </w:rPr>
        <w:t xml:space="preserve"> </w:t>
      </w:r>
      <w:r w:rsidRPr="009E5B39">
        <w:rPr>
          <w:rFonts w:asciiTheme="majorHAnsi" w:eastAsia="Calibri" w:hAnsiTheme="majorHAnsi" w:cstheme="majorHAnsi"/>
          <w:sz w:val="24"/>
          <w:szCs w:val="24"/>
          <w:lang w:val="ro-MD"/>
        </w:rPr>
        <w:t>îmbunătăți</w:t>
      </w:r>
      <w:r w:rsidR="003B2149" w:rsidRPr="009E5B39">
        <w:rPr>
          <w:rFonts w:asciiTheme="majorHAnsi" w:eastAsia="Calibri" w:hAnsiTheme="majorHAnsi" w:cstheme="majorHAnsi"/>
          <w:sz w:val="24"/>
          <w:szCs w:val="24"/>
          <w:lang w:val="ro-MD"/>
        </w:rPr>
        <w:t>ndu-se</w:t>
      </w:r>
      <w:r w:rsidRPr="009E5B39">
        <w:rPr>
          <w:rFonts w:asciiTheme="majorHAnsi" w:eastAsia="Calibri" w:hAnsiTheme="majorHAnsi" w:cstheme="majorHAnsi"/>
          <w:sz w:val="24"/>
          <w:szCs w:val="24"/>
          <w:lang w:val="ro-MD"/>
        </w:rPr>
        <w:t xml:space="preserve"> caracteristicile inițiale a</w:t>
      </w:r>
      <w:r w:rsidR="003B2149" w:rsidRPr="009E5B39">
        <w:rPr>
          <w:rFonts w:asciiTheme="majorHAnsi" w:eastAsia="Calibri" w:hAnsiTheme="majorHAnsi" w:cstheme="majorHAnsi"/>
          <w:sz w:val="24"/>
          <w:szCs w:val="24"/>
          <w:lang w:val="ro-MD"/>
        </w:rPr>
        <w:t>le</w:t>
      </w:r>
      <w:r w:rsidRPr="009E5B39">
        <w:rPr>
          <w:rFonts w:asciiTheme="majorHAnsi" w:eastAsia="Calibri" w:hAnsiTheme="majorHAnsi" w:cstheme="majorHAnsi"/>
          <w:sz w:val="24"/>
          <w:szCs w:val="24"/>
          <w:lang w:val="ro-MD"/>
        </w:rPr>
        <w:t xml:space="preserve"> acestora și major</w:t>
      </w:r>
      <w:r w:rsidR="003B2149" w:rsidRPr="009E5B39">
        <w:rPr>
          <w:rFonts w:asciiTheme="majorHAnsi" w:eastAsia="Calibri" w:hAnsiTheme="majorHAnsi" w:cstheme="majorHAnsi"/>
          <w:sz w:val="24"/>
          <w:szCs w:val="24"/>
          <w:lang w:val="ro-MD"/>
        </w:rPr>
        <w:t>ându-se</w:t>
      </w:r>
      <w:r w:rsidRPr="009E5B39">
        <w:rPr>
          <w:rFonts w:asciiTheme="majorHAnsi" w:eastAsia="Calibri" w:hAnsiTheme="majorHAnsi" w:cstheme="majorHAnsi"/>
          <w:sz w:val="24"/>
          <w:szCs w:val="24"/>
          <w:lang w:val="ro-MD"/>
        </w:rPr>
        <w:t xml:space="preserve"> beneficiile economice așteptate din utilizarea obiectului reparat.  </w:t>
      </w:r>
    </w:p>
    <w:p w14:paraId="044CC1B3" w14:textId="303FAC59" w:rsidR="00E35985" w:rsidRPr="009E5B39" w:rsidRDefault="00E35985" w:rsidP="00CC07C4">
      <w:pPr>
        <w:pStyle w:val="ListParagraph"/>
        <w:numPr>
          <w:ilvl w:val="0"/>
          <w:numId w:val="113"/>
        </w:numPr>
        <w:tabs>
          <w:tab w:val="left" w:pos="426"/>
        </w:tabs>
        <w:spacing w:after="0" w:line="276" w:lineRule="auto"/>
        <w:ind w:left="0" w:firstLine="567"/>
        <w:jc w:val="both"/>
        <w:rPr>
          <w:rFonts w:asciiTheme="majorHAnsi" w:hAnsiTheme="majorHAnsi" w:cstheme="majorHAnsi"/>
          <w:sz w:val="24"/>
          <w:szCs w:val="24"/>
          <w:lang w:val="ro-MD"/>
        </w:rPr>
      </w:pPr>
      <w:r w:rsidRPr="009E5B39">
        <w:rPr>
          <w:rFonts w:asciiTheme="majorHAnsi" w:eastAsia="Calibri" w:hAnsiTheme="majorHAnsi" w:cstheme="majorHAnsi"/>
          <w:sz w:val="24"/>
          <w:szCs w:val="24"/>
          <w:lang w:val="ro-MD"/>
        </w:rPr>
        <w:t xml:space="preserve">    </w:t>
      </w:r>
      <w:r w:rsidRPr="009E5B39">
        <w:rPr>
          <w:rFonts w:asciiTheme="majorHAnsi" w:hAnsiTheme="majorHAnsi" w:cstheme="majorHAnsi"/>
          <w:b/>
          <w:i/>
          <w:sz w:val="24"/>
          <w:szCs w:val="24"/>
          <w:lang w:val="ro-MD"/>
        </w:rPr>
        <w:t xml:space="preserve">CMC fragmentează responsabilitățile ce vizează unul și același obiect, prin implicarea mai multor instituții din subordinea </w:t>
      </w:r>
      <w:r w:rsidRPr="009E5B39">
        <w:rPr>
          <w:rFonts w:asciiTheme="majorHAnsi" w:eastAsia="Times New Roman" w:hAnsiTheme="majorHAnsi" w:cstheme="majorHAnsi"/>
          <w:b/>
          <w:bCs/>
          <w:i/>
          <w:iCs/>
          <w:sz w:val="24"/>
          <w:szCs w:val="24"/>
          <w:lang w:val="ro-MD"/>
        </w:rPr>
        <w:t xml:space="preserve">APL a mun. </w:t>
      </w:r>
      <w:r w:rsidRPr="009E5B39">
        <w:rPr>
          <w:rFonts w:asciiTheme="majorHAnsi" w:hAnsiTheme="majorHAnsi" w:cstheme="majorHAnsi"/>
          <w:b/>
          <w:i/>
          <w:sz w:val="24"/>
          <w:szCs w:val="24"/>
          <w:lang w:val="ro-MD"/>
        </w:rPr>
        <w:t>Chișinău</w:t>
      </w:r>
      <w:r w:rsidR="00C55743" w:rsidRPr="009E5B39">
        <w:rPr>
          <w:rFonts w:asciiTheme="majorHAnsi" w:hAnsiTheme="majorHAnsi" w:cstheme="majorHAnsi"/>
          <w:b/>
          <w:i/>
          <w:sz w:val="24"/>
          <w:szCs w:val="24"/>
          <w:lang w:val="ro-MD"/>
        </w:rPr>
        <w:t xml:space="preserve"> </w:t>
      </w:r>
      <w:r w:rsidRPr="009E5B39">
        <w:rPr>
          <w:rFonts w:asciiTheme="majorHAnsi" w:hAnsiTheme="majorHAnsi" w:cstheme="majorHAnsi"/>
          <w:b/>
          <w:i/>
          <w:sz w:val="24"/>
          <w:szCs w:val="24"/>
          <w:lang w:val="ro-MD"/>
        </w:rPr>
        <w:t xml:space="preserve">și neimplicarea </w:t>
      </w:r>
      <w:r w:rsidR="00EE3B85" w:rsidRPr="009E5B39">
        <w:rPr>
          <w:rFonts w:asciiTheme="majorHAnsi" w:hAnsiTheme="majorHAnsi" w:cstheme="majorHAnsi"/>
          <w:b/>
          <w:i/>
          <w:sz w:val="24"/>
          <w:szCs w:val="24"/>
          <w:lang w:val="ro-MD"/>
        </w:rPr>
        <w:t xml:space="preserve">instituției responsabile de un domeniu </w:t>
      </w:r>
      <w:r w:rsidRPr="009E5B39">
        <w:rPr>
          <w:rFonts w:asciiTheme="majorHAnsi" w:hAnsiTheme="majorHAnsi" w:cstheme="majorHAnsi"/>
          <w:b/>
          <w:i/>
          <w:sz w:val="24"/>
          <w:szCs w:val="24"/>
          <w:lang w:val="ro-MD"/>
        </w:rPr>
        <w:t>în anumite tranzacții care țin de competența acesteia.</w:t>
      </w:r>
      <w:r w:rsidRPr="009E5B39">
        <w:rPr>
          <w:rFonts w:asciiTheme="majorHAnsi" w:hAnsiTheme="majorHAnsi" w:cstheme="majorHAnsi"/>
          <w:b/>
          <w:sz w:val="24"/>
          <w:szCs w:val="24"/>
          <w:lang w:val="ro-MD"/>
        </w:rPr>
        <w:t xml:space="preserve"> </w:t>
      </w:r>
      <w:r w:rsidRPr="009E5B39">
        <w:rPr>
          <w:rFonts w:asciiTheme="majorHAnsi" w:eastAsia="Calibri" w:hAnsiTheme="majorHAnsi" w:cstheme="majorHAnsi"/>
          <w:sz w:val="24"/>
          <w:szCs w:val="24"/>
          <w:lang w:val="ro-MD"/>
        </w:rPr>
        <w:t xml:space="preserve">Deși, potrivit Regulamentului, DGTPCC îi revine </w:t>
      </w:r>
      <w:r w:rsidRPr="009E5B39">
        <w:rPr>
          <w:rFonts w:asciiTheme="majorHAnsi" w:hAnsiTheme="majorHAnsi" w:cstheme="majorHAnsi"/>
          <w:sz w:val="24"/>
          <w:szCs w:val="24"/>
          <w:lang w:val="ro-MD"/>
        </w:rPr>
        <w:t>dreptul de beneficiar în domeniul dezvoltării și exploatării transportului public și căilor de comunicație, CMC aprobă alocații pentru reparațiile curente/capitale ale acestora în bugetul altor instituții din subordine, cum ar fi Preturile de sector, care planifică/execută și raportează neconform reparațiile capitale ale obiectivelor care nu se regăsesc în evidența contabilă a acestora, la cheltuieli privind serviciile neatribuite altor alin</w:t>
      </w:r>
      <w:r w:rsidR="00D45298"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ate (cod ECO 222990). Astfel, valoarea lucrărilor capitale executate nu </w:t>
      </w:r>
      <w:r w:rsidR="00EE3B85" w:rsidRPr="009E5B39">
        <w:rPr>
          <w:rFonts w:asciiTheme="majorHAnsi" w:hAnsiTheme="majorHAnsi" w:cstheme="majorHAnsi"/>
          <w:sz w:val="24"/>
          <w:szCs w:val="24"/>
          <w:lang w:val="ro-MD"/>
        </w:rPr>
        <w:t>este</w:t>
      </w:r>
      <w:r w:rsidRPr="009E5B39">
        <w:rPr>
          <w:rFonts w:asciiTheme="majorHAnsi" w:hAnsiTheme="majorHAnsi" w:cstheme="majorHAnsi"/>
          <w:sz w:val="24"/>
          <w:szCs w:val="24"/>
          <w:lang w:val="ro-MD"/>
        </w:rPr>
        <w:t xml:space="preserve"> transmis</w:t>
      </w:r>
      <w:r w:rsidR="00EE3B85"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beneficiarului pentru capitalizare. Un exemplu elocvent </w:t>
      </w:r>
      <w:r w:rsidR="00EE3B85" w:rsidRPr="009E5B39">
        <w:rPr>
          <w:rFonts w:asciiTheme="majorHAnsi" w:hAnsiTheme="majorHAnsi" w:cstheme="majorHAnsi"/>
          <w:sz w:val="24"/>
          <w:szCs w:val="24"/>
          <w:lang w:val="ro-MD"/>
        </w:rPr>
        <w:t xml:space="preserve">în acest sens </w:t>
      </w:r>
      <w:r w:rsidRPr="009E5B39">
        <w:rPr>
          <w:rFonts w:asciiTheme="majorHAnsi" w:hAnsiTheme="majorHAnsi" w:cstheme="majorHAnsi"/>
          <w:sz w:val="24"/>
          <w:szCs w:val="24"/>
          <w:lang w:val="ro-MD"/>
        </w:rPr>
        <w:t xml:space="preserve">este obiectivul </w:t>
      </w:r>
      <w:r w:rsidRPr="009E5B39">
        <w:rPr>
          <w:rFonts w:asciiTheme="majorHAnsi" w:hAnsiTheme="majorHAnsi" w:cstheme="majorHAnsi"/>
          <w:b/>
          <w:sz w:val="24"/>
          <w:szCs w:val="24"/>
          <w:lang w:val="ro-MD"/>
        </w:rPr>
        <w:t>Reconstrucția aleii de pe bulevardul Mircea cel Bătr</w:t>
      </w:r>
      <w:r w:rsidR="00D9232B" w:rsidRPr="009E5B39">
        <w:rPr>
          <w:rFonts w:asciiTheme="majorHAnsi" w:hAnsiTheme="majorHAnsi" w:cstheme="majorHAnsi"/>
          <w:b/>
          <w:sz w:val="24"/>
          <w:szCs w:val="24"/>
          <w:lang w:val="ro-MD"/>
        </w:rPr>
        <w:t>â</w:t>
      </w:r>
      <w:r w:rsidRPr="009E5B39">
        <w:rPr>
          <w:rFonts w:asciiTheme="majorHAnsi" w:hAnsiTheme="majorHAnsi" w:cstheme="majorHAnsi"/>
          <w:b/>
          <w:sz w:val="24"/>
          <w:szCs w:val="24"/>
          <w:lang w:val="ro-MD"/>
        </w:rPr>
        <w:t xml:space="preserve">n. </w:t>
      </w:r>
      <w:r w:rsidRPr="009E5B39">
        <w:rPr>
          <w:rFonts w:asciiTheme="majorHAnsi" w:hAnsiTheme="majorHAnsi" w:cstheme="majorHAnsi"/>
          <w:sz w:val="24"/>
          <w:szCs w:val="24"/>
          <w:lang w:val="ro-MD"/>
        </w:rPr>
        <w:t>Lucrările privind elaborarea proiectului, a planului topografic, amenajarea pistei pentru bicicliști, de montare a cablurilor și utilajului electric, etc. a</w:t>
      </w:r>
      <w:r w:rsidR="00EE3B85" w:rsidRPr="009E5B39">
        <w:rPr>
          <w:rFonts w:asciiTheme="majorHAnsi" w:hAnsiTheme="majorHAnsi" w:cstheme="majorHAnsi"/>
          <w:sz w:val="24"/>
          <w:szCs w:val="24"/>
          <w:lang w:val="ro-MD"/>
        </w:rPr>
        <w:t>u</w:t>
      </w:r>
      <w:r w:rsidRPr="009E5B39">
        <w:rPr>
          <w:rFonts w:asciiTheme="majorHAnsi" w:hAnsiTheme="majorHAnsi" w:cstheme="majorHAnsi"/>
          <w:sz w:val="24"/>
          <w:szCs w:val="24"/>
          <w:lang w:val="ro-MD"/>
        </w:rPr>
        <w:t xml:space="preserve"> fost pus</w:t>
      </w:r>
      <w:r w:rsidR="00EE3B85"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în sarcina Preturii sectorului Ciocana. Pentru lucrările de reconstrucție a </w:t>
      </w:r>
      <w:r w:rsidR="00F14EEC" w:rsidRPr="009E5B39">
        <w:rPr>
          <w:rFonts w:asciiTheme="majorHAnsi" w:hAnsiTheme="majorHAnsi" w:cstheme="majorHAnsi"/>
          <w:sz w:val="24"/>
          <w:szCs w:val="24"/>
          <w:lang w:val="ro-MD"/>
        </w:rPr>
        <w:t>aleii</w:t>
      </w:r>
      <w:r w:rsidRPr="009E5B39">
        <w:rPr>
          <w:rFonts w:asciiTheme="majorHAnsi" w:hAnsiTheme="majorHAnsi" w:cstheme="majorHAnsi"/>
          <w:sz w:val="24"/>
          <w:szCs w:val="24"/>
          <w:lang w:val="ro-MD"/>
        </w:rPr>
        <w:t xml:space="preserve"> </w:t>
      </w:r>
      <w:r w:rsidR="00EE3B85" w:rsidRPr="009E5B39">
        <w:rPr>
          <w:rFonts w:asciiTheme="majorHAnsi" w:hAnsiTheme="majorHAnsi" w:cstheme="majorHAnsi"/>
          <w:sz w:val="24"/>
          <w:szCs w:val="24"/>
          <w:lang w:val="ro-MD"/>
        </w:rPr>
        <w:t>s-au</w:t>
      </w:r>
      <w:r w:rsidRPr="009E5B39">
        <w:rPr>
          <w:rFonts w:asciiTheme="majorHAnsi" w:hAnsiTheme="majorHAnsi" w:cstheme="majorHAnsi"/>
          <w:sz w:val="24"/>
          <w:szCs w:val="24"/>
          <w:lang w:val="ro-MD"/>
        </w:rPr>
        <w:t xml:space="preserve"> utilizat, din bugetul preturii, </w:t>
      </w:r>
      <w:r w:rsidRPr="009E5B39">
        <w:rPr>
          <w:rFonts w:asciiTheme="majorHAnsi" w:hAnsiTheme="majorHAnsi" w:cstheme="majorHAnsi"/>
          <w:b/>
          <w:sz w:val="24"/>
          <w:szCs w:val="24"/>
          <w:lang w:val="ro-MD"/>
        </w:rPr>
        <w:t>4</w:t>
      </w:r>
      <w:r w:rsidR="009D6C8C"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65 mi</w:t>
      </w:r>
      <w:r w:rsidR="009D6C8C" w:rsidRPr="009E5B39">
        <w:rPr>
          <w:rFonts w:asciiTheme="majorHAnsi" w:hAnsiTheme="majorHAnsi" w:cstheme="majorHAnsi"/>
          <w:b/>
          <w:sz w:val="24"/>
          <w:szCs w:val="24"/>
          <w:lang w:val="ro-MD"/>
        </w:rPr>
        <w:t>l</w:t>
      </w:r>
      <w:r w:rsidR="00EE3B85"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care au fost planificate, executate și raportate ca servicii neatribuite altor alin</w:t>
      </w:r>
      <w:r w:rsidR="00010518"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ate (cod ECO 222990). Totodată, din bugetul DGTPCC, în anul 2020, au fost achitate ÎM Regia </w:t>
      </w:r>
      <w:r w:rsidR="0001051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ExDrupo</w:t>
      </w:r>
      <w:r w:rsidR="0001051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lucrări</w:t>
      </w:r>
      <w:r w:rsidR="00010518" w:rsidRPr="009E5B39">
        <w:rPr>
          <w:rFonts w:asciiTheme="majorHAnsi" w:hAnsiTheme="majorHAnsi" w:cstheme="majorHAnsi"/>
          <w:sz w:val="24"/>
          <w:szCs w:val="24"/>
          <w:lang w:val="ro-MD"/>
        </w:rPr>
        <w:t>le</w:t>
      </w:r>
      <w:r w:rsidRPr="009E5B39">
        <w:rPr>
          <w:rFonts w:asciiTheme="majorHAnsi" w:hAnsiTheme="majorHAnsi" w:cstheme="majorHAnsi"/>
          <w:sz w:val="24"/>
          <w:szCs w:val="24"/>
          <w:lang w:val="ro-MD"/>
        </w:rPr>
        <w:t xml:space="preserve"> de r</w:t>
      </w:r>
      <w:r w:rsidR="00F14EEC">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parație a trotuarelor pe aleea respectivă, în </w:t>
      </w:r>
      <w:r w:rsidR="00010518" w:rsidRPr="009E5B39">
        <w:rPr>
          <w:rFonts w:asciiTheme="majorHAnsi" w:hAnsiTheme="majorHAnsi" w:cstheme="majorHAnsi"/>
          <w:sz w:val="24"/>
          <w:szCs w:val="24"/>
          <w:lang w:val="ro-MD"/>
        </w:rPr>
        <w:t>valoare</w:t>
      </w:r>
      <w:r w:rsidRPr="009E5B39">
        <w:rPr>
          <w:rFonts w:asciiTheme="majorHAnsi" w:hAnsiTheme="majorHAnsi" w:cstheme="majorHAnsi"/>
          <w:sz w:val="24"/>
          <w:szCs w:val="24"/>
          <w:lang w:val="ro-MD"/>
        </w:rPr>
        <w:t xml:space="preserve"> totală de circa </w:t>
      </w:r>
      <w:r w:rsidRPr="009E5B39">
        <w:rPr>
          <w:rFonts w:asciiTheme="majorHAnsi" w:hAnsiTheme="majorHAnsi" w:cstheme="majorHAnsi"/>
          <w:b/>
          <w:sz w:val="24"/>
          <w:szCs w:val="24"/>
          <w:lang w:val="ro-MD"/>
        </w:rPr>
        <w:t>7</w:t>
      </w:r>
      <w:r w:rsidR="009D6C8C"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1</w:t>
      </w:r>
      <w:r w:rsidR="009D6C8C" w:rsidRPr="009E5B39">
        <w:rPr>
          <w:rFonts w:asciiTheme="majorHAnsi" w:hAnsiTheme="majorHAnsi" w:cstheme="majorHAnsi"/>
          <w:b/>
          <w:sz w:val="24"/>
          <w:szCs w:val="24"/>
          <w:lang w:val="ro-MD"/>
        </w:rPr>
        <w:t>2</w:t>
      </w:r>
      <w:r w:rsidRPr="009E5B39">
        <w:rPr>
          <w:rFonts w:asciiTheme="majorHAnsi" w:hAnsiTheme="majorHAnsi" w:cstheme="majorHAnsi"/>
          <w:b/>
          <w:sz w:val="24"/>
          <w:szCs w:val="24"/>
          <w:lang w:val="ro-MD"/>
        </w:rPr>
        <w:t xml:space="preserve"> mi</w:t>
      </w:r>
      <w:r w:rsidR="009D6C8C" w:rsidRPr="009E5B39">
        <w:rPr>
          <w:rFonts w:asciiTheme="majorHAnsi" w:hAnsiTheme="majorHAnsi" w:cstheme="majorHAnsi"/>
          <w:b/>
          <w:sz w:val="24"/>
          <w:szCs w:val="24"/>
          <w:lang w:val="ro-MD"/>
        </w:rPr>
        <w:t>l</w:t>
      </w:r>
      <w:r w:rsidR="00010518"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w:t>
      </w:r>
      <w:r w:rsidR="00A57E6D" w:rsidRPr="009E5B39">
        <w:rPr>
          <w:rFonts w:asciiTheme="majorHAnsi" w:hAnsiTheme="majorHAnsi" w:cstheme="majorHAnsi"/>
          <w:sz w:val="24"/>
          <w:szCs w:val="24"/>
          <w:lang w:val="ro-MD"/>
        </w:rPr>
        <w:t xml:space="preserve">din contul serviciilor pentru reparații curente (cod ECO 222500), </w:t>
      </w:r>
      <w:r w:rsidRPr="009E5B39">
        <w:rPr>
          <w:rFonts w:asciiTheme="majorHAnsi" w:hAnsiTheme="majorHAnsi" w:cstheme="majorHAnsi"/>
          <w:sz w:val="24"/>
          <w:szCs w:val="24"/>
          <w:lang w:val="ro-MD"/>
        </w:rPr>
        <w:t xml:space="preserve">precum și </w:t>
      </w:r>
      <w:r w:rsidR="00010518" w:rsidRPr="009E5B39">
        <w:rPr>
          <w:rFonts w:asciiTheme="majorHAnsi" w:hAnsiTheme="majorHAnsi" w:cstheme="majorHAnsi"/>
          <w:sz w:val="24"/>
          <w:szCs w:val="24"/>
          <w:lang w:val="ro-MD"/>
        </w:rPr>
        <w:t xml:space="preserve">ÎM Regia „Lumteh” – </w:t>
      </w:r>
      <w:r w:rsidRPr="009E5B39">
        <w:rPr>
          <w:rFonts w:asciiTheme="majorHAnsi" w:hAnsiTheme="majorHAnsi" w:cstheme="majorHAnsi"/>
          <w:sz w:val="24"/>
          <w:szCs w:val="24"/>
          <w:lang w:val="ro-MD"/>
        </w:rPr>
        <w:t>lucrări</w:t>
      </w:r>
      <w:r w:rsidR="00010518" w:rsidRPr="009E5B39">
        <w:rPr>
          <w:rFonts w:asciiTheme="majorHAnsi" w:hAnsiTheme="majorHAnsi" w:cstheme="majorHAnsi"/>
          <w:sz w:val="24"/>
          <w:szCs w:val="24"/>
          <w:lang w:val="ro-MD"/>
        </w:rPr>
        <w:t xml:space="preserve">le </w:t>
      </w:r>
      <w:r w:rsidRPr="009E5B39">
        <w:rPr>
          <w:rFonts w:asciiTheme="majorHAnsi" w:hAnsiTheme="majorHAnsi" w:cstheme="majorHAnsi"/>
          <w:sz w:val="24"/>
          <w:szCs w:val="24"/>
          <w:lang w:val="ro-MD"/>
        </w:rPr>
        <w:t xml:space="preserve"> de montare a cablurilor și utilajului electric, în valoare totală de </w:t>
      </w:r>
      <w:r w:rsidRPr="009E5B39">
        <w:rPr>
          <w:rFonts w:asciiTheme="majorHAnsi" w:hAnsiTheme="majorHAnsi" w:cstheme="majorHAnsi"/>
          <w:b/>
          <w:sz w:val="24"/>
          <w:szCs w:val="24"/>
          <w:lang w:val="ro-MD"/>
        </w:rPr>
        <w:t>2</w:t>
      </w:r>
      <w:r w:rsidR="009D6C8C"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03 mi</w:t>
      </w:r>
      <w:r w:rsidR="009D6C8C" w:rsidRPr="009E5B39">
        <w:rPr>
          <w:rFonts w:asciiTheme="majorHAnsi" w:hAnsiTheme="majorHAnsi" w:cstheme="majorHAnsi"/>
          <w:b/>
          <w:sz w:val="24"/>
          <w:szCs w:val="24"/>
          <w:lang w:val="ro-MD"/>
        </w:rPr>
        <w:t>l</w:t>
      </w:r>
      <w:r w:rsidR="00010518"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din contul alocațiilor pentru servicii neatribuite altor alin</w:t>
      </w:r>
      <w:r w:rsidR="00010518"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ate (cod ECO 222990). </w:t>
      </w:r>
    </w:p>
    <w:p w14:paraId="0FAFABC0" w14:textId="248E28F7" w:rsidR="00E35985" w:rsidRPr="009E5B39" w:rsidRDefault="00E35985" w:rsidP="00CC07C4">
      <w:pPr>
        <w:pStyle w:val="ListParagraph"/>
        <w:numPr>
          <w:ilvl w:val="0"/>
          <w:numId w:val="113"/>
        </w:numPr>
        <w:tabs>
          <w:tab w:val="left" w:pos="426"/>
        </w:tabs>
        <w:spacing w:after="0" w:line="276" w:lineRule="auto"/>
        <w:ind w:left="0" w:firstLine="567"/>
        <w:jc w:val="both"/>
        <w:rPr>
          <w:rFonts w:asciiTheme="majorHAnsi" w:hAnsiTheme="majorHAnsi" w:cstheme="majorHAnsi"/>
          <w:sz w:val="24"/>
          <w:szCs w:val="24"/>
          <w:lang w:val="ro-MD"/>
        </w:rPr>
      </w:pPr>
      <w:r w:rsidRPr="009E5B39">
        <w:rPr>
          <w:rFonts w:asciiTheme="majorHAnsi" w:eastAsia="Calibri" w:hAnsiTheme="majorHAnsi" w:cstheme="majorHAnsi"/>
          <w:b/>
          <w:i/>
          <w:sz w:val="24"/>
          <w:szCs w:val="24"/>
          <w:lang w:val="ro-MD"/>
        </w:rPr>
        <w:t>Preturile de sector nu au asigurat recepționarea valorii lucrărilor capitale ale pasajelor subterane de pietoni din mun. Chișinău, executate de către entități terțe (agenții economici - din surse proprii, preturi – din surse bugetare)</w:t>
      </w:r>
      <w:r w:rsidR="00A57E6D" w:rsidRPr="009E5B39">
        <w:rPr>
          <w:rFonts w:asciiTheme="majorHAnsi" w:eastAsia="Calibri" w:hAnsiTheme="majorHAnsi" w:cstheme="majorHAnsi"/>
          <w:b/>
          <w:i/>
          <w:sz w:val="24"/>
          <w:szCs w:val="24"/>
          <w:lang w:val="ro-MD"/>
        </w:rPr>
        <w:t>,</w:t>
      </w:r>
      <w:r w:rsidRPr="009E5B39">
        <w:rPr>
          <w:rFonts w:asciiTheme="majorHAnsi" w:eastAsia="Calibri" w:hAnsiTheme="majorHAnsi" w:cstheme="majorHAnsi"/>
          <w:b/>
          <w:i/>
          <w:sz w:val="24"/>
          <w:szCs w:val="24"/>
          <w:lang w:val="ro-MD"/>
        </w:rPr>
        <w:t xml:space="preserve"> și transmiterea ulterioară a acest</w:t>
      </w:r>
      <w:r w:rsidR="00A57E6D" w:rsidRPr="009E5B39">
        <w:rPr>
          <w:rFonts w:asciiTheme="majorHAnsi" w:eastAsia="Calibri" w:hAnsiTheme="majorHAnsi" w:cstheme="majorHAnsi"/>
          <w:b/>
          <w:i/>
          <w:sz w:val="24"/>
          <w:szCs w:val="24"/>
          <w:lang w:val="ro-MD"/>
        </w:rPr>
        <w:t>eia</w:t>
      </w:r>
      <w:r w:rsidR="00010518" w:rsidRPr="009E5B39">
        <w:rPr>
          <w:rFonts w:asciiTheme="majorHAnsi" w:eastAsia="Calibri" w:hAnsiTheme="majorHAnsi" w:cstheme="majorHAnsi"/>
          <w:b/>
          <w:i/>
          <w:sz w:val="24"/>
          <w:szCs w:val="24"/>
          <w:lang w:val="ro-MD"/>
        </w:rPr>
        <w:t xml:space="preserve"> către</w:t>
      </w:r>
      <w:r w:rsidRPr="009E5B39">
        <w:rPr>
          <w:rFonts w:asciiTheme="majorHAnsi" w:eastAsia="Calibri" w:hAnsiTheme="majorHAnsi" w:cstheme="majorHAnsi"/>
          <w:b/>
          <w:i/>
          <w:sz w:val="24"/>
          <w:szCs w:val="24"/>
          <w:lang w:val="ro-MD"/>
        </w:rPr>
        <w:t xml:space="preserve"> DGTPCC</w:t>
      </w:r>
      <w:r w:rsidR="00010518" w:rsidRPr="009E5B39">
        <w:rPr>
          <w:rFonts w:asciiTheme="majorHAnsi" w:eastAsia="Calibri" w:hAnsiTheme="majorHAnsi" w:cstheme="majorHAnsi"/>
          <w:b/>
          <w:i/>
          <w:sz w:val="24"/>
          <w:szCs w:val="24"/>
          <w:lang w:val="ro-MD"/>
        </w:rPr>
        <w:t xml:space="preserve">, </w:t>
      </w:r>
      <w:r w:rsidRPr="009E5B39">
        <w:rPr>
          <w:rFonts w:asciiTheme="majorHAnsi" w:eastAsia="Calibri" w:hAnsiTheme="majorHAnsi" w:cstheme="majorHAnsi"/>
          <w:b/>
          <w:i/>
          <w:sz w:val="24"/>
          <w:szCs w:val="24"/>
          <w:lang w:val="ro-MD"/>
        </w:rPr>
        <w:t xml:space="preserve"> pentru capitalizare. </w:t>
      </w:r>
      <w:r w:rsidRPr="009E5B39">
        <w:rPr>
          <w:rFonts w:asciiTheme="majorHAnsi" w:eastAsia="Calibri" w:hAnsiTheme="majorHAnsi" w:cstheme="majorHAnsi"/>
          <w:sz w:val="24"/>
          <w:szCs w:val="24"/>
          <w:lang w:val="ro-MD"/>
        </w:rPr>
        <w:t xml:space="preserve"> În perioada </w:t>
      </w:r>
      <w:r w:rsidR="00010518" w:rsidRPr="009E5B39">
        <w:rPr>
          <w:rFonts w:asciiTheme="majorHAnsi" w:eastAsia="Calibri" w:hAnsiTheme="majorHAnsi" w:cstheme="majorHAnsi"/>
          <w:sz w:val="24"/>
          <w:szCs w:val="24"/>
          <w:lang w:val="ro-MD"/>
        </w:rPr>
        <w:t xml:space="preserve">anilor </w:t>
      </w:r>
      <w:r w:rsidRPr="009E5B39">
        <w:rPr>
          <w:rFonts w:asciiTheme="majorHAnsi" w:eastAsia="Calibri" w:hAnsiTheme="majorHAnsi" w:cstheme="majorHAnsi"/>
          <w:sz w:val="24"/>
          <w:szCs w:val="24"/>
          <w:lang w:val="ro-MD"/>
        </w:rPr>
        <w:t>2019-2021 au fost reparate 10 PSP</w:t>
      </w:r>
      <w:r w:rsidRPr="009E5B39">
        <w:rPr>
          <w:vertAlign w:val="superscript"/>
          <w:lang w:val="ro-MD"/>
        </w:rPr>
        <w:footnoteReference w:id="58"/>
      </w:r>
      <w:r w:rsidRPr="009E5B39">
        <w:rPr>
          <w:rFonts w:asciiTheme="majorHAnsi" w:eastAsia="Calibri" w:hAnsiTheme="majorHAnsi" w:cstheme="majorHAnsi"/>
          <w:sz w:val="24"/>
          <w:szCs w:val="24"/>
          <w:lang w:val="ro-MD"/>
        </w:rPr>
        <w:t xml:space="preserve">, </w:t>
      </w:r>
      <w:r w:rsidR="00A57E6D" w:rsidRPr="009E5B39">
        <w:rPr>
          <w:rFonts w:asciiTheme="majorHAnsi" w:eastAsia="Calibri" w:hAnsiTheme="majorHAnsi" w:cstheme="majorHAnsi"/>
          <w:sz w:val="24"/>
          <w:szCs w:val="24"/>
          <w:lang w:val="ro-MD"/>
        </w:rPr>
        <w:t xml:space="preserve">din sursele proprii ale </w:t>
      </w:r>
      <w:r w:rsidRPr="009E5B39">
        <w:rPr>
          <w:rFonts w:asciiTheme="majorHAnsi" w:eastAsia="Calibri" w:hAnsiTheme="majorHAnsi" w:cstheme="majorHAnsi"/>
          <w:sz w:val="24"/>
          <w:szCs w:val="24"/>
          <w:lang w:val="ro-MD"/>
        </w:rPr>
        <w:t xml:space="preserve"> agenți</w:t>
      </w:r>
      <w:r w:rsidR="00A57E6D" w:rsidRPr="009E5B39">
        <w:rPr>
          <w:rFonts w:asciiTheme="majorHAnsi" w:eastAsia="Calibri" w:hAnsiTheme="majorHAnsi" w:cstheme="majorHAnsi"/>
          <w:sz w:val="24"/>
          <w:szCs w:val="24"/>
          <w:lang w:val="ro-MD"/>
        </w:rPr>
        <w:t xml:space="preserve">lor </w:t>
      </w:r>
      <w:r w:rsidRPr="009E5B39">
        <w:rPr>
          <w:rFonts w:asciiTheme="majorHAnsi" w:eastAsia="Calibri" w:hAnsiTheme="majorHAnsi" w:cstheme="majorHAnsi"/>
          <w:sz w:val="24"/>
          <w:szCs w:val="24"/>
          <w:lang w:val="ro-MD"/>
        </w:rPr>
        <w:t xml:space="preserve">economici. Lucrările executate au fost calificate ca reparații curente, </w:t>
      </w:r>
      <w:r w:rsidR="00A57E6D" w:rsidRPr="009E5B39">
        <w:rPr>
          <w:rFonts w:asciiTheme="majorHAnsi" w:eastAsia="Calibri" w:hAnsiTheme="majorHAnsi" w:cstheme="majorHAnsi"/>
          <w:sz w:val="24"/>
          <w:szCs w:val="24"/>
          <w:lang w:val="ro-MD"/>
        </w:rPr>
        <w:t xml:space="preserve">deși, </w:t>
      </w:r>
      <w:r w:rsidRPr="009E5B39">
        <w:rPr>
          <w:rFonts w:asciiTheme="majorHAnsi" w:eastAsia="Calibri" w:hAnsiTheme="majorHAnsi" w:cstheme="majorHAnsi"/>
          <w:sz w:val="24"/>
          <w:szCs w:val="24"/>
          <w:lang w:val="ro-MD"/>
        </w:rPr>
        <w:t>potrivit normativelor în construcție NCM L 01.03:2015</w:t>
      </w:r>
      <w:r w:rsidRPr="009E5B39">
        <w:rPr>
          <w:vertAlign w:val="superscript"/>
          <w:lang w:val="ro-MD"/>
        </w:rPr>
        <w:footnoteReference w:id="59"/>
      </w:r>
      <w:r w:rsidRPr="009E5B39">
        <w:rPr>
          <w:rFonts w:asciiTheme="majorHAnsi" w:eastAsia="Calibri" w:hAnsiTheme="majorHAnsi" w:cstheme="majorHAnsi"/>
          <w:sz w:val="24"/>
          <w:szCs w:val="24"/>
          <w:lang w:val="ro-MD"/>
        </w:rPr>
        <w:t xml:space="preserve">, </w:t>
      </w:r>
      <w:r w:rsidR="00A57E6D" w:rsidRPr="009E5B39">
        <w:rPr>
          <w:rFonts w:asciiTheme="majorHAnsi" w:eastAsia="Calibri" w:hAnsiTheme="majorHAnsi" w:cstheme="majorHAnsi"/>
          <w:sz w:val="24"/>
          <w:szCs w:val="24"/>
          <w:lang w:val="ro-MD"/>
        </w:rPr>
        <w:t>acestea</w:t>
      </w:r>
      <w:r w:rsidRPr="009E5B39">
        <w:rPr>
          <w:rFonts w:asciiTheme="majorHAnsi" w:eastAsia="Calibri" w:hAnsiTheme="majorHAnsi" w:cstheme="majorHAnsi"/>
          <w:sz w:val="24"/>
          <w:szCs w:val="24"/>
          <w:lang w:val="ro-MD"/>
        </w:rPr>
        <w:t xml:space="preserve"> se încadrează în lucrări de reparație capitală și urmau a fi transmise de către agentul economic beneficiarului</w:t>
      </w:r>
      <w:r w:rsidR="00A57E6D"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pentru a fi reflectate la majorarea valorii pasajului subteran reparat. Mai mult </w:t>
      </w:r>
      <w:r w:rsidR="00A57E6D" w:rsidRPr="009E5B39">
        <w:rPr>
          <w:rFonts w:asciiTheme="majorHAnsi" w:eastAsia="Calibri" w:hAnsiTheme="majorHAnsi" w:cstheme="majorHAnsi"/>
          <w:sz w:val="24"/>
          <w:szCs w:val="24"/>
          <w:lang w:val="ro-MD"/>
        </w:rPr>
        <w:t>decât</w:t>
      </w:r>
      <w:r w:rsidRPr="009E5B39">
        <w:rPr>
          <w:rFonts w:asciiTheme="majorHAnsi" w:eastAsia="Calibri" w:hAnsiTheme="majorHAnsi" w:cstheme="majorHAnsi"/>
          <w:sz w:val="24"/>
          <w:szCs w:val="24"/>
          <w:lang w:val="ro-MD"/>
        </w:rPr>
        <w:t xml:space="preserve"> atât, din bugetul municipal, în perioada auditată</w:t>
      </w:r>
      <w:r w:rsidR="00A57E6D"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au fost utilizate mijloace financiare pentru executarea lucrărilor de proiectare a reparației capitale </w:t>
      </w:r>
      <w:r w:rsidR="007D3D19" w:rsidRPr="009E5B39">
        <w:rPr>
          <w:rFonts w:asciiTheme="majorHAnsi" w:eastAsia="Calibri" w:hAnsiTheme="majorHAnsi" w:cstheme="majorHAnsi"/>
          <w:sz w:val="24"/>
          <w:szCs w:val="24"/>
          <w:lang w:val="ro-MD"/>
        </w:rPr>
        <w:t>a</w:t>
      </w:r>
      <w:r w:rsidRPr="009E5B39">
        <w:rPr>
          <w:rFonts w:asciiTheme="majorHAnsi" w:eastAsia="Calibri" w:hAnsiTheme="majorHAnsi" w:cstheme="majorHAnsi"/>
          <w:sz w:val="24"/>
          <w:szCs w:val="24"/>
          <w:lang w:val="ro-MD"/>
        </w:rPr>
        <w:t xml:space="preserve"> 4 pasaje subterane</w:t>
      </w:r>
      <w:r w:rsidRPr="009E5B39">
        <w:rPr>
          <w:vertAlign w:val="superscript"/>
          <w:lang w:val="ro-MD"/>
        </w:rPr>
        <w:footnoteReference w:id="60"/>
      </w:r>
      <w:r w:rsidRPr="009E5B39">
        <w:rPr>
          <w:rFonts w:asciiTheme="majorHAnsi" w:eastAsia="Calibri" w:hAnsiTheme="majorHAnsi" w:cstheme="majorHAnsi"/>
          <w:sz w:val="24"/>
          <w:szCs w:val="24"/>
          <w:lang w:val="ro-MD"/>
        </w:rPr>
        <w:t xml:space="preserve">, în </w:t>
      </w:r>
      <w:r w:rsidR="007D3D19" w:rsidRPr="009E5B39">
        <w:rPr>
          <w:rFonts w:asciiTheme="majorHAnsi" w:eastAsia="Calibri" w:hAnsiTheme="majorHAnsi" w:cstheme="majorHAnsi"/>
          <w:sz w:val="24"/>
          <w:szCs w:val="24"/>
          <w:lang w:val="ro-MD"/>
        </w:rPr>
        <w:t>sumă</w:t>
      </w:r>
      <w:r w:rsidRPr="009E5B39">
        <w:rPr>
          <w:rFonts w:asciiTheme="majorHAnsi" w:eastAsia="Calibri" w:hAnsiTheme="majorHAnsi" w:cstheme="majorHAnsi"/>
          <w:sz w:val="24"/>
          <w:szCs w:val="24"/>
          <w:lang w:val="ro-MD"/>
        </w:rPr>
        <w:t xml:space="preserve"> totală de </w:t>
      </w:r>
      <w:r w:rsidR="009D6C8C" w:rsidRPr="009E5B39">
        <w:rPr>
          <w:rFonts w:asciiTheme="majorHAnsi" w:eastAsia="Calibri" w:hAnsiTheme="majorHAnsi" w:cstheme="majorHAnsi"/>
          <w:b/>
          <w:sz w:val="24"/>
          <w:szCs w:val="24"/>
          <w:lang w:val="ro-MD"/>
        </w:rPr>
        <w:t>0,</w:t>
      </w:r>
      <w:r w:rsidRPr="009E5B39">
        <w:rPr>
          <w:rFonts w:asciiTheme="majorHAnsi" w:eastAsia="Calibri" w:hAnsiTheme="majorHAnsi" w:cstheme="majorHAnsi"/>
          <w:b/>
          <w:sz w:val="24"/>
          <w:szCs w:val="24"/>
          <w:lang w:val="ro-MD"/>
        </w:rPr>
        <w:t>39 mi</w:t>
      </w:r>
      <w:r w:rsidR="009D6C8C" w:rsidRPr="009E5B39">
        <w:rPr>
          <w:rFonts w:asciiTheme="majorHAnsi" w:eastAsia="Calibri" w:hAnsiTheme="majorHAnsi" w:cstheme="majorHAnsi"/>
          <w:b/>
          <w:sz w:val="24"/>
          <w:szCs w:val="24"/>
          <w:lang w:val="ro-MD"/>
        </w:rPr>
        <w:t>l</w:t>
      </w:r>
      <w:r w:rsidR="007D3D19"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 xml:space="preserve"> lei</w:t>
      </w:r>
      <w:r w:rsidRPr="009E5B39">
        <w:rPr>
          <w:rFonts w:asciiTheme="majorHAnsi" w:eastAsia="Calibri" w:hAnsiTheme="majorHAnsi" w:cstheme="majorHAnsi"/>
          <w:sz w:val="24"/>
          <w:szCs w:val="24"/>
          <w:lang w:val="ro-MD"/>
        </w:rPr>
        <w:t>, care sunt reflectat</w:t>
      </w:r>
      <w:r w:rsidR="007D3D19" w:rsidRPr="009E5B39">
        <w:rPr>
          <w:rFonts w:asciiTheme="majorHAnsi" w:eastAsia="Calibri" w:hAnsiTheme="majorHAnsi" w:cstheme="majorHAnsi"/>
          <w:sz w:val="24"/>
          <w:szCs w:val="24"/>
          <w:lang w:val="ro-MD"/>
        </w:rPr>
        <w:t>e</w:t>
      </w:r>
      <w:r w:rsidRPr="009E5B39">
        <w:rPr>
          <w:rFonts w:asciiTheme="majorHAnsi" w:eastAsia="Calibri" w:hAnsiTheme="majorHAnsi" w:cstheme="majorHAnsi"/>
          <w:sz w:val="24"/>
          <w:szCs w:val="24"/>
          <w:lang w:val="ro-MD"/>
        </w:rPr>
        <w:t xml:space="preserve"> în evidența contabilă a DGTPCC</w:t>
      </w:r>
      <w:r w:rsidR="007D3D19"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la contul 312 „Construcții speciale”. Auditul este în imposibilitate</w:t>
      </w:r>
      <w:r w:rsidR="007D3D19" w:rsidRPr="009E5B39">
        <w:rPr>
          <w:rFonts w:asciiTheme="majorHAnsi" w:eastAsia="Calibri" w:hAnsiTheme="majorHAnsi" w:cstheme="majorHAnsi"/>
          <w:sz w:val="24"/>
          <w:szCs w:val="24"/>
          <w:lang w:val="ro-MD"/>
        </w:rPr>
        <w:t xml:space="preserve">a </w:t>
      </w:r>
      <w:r w:rsidRPr="009E5B39">
        <w:rPr>
          <w:rFonts w:asciiTheme="majorHAnsi" w:eastAsia="Calibri" w:hAnsiTheme="majorHAnsi" w:cstheme="majorHAnsi"/>
          <w:sz w:val="24"/>
          <w:szCs w:val="24"/>
          <w:lang w:val="ro-MD"/>
        </w:rPr>
        <w:t xml:space="preserve"> de a estima valoarea reparațiilor executate, care urma a fi transmis</w:t>
      </w:r>
      <w:r w:rsidR="00E41ABA" w:rsidRPr="009E5B39">
        <w:rPr>
          <w:rFonts w:asciiTheme="majorHAnsi" w:eastAsia="Calibri" w:hAnsiTheme="majorHAnsi" w:cstheme="majorHAnsi"/>
          <w:sz w:val="24"/>
          <w:szCs w:val="24"/>
          <w:lang w:val="ro-MD"/>
        </w:rPr>
        <w:t>ă</w:t>
      </w:r>
      <w:r w:rsidRPr="009E5B39">
        <w:rPr>
          <w:rFonts w:asciiTheme="majorHAnsi" w:eastAsia="Calibri" w:hAnsiTheme="majorHAnsi" w:cstheme="majorHAnsi"/>
          <w:sz w:val="24"/>
          <w:szCs w:val="24"/>
          <w:lang w:val="ro-MD"/>
        </w:rPr>
        <w:t xml:space="preserve"> și capitalizat</w:t>
      </w:r>
      <w:r w:rsidR="00E41ABA" w:rsidRPr="009E5B39">
        <w:rPr>
          <w:rFonts w:asciiTheme="majorHAnsi" w:eastAsia="Calibri" w:hAnsiTheme="majorHAnsi" w:cstheme="majorHAnsi"/>
          <w:sz w:val="24"/>
          <w:szCs w:val="24"/>
          <w:lang w:val="ro-MD"/>
        </w:rPr>
        <w:t>ă</w:t>
      </w:r>
      <w:r w:rsidRPr="009E5B39">
        <w:rPr>
          <w:rFonts w:asciiTheme="majorHAnsi" w:eastAsia="Calibri" w:hAnsiTheme="majorHAnsi" w:cstheme="majorHAnsi"/>
          <w:sz w:val="24"/>
          <w:szCs w:val="24"/>
          <w:lang w:val="ro-MD"/>
        </w:rPr>
        <w:t>. De menționat</w:t>
      </w:r>
      <w:r w:rsidR="007D3D19"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 xml:space="preserve"> că în anul 2021 alocațiile pentru reparația a două pasaje subterane de pietoni, în sumă de 3</w:t>
      </w:r>
      <w:r w:rsidR="009D6C8C"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0 mi</w:t>
      </w:r>
      <w:r w:rsidR="009D6C8C" w:rsidRPr="009E5B39">
        <w:rPr>
          <w:rFonts w:asciiTheme="majorHAnsi" w:eastAsia="Calibri" w:hAnsiTheme="majorHAnsi" w:cstheme="majorHAnsi"/>
          <w:sz w:val="24"/>
          <w:szCs w:val="24"/>
          <w:lang w:val="ro-MD"/>
        </w:rPr>
        <w:t>l</w:t>
      </w:r>
      <w:r w:rsidR="00E016B0"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lei</w:t>
      </w:r>
      <w:r w:rsidR="00E016B0"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au fost planificate și executate din bugetul </w:t>
      </w:r>
      <w:r w:rsidR="00E016B0" w:rsidRPr="009E5B39">
        <w:rPr>
          <w:rFonts w:asciiTheme="majorHAnsi" w:eastAsia="Calibri" w:hAnsiTheme="majorHAnsi" w:cstheme="majorHAnsi"/>
          <w:sz w:val="24"/>
          <w:szCs w:val="24"/>
          <w:lang w:val="ro-MD"/>
        </w:rPr>
        <w:t>P</w:t>
      </w:r>
      <w:r w:rsidRPr="009E5B39">
        <w:rPr>
          <w:rFonts w:asciiTheme="majorHAnsi" w:eastAsia="Calibri" w:hAnsiTheme="majorHAnsi" w:cstheme="majorHAnsi"/>
          <w:sz w:val="24"/>
          <w:szCs w:val="24"/>
          <w:lang w:val="ro-MD"/>
        </w:rPr>
        <w:t>returii Centru</w:t>
      </w:r>
      <w:r w:rsidR="00E016B0"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de la servicii neatribuite altor alin</w:t>
      </w:r>
      <w:r w:rsidR="00E41ABA" w:rsidRPr="009E5B39">
        <w:rPr>
          <w:rFonts w:asciiTheme="majorHAnsi" w:eastAsia="Calibri" w:hAnsiTheme="majorHAnsi" w:cstheme="majorHAnsi"/>
          <w:sz w:val="24"/>
          <w:szCs w:val="24"/>
          <w:lang w:val="ro-MD"/>
        </w:rPr>
        <w:t>e</w:t>
      </w:r>
      <w:r w:rsidRPr="009E5B39">
        <w:rPr>
          <w:rFonts w:asciiTheme="majorHAnsi" w:eastAsia="Calibri" w:hAnsiTheme="majorHAnsi" w:cstheme="majorHAnsi"/>
          <w:sz w:val="24"/>
          <w:szCs w:val="24"/>
          <w:lang w:val="ro-MD"/>
        </w:rPr>
        <w:t>ate (cod ECO 222990).</w:t>
      </w:r>
    </w:p>
    <w:p w14:paraId="615C8F4F" w14:textId="6432352B" w:rsidR="00E35985" w:rsidRPr="009E5B39" w:rsidRDefault="00E35985" w:rsidP="003C5073">
      <w:pPr>
        <w:spacing w:after="0" w:line="276" w:lineRule="auto"/>
        <w:jc w:val="both"/>
        <w:rPr>
          <w:rFonts w:asciiTheme="majorHAnsi" w:eastAsia="Calibri" w:hAnsiTheme="majorHAnsi" w:cstheme="majorHAnsi"/>
          <w:b/>
          <w:i/>
          <w:sz w:val="24"/>
          <w:szCs w:val="24"/>
          <w:lang w:val="ro-MD"/>
        </w:rPr>
      </w:pPr>
      <w:r w:rsidRPr="009E5B39">
        <w:rPr>
          <w:rFonts w:asciiTheme="majorHAnsi" w:hAnsiTheme="majorHAnsi" w:cstheme="majorHAnsi"/>
          <w:b/>
          <w:sz w:val="24"/>
          <w:szCs w:val="24"/>
          <w:lang w:val="ro-MD"/>
        </w:rPr>
        <w:t>4.2.3.</w:t>
      </w:r>
      <w:r w:rsidRPr="009E5B39">
        <w:rPr>
          <w:rFonts w:asciiTheme="majorHAnsi" w:eastAsia="Calibri" w:hAnsiTheme="majorHAnsi" w:cstheme="majorHAnsi"/>
          <w:b/>
          <w:sz w:val="24"/>
          <w:szCs w:val="24"/>
          <w:lang w:val="ro-MD"/>
        </w:rPr>
        <w:t xml:space="preserve"> </w:t>
      </w:r>
      <w:r w:rsidR="00E95840" w:rsidRPr="009E5B39">
        <w:rPr>
          <w:rFonts w:asciiTheme="majorHAnsi" w:eastAsia="Calibri" w:hAnsiTheme="majorHAnsi" w:cstheme="majorHAnsi"/>
          <w:b/>
          <w:i/>
          <w:sz w:val="24"/>
          <w:szCs w:val="24"/>
          <w:lang w:val="ro-MD"/>
        </w:rPr>
        <w:t>CMC nu respectă</w:t>
      </w:r>
      <w:r w:rsidR="00E95840" w:rsidRPr="009E5B39">
        <w:rPr>
          <w:rFonts w:asciiTheme="majorHAnsi" w:eastAsia="Calibri" w:hAnsiTheme="majorHAnsi" w:cstheme="majorHAnsi"/>
          <w:b/>
          <w:sz w:val="24"/>
          <w:szCs w:val="24"/>
          <w:lang w:val="ro-MD"/>
        </w:rPr>
        <w:t xml:space="preserve"> </w:t>
      </w:r>
      <w:r w:rsidRPr="009E5B39">
        <w:rPr>
          <w:rFonts w:asciiTheme="majorHAnsi" w:hAnsiTheme="majorHAnsi" w:cstheme="majorHAnsi"/>
          <w:b/>
          <w:i/>
          <w:sz w:val="24"/>
          <w:szCs w:val="24"/>
          <w:lang w:val="ro-MD"/>
        </w:rPr>
        <w:t>competențele prevăzute de cadrul normativ</w:t>
      </w:r>
      <w:r w:rsidRPr="009E5B39">
        <w:rPr>
          <w:rFonts w:asciiTheme="majorHAnsi" w:hAnsiTheme="majorHAnsi" w:cstheme="majorHAnsi"/>
          <w:b/>
          <w:i/>
          <w:sz w:val="24"/>
          <w:szCs w:val="24"/>
          <w:vertAlign w:val="superscript"/>
          <w:lang w:val="ro-MD"/>
        </w:rPr>
        <w:footnoteReference w:id="61"/>
      </w:r>
      <w:r w:rsidR="00E95840" w:rsidRPr="009E5B39">
        <w:rPr>
          <w:rFonts w:asciiTheme="majorHAnsi" w:hAnsiTheme="majorHAnsi" w:cstheme="majorHAnsi"/>
          <w:b/>
          <w:i/>
          <w:sz w:val="24"/>
          <w:szCs w:val="24"/>
          <w:lang w:val="ro-MD"/>
        </w:rPr>
        <w:t xml:space="preserve">și </w:t>
      </w:r>
      <w:r w:rsidRPr="009E5B39">
        <w:rPr>
          <w:rFonts w:asciiTheme="majorHAnsi" w:hAnsiTheme="majorHAnsi" w:cstheme="majorHAnsi"/>
          <w:b/>
          <w:i/>
          <w:sz w:val="24"/>
          <w:szCs w:val="24"/>
          <w:lang w:val="ro-MD"/>
        </w:rPr>
        <w:t>nu</w:t>
      </w:r>
      <w:r w:rsidRPr="009E5B39">
        <w:rPr>
          <w:rFonts w:asciiTheme="majorHAnsi" w:hAnsiTheme="majorHAnsi" w:cstheme="majorHAnsi"/>
          <w:i/>
          <w:sz w:val="24"/>
          <w:szCs w:val="24"/>
          <w:lang w:val="ro-MD"/>
        </w:rPr>
        <w:t xml:space="preserve"> </w:t>
      </w:r>
      <w:r w:rsidRPr="009E5B39">
        <w:rPr>
          <w:rFonts w:asciiTheme="majorHAnsi" w:eastAsia="Calibri" w:hAnsiTheme="majorHAnsi" w:cstheme="majorHAnsi"/>
          <w:b/>
          <w:i/>
          <w:sz w:val="24"/>
          <w:szCs w:val="24"/>
          <w:lang w:val="ro-MD"/>
        </w:rPr>
        <w:t>decide asupra tuturor problemelor de interes local în teritoriul orașului și municipiului Chișinău</w:t>
      </w:r>
      <w:r w:rsidR="00E41ABA" w:rsidRPr="009E5B39">
        <w:rPr>
          <w:rFonts w:asciiTheme="majorHAnsi" w:eastAsia="Calibri" w:hAnsiTheme="majorHAnsi" w:cstheme="majorHAnsi"/>
          <w:b/>
          <w:i/>
          <w:sz w:val="24"/>
          <w:szCs w:val="24"/>
          <w:lang w:val="ro-MD"/>
        </w:rPr>
        <w:t>, i</w:t>
      </w:r>
      <w:r w:rsidR="00E95840" w:rsidRPr="009E5B39">
        <w:rPr>
          <w:rFonts w:asciiTheme="majorHAnsi" w:eastAsia="Calibri" w:hAnsiTheme="majorHAnsi" w:cstheme="majorHAnsi"/>
          <w:b/>
          <w:i/>
          <w:sz w:val="24"/>
          <w:szCs w:val="24"/>
          <w:lang w:val="ro-MD"/>
        </w:rPr>
        <w:t>ar d</w:t>
      </w:r>
      <w:r w:rsidRPr="009E5B39">
        <w:rPr>
          <w:rFonts w:asciiTheme="majorHAnsi" w:eastAsia="Calibri" w:hAnsiTheme="majorHAnsi" w:cstheme="majorHAnsi"/>
          <w:b/>
          <w:i/>
          <w:sz w:val="24"/>
          <w:szCs w:val="24"/>
          <w:lang w:val="ro-MD"/>
        </w:rPr>
        <w:t xml:space="preserve">elegarea competențelor sale sau </w:t>
      </w:r>
      <w:r w:rsidRPr="009E5B39">
        <w:rPr>
          <w:rFonts w:asciiTheme="majorHAnsi" w:hAnsiTheme="majorHAnsi" w:cstheme="majorHAnsi"/>
          <w:b/>
          <w:i/>
          <w:sz w:val="24"/>
          <w:szCs w:val="24"/>
          <w:lang w:val="ro-MD"/>
        </w:rPr>
        <w:t>lăsarea soluționării unor probleme la discreția autorității executive a mun. Chișinău și conducătorilor instituțiilor din subordine generează unele iregularități</w:t>
      </w:r>
      <w:r w:rsidR="00297376" w:rsidRPr="009E5B39">
        <w:rPr>
          <w:rFonts w:asciiTheme="majorHAnsi" w:hAnsiTheme="majorHAnsi" w:cstheme="majorHAnsi"/>
          <w:b/>
          <w:i/>
          <w:sz w:val="24"/>
          <w:szCs w:val="24"/>
          <w:lang w:val="ro-MD"/>
        </w:rPr>
        <w:t xml:space="preserve"> și cheltuieli suplimentare din bugetul municipal</w:t>
      </w:r>
      <w:r w:rsidR="00E016B0" w:rsidRPr="009E5B39">
        <w:rPr>
          <w:rFonts w:asciiTheme="majorHAnsi" w:hAnsiTheme="majorHAnsi" w:cstheme="majorHAnsi"/>
          <w:b/>
          <w:i/>
          <w:sz w:val="24"/>
          <w:szCs w:val="24"/>
          <w:lang w:val="ro-MD"/>
        </w:rPr>
        <w:t>.</w:t>
      </w:r>
      <w:r w:rsidR="00E95840" w:rsidRPr="009E5B39">
        <w:rPr>
          <w:rFonts w:asciiTheme="majorHAnsi" w:hAnsiTheme="majorHAnsi" w:cstheme="majorHAnsi"/>
          <w:b/>
          <w:i/>
          <w:sz w:val="24"/>
          <w:szCs w:val="24"/>
          <w:lang w:val="ro-MD"/>
        </w:rPr>
        <w:t xml:space="preserve"> </w:t>
      </w:r>
      <w:r w:rsidR="00E95840" w:rsidRPr="009E5B39">
        <w:rPr>
          <w:rFonts w:asciiTheme="majorHAnsi" w:hAnsiTheme="majorHAnsi" w:cstheme="majorHAnsi"/>
          <w:i/>
          <w:sz w:val="24"/>
          <w:szCs w:val="24"/>
          <w:lang w:val="ro-MD"/>
        </w:rPr>
        <w:t>Astfel,</w:t>
      </w:r>
      <w:r w:rsidRPr="009E5B39">
        <w:rPr>
          <w:rFonts w:asciiTheme="majorHAnsi" w:eastAsia="Calibri" w:hAnsiTheme="majorHAnsi" w:cstheme="majorHAnsi"/>
          <w:b/>
          <w:i/>
          <w:sz w:val="24"/>
          <w:szCs w:val="24"/>
          <w:lang w:val="ro-MD"/>
        </w:rPr>
        <w:t xml:space="preserve"> </w:t>
      </w:r>
    </w:p>
    <w:p w14:paraId="36F2AA22" w14:textId="319DCC73" w:rsidR="00E35985" w:rsidRPr="009E5B39" w:rsidRDefault="00D31FE6" w:rsidP="00D44E5A">
      <w:pPr>
        <w:pStyle w:val="ListParagraph"/>
        <w:numPr>
          <w:ilvl w:val="0"/>
          <w:numId w:val="113"/>
        </w:numPr>
        <w:spacing w:after="0" w:line="276" w:lineRule="auto"/>
        <w:ind w:left="0" w:firstLine="567"/>
        <w:jc w:val="both"/>
        <w:rPr>
          <w:rFonts w:asciiTheme="majorHAnsi" w:eastAsia="Calibri" w:hAnsiTheme="majorHAnsi" w:cstheme="majorHAnsi"/>
          <w:i/>
          <w:sz w:val="24"/>
          <w:szCs w:val="24"/>
          <w:lang w:val="ro-MD"/>
        </w:rPr>
      </w:pPr>
      <w:r w:rsidRPr="009E5B39">
        <w:rPr>
          <w:rFonts w:asciiTheme="majorHAnsi" w:hAnsiTheme="majorHAnsi" w:cstheme="majorHAnsi"/>
          <w:i/>
          <w:sz w:val="24"/>
          <w:szCs w:val="24"/>
          <w:lang w:val="ro-MD"/>
        </w:rPr>
        <w:t>C</w:t>
      </w:r>
      <w:r w:rsidR="00E35985" w:rsidRPr="009E5B39">
        <w:rPr>
          <w:rFonts w:asciiTheme="majorHAnsi" w:eastAsia="Calibri" w:hAnsiTheme="majorHAnsi" w:cstheme="majorHAnsi"/>
          <w:i/>
          <w:sz w:val="24"/>
          <w:szCs w:val="24"/>
          <w:lang w:val="ro-MD"/>
        </w:rPr>
        <w:t xml:space="preserve">MC nu a decis asupra lucrărilor de întreținere a infrastructurii căilor de comunicații, serviciu delegat ÎM Regia „ExDrupo”, pe obiect, volum, tipul de lucrări pentru care sunt alocate mijloace financiare, </w:t>
      </w:r>
      <w:r w:rsidR="00E35985" w:rsidRPr="009E5B39">
        <w:rPr>
          <w:rFonts w:asciiTheme="majorHAnsi" w:hAnsiTheme="majorHAnsi" w:cstheme="majorHAnsi"/>
          <w:i/>
          <w:sz w:val="24"/>
          <w:szCs w:val="24"/>
          <w:lang w:val="ro-MD"/>
        </w:rPr>
        <w:t>suma alocată pentru fiecare obiectiv și sursa de finanțare (venituri proprii sau TDS)</w:t>
      </w:r>
      <w:r w:rsidR="00297376" w:rsidRPr="009E5B39">
        <w:rPr>
          <w:rFonts w:asciiTheme="majorHAnsi" w:hAnsiTheme="majorHAnsi" w:cstheme="majorHAnsi"/>
          <w:i/>
          <w:sz w:val="24"/>
          <w:szCs w:val="24"/>
          <w:lang w:val="ro-MD"/>
        </w:rPr>
        <w:t>.</w:t>
      </w:r>
      <w:r w:rsidR="00E35985" w:rsidRPr="009E5B39">
        <w:rPr>
          <w:rFonts w:asciiTheme="majorHAnsi" w:eastAsia="Calibri" w:hAnsiTheme="majorHAnsi" w:cstheme="majorHAnsi"/>
          <w:i/>
          <w:sz w:val="24"/>
          <w:szCs w:val="24"/>
          <w:lang w:val="ro-MD"/>
        </w:rPr>
        <w:t xml:space="preserve"> </w:t>
      </w:r>
      <w:r w:rsidR="00297376" w:rsidRPr="009E5B39">
        <w:rPr>
          <w:rFonts w:asciiTheme="majorHAnsi" w:eastAsia="Calibri" w:hAnsiTheme="majorHAnsi" w:cstheme="majorHAnsi"/>
          <w:i/>
          <w:sz w:val="24"/>
          <w:szCs w:val="24"/>
          <w:lang w:val="ro-MD"/>
        </w:rPr>
        <w:t>A</w:t>
      </w:r>
      <w:r w:rsidR="00E35985" w:rsidRPr="009E5B39">
        <w:rPr>
          <w:rFonts w:asciiTheme="majorHAnsi" w:eastAsia="Calibri" w:hAnsiTheme="majorHAnsi" w:cstheme="majorHAnsi"/>
          <w:i/>
          <w:sz w:val="24"/>
          <w:szCs w:val="24"/>
          <w:lang w:val="ro-MD"/>
        </w:rPr>
        <w:t xml:space="preserve">utoritatea executivă a mun. Chișinău, </w:t>
      </w:r>
      <w:r w:rsidR="00297376" w:rsidRPr="009E5B39">
        <w:rPr>
          <w:rFonts w:asciiTheme="majorHAnsi" w:eastAsia="Calibri" w:hAnsiTheme="majorHAnsi" w:cstheme="majorHAnsi"/>
          <w:i/>
          <w:sz w:val="24"/>
          <w:szCs w:val="24"/>
          <w:lang w:val="ro-MD"/>
        </w:rPr>
        <w:t>cu depășirea competențelor,</w:t>
      </w:r>
      <w:r w:rsidR="00297376" w:rsidRPr="009E5B39">
        <w:rPr>
          <w:rFonts w:asciiTheme="majorHAnsi" w:hAnsiTheme="majorHAnsi" w:cstheme="majorHAnsi"/>
          <w:i/>
          <w:sz w:val="24"/>
          <w:szCs w:val="24"/>
          <w:lang w:val="ro-MD"/>
        </w:rPr>
        <w:t xml:space="preserve"> </w:t>
      </w:r>
      <w:r w:rsidR="00E35985" w:rsidRPr="009E5B39">
        <w:rPr>
          <w:rFonts w:asciiTheme="majorHAnsi" w:hAnsiTheme="majorHAnsi" w:cstheme="majorHAnsi"/>
          <w:i/>
          <w:sz w:val="24"/>
          <w:szCs w:val="24"/>
          <w:lang w:val="ro-MD"/>
        </w:rPr>
        <w:t>î</w:t>
      </w:r>
      <w:r w:rsidR="00E35985" w:rsidRPr="009E5B39">
        <w:rPr>
          <w:rFonts w:asciiTheme="majorHAnsi" w:eastAsia="Calibri" w:hAnsiTheme="majorHAnsi" w:cstheme="majorHAnsi"/>
          <w:i/>
          <w:sz w:val="24"/>
          <w:szCs w:val="24"/>
          <w:lang w:val="ro-MD"/>
        </w:rPr>
        <w:t xml:space="preserve">n perioada </w:t>
      </w:r>
      <w:r w:rsidR="00D9232B" w:rsidRPr="009E5B39">
        <w:rPr>
          <w:rFonts w:asciiTheme="majorHAnsi" w:eastAsia="Calibri" w:hAnsiTheme="majorHAnsi" w:cstheme="majorHAnsi"/>
          <w:i/>
          <w:sz w:val="24"/>
          <w:szCs w:val="24"/>
          <w:lang w:val="ro-MD"/>
        </w:rPr>
        <w:t xml:space="preserve">anilor </w:t>
      </w:r>
      <w:r w:rsidR="00E35985" w:rsidRPr="009E5B39">
        <w:rPr>
          <w:rFonts w:asciiTheme="majorHAnsi" w:eastAsia="Calibri" w:hAnsiTheme="majorHAnsi" w:cstheme="majorHAnsi"/>
          <w:i/>
          <w:sz w:val="24"/>
          <w:szCs w:val="24"/>
          <w:lang w:val="ro-MD"/>
        </w:rPr>
        <w:t>2018-2020, a dispus</w:t>
      </w:r>
      <w:r w:rsidR="00297376" w:rsidRPr="009E5B39">
        <w:rPr>
          <w:rFonts w:asciiTheme="majorHAnsi" w:eastAsia="Calibri" w:hAnsiTheme="majorHAnsi" w:cstheme="majorHAnsi"/>
          <w:i/>
          <w:sz w:val="24"/>
          <w:szCs w:val="24"/>
          <w:lang w:val="ro-MD"/>
        </w:rPr>
        <w:t>: i)</w:t>
      </w:r>
      <w:r w:rsidR="00E35985" w:rsidRPr="009E5B39">
        <w:rPr>
          <w:rFonts w:asciiTheme="majorHAnsi" w:hAnsiTheme="majorHAnsi" w:cstheme="majorHAnsi"/>
          <w:i/>
          <w:sz w:val="24"/>
          <w:szCs w:val="24"/>
          <w:lang w:val="ro-MD"/>
        </w:rPr>
        <w:t xml:space="preserve"> </w:t>
      </w:r>
      <w:r w:rsidR="00E35985" w:rsidRPr="009E5B39">
        <w:rPr>
          <w:rFonts w:asciiTheme="majorHAnsi" w:eastAsia="Calibri" w:hAnsiTheme="majorHAnsi" w:cstheme="majorHAnsi"/>
          <w:i/>
          <w:sz w:val="24"/>
          <w:szCs w:val="24"/>
          <w:lang w:val="ro-MD"/>
        </w:rPr>
        <w:t>executarea și achitarea cheltuielilor ce țin de întreținerea și reparația drumurilor publice de interes local din UAT de nivelul I din suburbii, ceea ce a generat cheltuieli suplimentare în sumă totală de circa 16</w:t>
      </w:r>
      <w:r w:rsidR="009D6C8C" w:rsidRPr="009E5B39">
        <w:rPr>
          <w:rFonts w:asciiTheme="majorHAnsi" w:eastAsia="Calibri" w:hAnsiTheme="majorHAnsi" w:cstheme="majorHAnsi"/>
          <w:i/>
          <w:sz w:val="24"/>
          <w:szCs w:val="24"/>
          <w:lang w:val="ro-MD"/>
        </w:rPr>
        <w:t>,</w:t>
      </w:r>
      <w:r w:rsidR="00E35985" w:rsidRPr="009E5B39">
        <w:rPr>
          <w:rFonts w:asciiTheme="majorHAnsi" w:eastAsia="Calibri" w:hAnsiTheme="majorHAnsi" w:cstheme="majorHAnsi"/>
          <w:i/>
          <w:sz w:val="24"/>
          <w:szCs w:val="24"/>
          <w:lang w:val="ro-MD"/>
        </w:rPr>
        <w:t>77 mi</w:t>
      </w:r>
      <w:r w:rsidR="009D6C8C" w:rsidRPr="009E5B39">
        <w:rPr>
          <w:rFonts w:asciiTheme="majorHAnsi" w:eastAsia="Calibri" w:hAnsiTheme="majorHAnsi" w:cstheme="majorHAnsi"/>
          <w:i/>
          <w:sz w:val="24"/>
          <w:szCs w:val="24"/>
          <w:lang w:val="ro-MD"/>
        </w:rPr>
        <w:t>l</w:t>
      </w:r>
      <w:r w:rsidR="00D9232B" w:rsidRPr="009E5B39">
        <w:rPr>
          <w:rFonts w:asciiTheme="majorHAnsi" w:eastAsia="Calibri" w:hAnsiTheme="majorHAnsi" w:cstheme="majorHAnsi"/>
          <w:i/>
          <w:sz w:val="24"/>
          <w:szCs w:val="24"/>
          <w:lang w:val="ro-MD"/>
        </w:rPr>
        <w:t>.</w:t>
      </w:r>
      <w:r w:rsidR="00E35985" w:rsidRPr="009E5B39">
        <w:rPr>
          <w:rFonts w:asciiTheme="majorHAnsi" w:eastAsia="Calibri" w:hAnsiTheme="majorHAnsi" w:cstheme="majorHAnsi"/>
          <w:i/>
          <w:sz w:val="24"/>
          <w:szCs w:val="24"/>
          <w:lang w:val="ro-MD"/>
        </w:rPr>
        <w:t xml:space="preserve"> lei, pe când pentru reparația drumurilor publice de interes raional/municipal au fost executate lucrări în valoare de numai 2</w:t>
      </w:r>
      <w:r w:rsidR="009D6C8C" w:rsidRPr="009E5B39">
        <w:rPr>
          <w:rFonts w:asciiTheme="majorHAnsi" w:eastAsia="Calibri" w:hAnsiTheme="majorHAnsi" w:cstheme="majorHAnsi"/>
          <w:i/>
          <w:sz w:val="24"/>
          <w:szCs w:val="24"/>
          <w:lang w:val="ro-MD"/>
        </w:rPr>
        <w:t>,</w:t>
      </w:r>
      <w:r w:rsidR="00E35985" w:rsidRPr="009E5B39">
        <w:rPr>
          <w:rFonts w:asciiTheme="majorHAnsi" w:eastAsia="Calibri" w:hAnsiTheme="majorHAnsi" w:cstheme="majorHAnsi"/>
          <w:i/>
          <w:sz w:val="24"/>
          <w:szCs w:val="24"/>
          <w:lang w:val="ro-MD"/>
        </w:rPr>
        <w:t>59 mi</w:t>
      </w:r>
      <w:r w:rsidR="009D6C8C" w:rsidRPr="009E5B39">
        <w:rPr>
          <w:rFonts w:asciiTheme="majorHAnsi" w:eastAsia="Calibri" w:hAnsiTheme="majorHAnsi" w:cstheme="majorHAnsi"/>
          <w:i/>
          <w:sz w:val="24"/>
          <w:szCs w:val="24"/>
          <w:lang w:val="ro-MD"/>
        </w:rPr>
        <w:t>l</w:t>
      </w:r>
      <w:r w:rsidR="00D9232B" w:rsidRPr="009E5B39">
        <w:rPr>
          <w:rFonts w:asciiTheme="majorHAnsi" w:eastAsia="Calibri" w:hAnsiTheme="majorHAnsi" w:cstheme="majorHAnsi"/>
          <w:i/>
          <w:sz w:val="24"/>
          <w:szCs w:val="24"/>
          <w:lang w:val="ro-MD"/>
        </w:rPr>
        <w:t>.</w:t>
      </w:r>
      <w:r w:rsidR="00E35985" w:rsidRPr="009E5B39">
        <w:rPr>
          <w:rFonts w:asciiTheme="majorHAnsi" w:eastAsia="Calibri" w:hAnsiTheme="majorHAnsi" w:cstheme="majorHAnsi"/>
          <w:i/>
          <w:sz w:val="24"/>
          <w:szCs w:val="24"/>
          <w:lang w:val="ro-MD"/>
        </w:rPr>
        <w:t xml:space="preserve"> lei;</w:t>
      </w:r>
      <w:r w:rsidR="00297376" w:rsidRPr="009E5B39">
        <w:rPr>
          <w:rFonts w:asciiTheme="majorHAnsi" w:eastAsia="Calibri" w:hAnsiTheme="majorHAnsi" w:cstheme="majorHAnsi"/>
          <w:i/>
          <w:sz w:val="24"/>
          <w:szCs w:val="24"/>
          <w:lang w:val="ro-MD"/>
        </w:rPr>
        <w:t xml:space="preserve"> ii)</w:t>
      </w:r>
      <w:r w:rsidR="00E35985" w:rsidRPr="009E5B39">
        <w:rPr>
          <w:rFonts w:asciiTheme="majorHAnsi" w:eastAsia="Calibri" w:hAnsiTheme="majorHAnsi" w:cstheme="majorHAnsi"/>
          <w:i/>
          <w:sz w:val="24"/>
          <w:szCs w:val="24"/>
          <w:lang w:val="ro-MD"/>
        </w:rPr>
        <w:t xml:space="preserve"> repartizarea </w:t>
      </w:r>
      <w:r w:rsidR="006B03E0" w:rsidRPr="009E5B39">
        <w:rPr>
          <w:rFonts w:asciiTheme="majorHAnsi" w:eastAsia="Calibri" w:hAnsiTheme="majorHAnsi" w:cstheme="majorHAnsi"/>
          <w:i/>
          <w:sz w:val="24"/>
          <w:szCs w:val="24"/>
          <w:lang w:val="ro-MD"/>
        </w:rPr>
        <w:t xml:space="preserve">către </w:t>
      </w:r>
      <w:r w:rsidR="00E35985" w:rsidRPr="009E5B39">
        <w:rPr>
          <w:rFonts w:asciiTheme="majorHAnsi" w:eastAsia="Calibri" w:hAnsiTheme="majorHAnsi" w:cstheme="majorHAnsi"/>
          <w:i/>
          <w:sz w:val="24"/>
          <w:szCs w:val="24"/>
          <w:lang w:val="ro-MD"/>
        </w:rPr>
        <w:t>UAT de nivelul I din suburbi</w:t>
      </w:r>
      <w:r w:rsidR="006B03E0" w:rsidRPr="009E5B39">
        <w:rPr>
          <w:rFonts w:asciiTheme="majorHAnsi" w:eastAsia="Calibri" w:hAnsiTheme="majorHAnsi" w:cstheme="majorHAnsi"/>
          <w:i/>
          <w:sz w:val="24"/>
          <w:szCs w:val="24"/>
          <w:lang w:val="ro-MD"/>
        </w:rPr>
        <w:t>i</w:t>
      </w:r>
      <w:r w:rsidR="00E35985" w:rsidRPr="009E5B39">
        <w:rPr>
          <w:rFonts w:asciiTheme="majorHAnsi" w:eastAsia="Calibri" w:hAnsiTheme="majorHAnsi" w:cstheme="majorHAnsi"/>
          <w:i/>
          <w:sz w:val="24"/>
          <w:szCs w:val="24"/>
          <w:lang w:val="ro-MD"/>
        </w:rPr>
        <w:t xml:space="preserve"> a materialului antiderapant cu titlu gratuit în cantitate totală de 1671,45 tone</w:t>
      </w:r>
      <w:r w:rsidR="006B03E0" w:rsidRPr="009E5B39">
        <w:rPr>
          <w:rFonts w:asciiTheme="majorHAnsi" w:eastAsia="Calibri" w:hAnsiTheme="majorHAnsi" w:cstheme="majorHAnsi"/>
          <w:i/>
          <w:sz w:val="24"/>
          <w:szCs w:val="24"/>
          <w:lang w:val="ro-MD"/>
        </w:rPr>
        <w:t>,</w:t>
      </w:r>
      <w:r w:rsidR="00E35985" w:rsidRPr="009E5B39">
        <w:rPr>
          <w:rFonts w:asciiTheme="majorHAnsi" w:eastAsia="Calibri" w:hAnsiTheme="majorHAnsi" w:cstheme="majorHAnsi"/>
          <w:i/>
          <w:sz w:val="24"/>
          <w:szCs w:val="24"/>
          <w:lang w:val="ro-MD"/>
        </w:rPr>
        <w:t xml:space="preserve"> în valoare de 1</w:t>
      </w:r>
      <w:r w:rsidR="009D6C8C" w:rsidRPr="009E5B39">
        <w:rPr>
          <w:rFonts w:asciiTheme="majorHAnsi" w:eastAsia="Calibri" w:hAnsiTheme="majorHAnsi" w:cstheme="majorHAnsi"/>
          <w:i/>
          <w:sz w:val="24"/>
          <w:szCs w:val="24"/>
          <w:lang w:val="ro-MD"/>
        </w:rPr>
        <w:t>,</w:t>
      </w:r>
      <w:r w:rsidR="00E35985" w:rsidRPr="009E5B39">
        <w:rPr>
          <w:rFonts w:asciiTheme="majorHAnsi" w:eastAsia="Calibri" w:hAnsiTheme="majorHAnsi" w:cstheme="majorHAnsi"/>
          <w:i/>
          <w:sz w:val="24"/>
          <w:szCs w:val="24"/>
          <w:lang w:val="ro-MD"/>
        </w:rPr>
        <w:t>1</w:t>
      </w:r>
      <w:r w:rsidR="003E2996" w:rsidRPr="009E5B39">
        <w:rPr>
          <w:rFonts w:asciiTheme="majorHAnsi" w:eastAsia="Calibri" w:hAnsiTheme="majorHAnsi" w:cstheme="majorHAnsi"/>
          <w:i/>
          <w:sz w:val="24"/>
          <w:szCs w:val="24"/>
          <w:lang w:val="ro-MD"/>
        </w:rPr>
        <w:t>5</w:t>
      </w:r>
      <w:r w:rsidR="00E35985" w:rsidRPr="009E5B39">
        <w:rPr>
          <w:rFonts w:asciiTheme="majorHAnsi" w:eastAsia="Calibri" w:hAnsiTheme="majorHAnsi" w:cstheme="majorHAnsi"/>
          <w:i/>
          <w:sz w:val="24"/>
          <w:szCs w:val="24"/>
          <w:lang w:val="ro-MD"/>
        </w:rPr>
        <w:t xml:space="preserve"> mi</w:t>
      </w:r>
      <w:r w:rsidR="003E2996" w:rsidRPr="009E5B39">
        <w:rPr>
          <w:rFonts w:asciiTheme="majorHAnsi" w:eastAsia="Calibri" w:hAnsiTheme="majorHAnsi" w:cstheme="majorHAnsi"/>
          <w:i/>
          <w:sz w:val="24"/>
          <w:szCs w:val="24"/>
          <w:lang w:val="ro-MD"/>
        </w:rPr>
        <w:t>l</w:t>
      </w:r>
      <w:r w:rsidR="006B03E0" w:rsidRPr="009E5B39">
        <w:rPr>
          <w:rFonts w:asciiTheme="majorHAnsi" w:eastAsia="Calibri" w:hAnsiTheme="majorHAnsi" w:cstheme="majorHAnsi"/>
          <w:i/>
          <w:sz w:val="24"/>
          <w:szCs w:val="24"/>
          <w:lang w:val="ro-MD"/>
        </w:rPr>
        <w:t>.</w:t>
      </w:r>
      <w:r w:rsidR="00E35985" w:rsidRPr="009E5B39">
        <w:rPr>
          <w:rFonts w:asciiTheme="majorHAnsi" w:eastAsia="Calibri" w:hAnsiTheme="majorHAnsi" w:cstheme="majorHAnsi"/>
          <w:i/>
          <w:sz w:val="24"/>
          <w:szCs w:val="24"/>
          <w:lang w:val="ro-MD"/>
        </w:rPr>
        <w:t xml:space="preserve"> lei</w:t>
      </w:r>
      <w:r w:rsidR="00E35985" w:rsidRPr="009E5B39">
        <w:rPr>
          <w:vertAlign w:val="superscript"/>
          <w:lang w:val="ro-MD"/>
        </w:rPr>
        <w:footnoteReference w:id="62"/>
      </w:r>
      <w:r w:rsidR="006B03E0" w:rsidRPr="009E5B39">
        <w:rPr>
          <w:rFonts w:asciiTheme="majorHAnsi" w:eastAsia="Calibri" w:hAnsiTheme="majorHAnsi" w:cstheme="majorHAnsi"/>
          <w:i/>
          <w:sz w:val="24"/>
          <w:szCs w:val="24"/>
          <w:lang w:val="ro-MD"/>
        </w:rPr>
        <w:t>, precum</w:t>
      </w:r>
      <w:r w:rsidR="00E35985" w:rsidRPr="009E5B39">
        <w:rPr>
          <w:rFonts w:asciiTheme="majorHAnsi" w:eastAsia="Calibri" w:hAnsiTheme="majorHAnsi" w:cstheme="majorHAnsi"/>
          <w:i/>
          <w:sz w:val="24"/>
          <w:szCs w:val="24"/>
          <w:lang w:val="ro-MD"/>
        </w:rPr>
        <w:t xml:space="preserve"> și a materialelor obținute în urma demontării acestora (asfalt frezat) în cantitate de circa 20.752,2 tone</w:t>
      </w:r>
      <w:r w:rsidR="006B03E0" w:rsidRPr="009E5B39">
        <w:rPr>
          <w:rFonts w:asciiTheme="majorHAnsi" w:eastAsia="Calibri" w:hAnsiTheme="majorHAnsi" w:cstheme="majorHAnsi"/>
          <w:i/>
          <w:sz w:val="24"/>
          <w:szCs w:val="24"/>
          <w:lang w:val="ro-MD"/>
        </w:rPr>
        <w:t>,</w:t>
      </w:r>
      <w:r w:rsidR="00E35985" w:rsidRPr="009E5B39">
        <w:rPr>
          <w:rFonts w:asciiTheme="majorHAnsi" w:eastAsia="Calibri" w:hAnsiTheme="majorHAnsi" w:cstheme="majorHAnsi"/>
          <w:i/>
          <w:sz w:val="24"/>
          <w:szCs w:val="24"/>
          <w:lang w:val="ro-MD"/>
        </w:rPr>
        <w:t xml:space="preserve"> în valoare de cel puțin 3</w:t>
      </w:r>
      <w:r w:rsidR="003E2996" w:rsidRPr="009E5B39">
        <w:rPr>
          <w:rFonts w:asciiTheme="majorHAnsi" w:eastAsia="Calibri" w:hAnsiTheme="majorHAnsi" w:cstheme="majorHAnsi"/>
          <w:i/>
          <w:sz w:val="24"/>
          <w:szCs w:val="24"/>
          <w:lang w:val="ro-MD"/>
        </w:rPr>
        <w:t>,</w:t>
      </w:r>
      <w:r w:rsidR="00E35985" w:rsidRPr="009E5B39">
        <w:rPr>
          <w:rFonts w:asciiTheme="majorHAnsi" w:eastAsia="Calibri" w:hAnsiTheme="majorHAnsi" w:cstheme="majorHAnsi"/>
          <w:i/>
          <w:sz w:val="24"/>
          <w:szCs w:val="24"/>
          <w:lang w:val="ro-MD"/>
        </w:rPr>
        <w:t>73 mi</w:t>
      </w:r>
      <w:r w:rsidR="003E2996" w:rsidRPr="009E5B39">
        <w:rPr>
          <w:rFonts w:asciiTheme="majorHAnsi" w:eastAsia="Calibri" w:hAnsiTheme="majorHAnsi" w:cstheme="majorHAnsi"/>
          <w:i/>
          <w:sz w:val="24"/>
          <w:szCs w:val="24"/>
          <w:lang w:val="ro-MD"/>
        </w:rPr>
        <w:t>l</w:t>
      </w:r>
      <w:r w:rsidR="006B03E0" w:rsidRPr="009E5B39">
        <w:rPr>
          <w:rFonts w:asciiTheme="majorHAnsi" w:eastAsia="Calibri" w:hAnsiTheme="majorHAnsi" w:cstheme="majorHAnsi"/>
          <w:i/>
          <w:sz w:val="24"/>
          <w:szCs w:val="24"/>
          <w:lang w:val="ro-MD"/>
        </w:rPr>
        <w:t>.</w:t>
      </w:r>
      <w:r w:rsidR="00E35985" w:rsidRPr="009E5B39">
        <w:rPr>
          <w:rFonts w:asciiTheme="majorHAnsi" w:eastAsia="Calibri" w:hAnsiTheme="majorHAnsi" w:cstheme="majorHAnsi"/>
          <w:i/>
          <w:sz w:val="24"/>
          <w:szCs w:val="24"/>
          <w:lang w:val="ro-MD"/>
        </w:rPr>
        <w:t xml:space="preserve"> lei.</w:t>
      </w:r>
      <w:r w:rsidR="006B03E0" w:rsidRPr="009E5B39">
        <w:rPr>
          <w:rFonts w:asciiTheme="majorHAnsi" w:eastAsia="Calibri" w:hAnsiTheme="majorHAnsi" w:cstheme="majorHAnsi"/>
          <w:i/>
          <w:sz w:val="24"/>
          <w:szCs w:val="24"/>
          <w:lang w:val="ro-MD"/>
        </w:rPr>
        <w:t xml:space="preserve">          </w:t>
      </w:r>
      <w:r w:rsidR="00E35985" w:rsidRPr="009E5B39">
        <w:rPr>
          <w:rFonts w:asciiTheme="majorHAnsi" w:eastAsia="Calibri" w:hAnsiTheme="majorHAnsi" w:cstheme="majorHAnsi"/>
          <w:b/>
          <w:i/>
          <w:sz w:val="24"/>
          <w:szCs w:val="24"/>
          <w:lang w:val="ro-MD"/>
        </w:rPr>
        <w:t xml:space="preserve"> </w:t>
      </w:r>
      <w:r w:rsidR="006B03E0" w:rsidRPr="009E5B39">
        <w:rPr>
          <w:rFonts w:asciiTheme="majorHAnsi" w:eastAsia="Calibri" w:hAnsiTheme="majorHAnsi" w:cstheme="majorHAnsi"/>
          <w:i/>
          <w:sz w:val="24"/>
          <w:szCs w:val="24"/>
          <w:lang w:val="ro-MD"/>
        </w:rPr>
        <w:t>În acest context, menționăm următoarele:</w:t>
      </w:r>
    </w:p>
    <w:p w14:paraId="7DF987CD" w14:textId="378A42F9" w:rsidR="00E95840" w:rsidRPr="009E5B39" w:rsidRDefault="00E35985" w:rsidP="00E95840">
      <w:pPr>
        <w:pStyle w:val="ListParagraph"/>
        <w:numPr>
          <w:ilvl w:val="0"/>
          <w:numId w:val="4"/>
        </w:numPr>
        <w:spacing w:after="0" w:line="276" w:lineRule="auto"/>
        <w:ind w:left="0" w:firstLine="426"/>
        <w:jc w:val="both"/>
        <w:rPr>
          <w:rFonts w:asciiTheme="majorHAnsi" w:hAnsiTheme="majorHAnsi" w:cstheme="majorHAnsi"/>
          <w:sz w:val="24"/>
          <w:szCs w:val="24"/>
          <w:lang w:val="ro-MD"/>
        </w:rPr>
      </w:pPr>
      <w:r w:rsidRPr="009E5B39">
        <w:rPr>
          <w:rFonts w:asciiTheme="majorHAnsi" w:eastAsia="Calibri" w:hAnsiTheme="majorHAnsi" w:cstheme="majorHAnsi"/>
          <w:sz w:val="24"/>
          <w:szCs w:val="24"/>
          <w:lang w:val="ro-MD"/>
        </w:rPr>
        <w:t xml:space="preserve">Programele anuale municipale privind reparația și întreținerea infrastructurii rutiere în mun. Chișinău, </w:t>
      </w:r>
      <w:r w:rsidR="006B03E0" w:rsidRPr="009E5B39">
        <w:rPr>
          <w:rFonts w:asciiTheme="majorHAnsi" w:eastAsia="Calibri" w:hAnsiTheme="majorHAnsi" w:cstheme="majorHAnsi"/>
          <w:sz w:val="24"/>
          <w:szCs w:val="24"/>
          <w:lang w:val="ro-MD"/>
        </w:rPr>
        <w:t xml:space="preserve">precum </w:t>
      </w:r>
      <w:r w:rsidRPr="009E5B39">
        <w:rPr>
          <w:rFonts w:asciiTheme="majorHAnsi" w:eastAsia="Calibri" w:hAnsiTheme="majorHAnsi" w:cstheme="majorHAnsi"/>
          <w:sz w:val="24"/>
          <w:szCs w:val="24"/>
          <w:lang w:val="ro-MD"/>
        </w:rPr>
        <w:t>și modificăril</w:t>
      </w:r>
      <w:r w:rsidR="006B03E0" w:rsidRPr="009E5B39">
        <w:rPr>
          <w:rFonts w:asciiTheme="majorHAnsi" w:eastAsia="Calibri" w:hAnsiTheme="majorHAnsi" w:cstheme="majorHAnsi"/>
          <w:sz w:val="24"/>
          <w:szCs w:val="24"/>
          <w:lang w:val="ro-MD"/>
        </w:rPr>
        <w:t>e</w:t>
      </w:r>
      <w:r w:rsidRPr="009E5B39">
        <w:rPr>
          <w:rFonts w:asciiTheme="majorHAnsi" w:eastAsia="Calibri" w:hAnsiTheme="majorHAnsi" w:cstheme="majorHAnsi"/>
          <w:sz w:val="24"/>
          <w:szCs w:val="24"/>
          <w:lang w:val="ro-MD"/>
        </w:rPr>
        <w:t xml:space="preserve"> acestora pe parcursul anului, cu indicarea denumirii străzii și a suprafeței planificate pentru reparație, sunt aprobate de către viceprimarul responsabil de domeniu</w:t>
      </w:r>
      <w:r w:rsidR="006B03E0" w:rsidRPr="009E5B39">
        <w:rPr>
          <w:rFonts w:asciiTheme="majorHAnsi" w:eastAsia="Calibri" w:hAnsiTheme="majorHAnsi" w:cstheme="majorHAnsi"/>
          <w:sz w:val="24"/>
          <w:szCs w:val="24"/>
          <w:lang w:val="ro-MD"/>
        </w:rPr>
        <w:t>l</w:t>
      </w:r>
      <w:r w:rsidRPr="009E5B39">
        <w:rPr>
          <w:rFonts w:asciiTheme="majorHAnsi" w:eastAsia="Calibri" w:hAnsiTheme="majorHAnsi" w:cstheme="majorHAnsi"/>
          <w:sz w:val="24"/>
          <w:szCs w:val="24"/>
          <w:lang w:val="ro-MD"/>
        </w:rPr>
        <w:t xml:space="preserve"> dat</w:t>
      </w:r>
      <w:r w:rsidR="006B03E0"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alocațiile planificate pentru reparați</w:t>
      </w:r>
      <w:r w:rsidR="006B03E0" w:rsidRPr="009E5B39">
        <w:rPr>
          <w:rFonts w:asciiTheme="majorHAnsi" w:eastAsia="Calibri" w:hAnsiTheme="majorHAnsi" w:cstheme="majorHAnsi"/>
          <w:sz w:val="24"/>
          <w:szCs w:val="24"/>
          <w:lang w:val="ro-MD"/>
        </w:rPr>
        <w:t>a</w:t>
      </w:r>
      <w:r w:rsidRPr="009E5B39">
        <w:rPr>
          <w:rFonts w:asciiTheme="majorHAnsi" w:eastAsia="Calibri" w:hAnsiTheme="majorHAnsi" w:cstheme="majorHAnsi"/>
          <w:sz w:val="24"/>
          <w:szCs w:val="24"/>
          <w:lang w:val="ro-MD"/>
        </w:rPr>
        <w:t xml:space="preserve"> curent</w:t>
      </w:r>
      <w:r w:rsidR="006B03E0" w:rsidRPr="009E5B39">
        <w:rPr>
          <w:rFonts w:asciiTheme="majorHAnsi" w:eastAsia="Calibri" w:hAnsiTheme="majorHAnsi" w:cstheme="majorHAnsi"/>
          <w:sz w:val="24"/>
          <w:szCs w:val="24"/>
          <w:lang w:val="ro-MD"/>
        </w:rPr>
        <w:t>ă</w:t>
      </w:r>
      <w:r w:rsidRPr="009E5B39">
        <w:rPr>
          <w:rFonts w:asciiTheme="majorHAnsi" w:eastAsia="Calibri" w:hAnsiTheme="majorHAnsi" w:cstheme="majorHAnsi"/>
          <w:sz w:val="24"/>
          <w:szCs w:val="24"/>
          <w:lang w:val="ro-MD"/>
        </w:rPr>
        <w:t xml:space="preserve"> (la contul 222500) a infrastructurii căilor de comunicații sunt redistribuite la alte obiecte, în baza dispoziției primarului, pentru executarea unor lucrări de reparație capitală a altor străzi; în planurile anuale sunt incluse și executate servicii de reparație a drumurilor publice locale din UAT de nivelul I din suburbi</w:t>
      </w:r>
      <w:r w:rsidR="006B03E0" w:rsidRPr="009E5B39">
        <w:rPr>
          <w:rFonts w:asciiTheme="majorHAnsi" w:eastAsia="Calibri" w:hAnsiTheme="majorHAnsi" w:cstheme="majorHAnsi"/>
          <w:sz w:val="24"/>
          <w:szCs w:val="24"/>
          <w:lang w:val="ro-MD"/>
        </w:rPr>
        <w:t>i</w:t>
      </w:r>
      <w:r w:rsidRPr="009E5B39">
        <w:rPr>
          <w:rFonts w:asciiTheme="majorHAnsi" w:eastAsia="Calibri" w:hAnsiTheme="majorHAnsi" w:cstheme="majorHAnsi"/>
          <w:sz w:val="24"/>
          <w:szCs w:val="24"/>
          <w:lang w:val="ro-MD"/>
        </w:rPr>
        <w:t>.</w:t>
      </w:r>
    </w:p>
    <w:p w14:paraId="5F7AF09A" w14:textId="013990B8" w:rsidR="00E95840" w:rsidRPr="009E5B39" w:rsidRDefault="00E637B5" w:rsidP="00E95840">
      <w:pPr>
        <w:pStyle w:val="ListParagraph"/>
        <w:numPr>
          <w:ilvl w:val="0"/>
          <w:numId w:val="4"/>
        </w:numPr>
        <w:spacing w:after="0" w:line="276" w:lineRule="auto"/>
        <w:ind w:left="0" w:firstLine="426"/>
        <w:jc w:val="both"/>
        <w:rPr>
          <w:rFonts w:asciiTheme="majorHAnsi" w:hAnsiTheme="majorHAnsi" w:cstheme="majorHAnsi"/>
          <w:sz w:val="24"/>
          <w:szCs w:val="24"/>
          <w:lang w:val="ro-MD"/>
        </w:rPr>
      </w:pPr>
      <w:r w:rsidRPr="009E5B39">
        <w:rPr>
          <w:rFonts w:asciiTheme="majorHAnsi" w:eastAsia="Calibri" w:hAnsiTheme="majorHAnsi" w:cstheme="majorHAnsi"/>
          <w:sz w:val="24"/>
          <w:szCs w:val="24"/>
          <w:lang w:val="ro-MD"/>
        </w:rPr>
        <w:t>Cu toate</w:t>
      </w:r>
      <w:r w:rsidR="00E35985" w:rsidRPr="009E5B39">
        <w:rPr>
          <w:rFonts w:asciiTheme="majorHAnsi" w:eastAsia="Calibri" w:hAnsiTheme="majorHAnsi" w:cstheme="majorHAnsi"/>
          <w:sz w:val="24"/>
          <w:szCs w:val="24"/>
          <w:lang w:val="ro-MD"/>
        </w:rPr>
        <w:t xml:space="preserve"> că UAT de nivelul I din suburbi</w:t>
      </w:r>
      <w:r w:rsidRPr="009E5B39">
        <w:rPr>
          <w:rFonts w:asciiTheme="majorHAnsi" w:eastAsia="Calibri" w:hAnsiTheme="majorHAnsi" w:cstheme="majorHAnsi"/>
          <w:sz w:val="24"/>
          <w:szCs w:val="24"/>
          <w:lang w:val="ro-MD"/>
        </w:rPr>
        <w:t>i</w:t>
      </w:r>
      <w:r w:rsidR="00E35985" w:rsidRPr="009E5B39">
        <w:rPr>
          <w:rFonts w:asciiTheme="majorHAnsi" w:eastAsia="Calibri" w:hAnsiTheme="majorHAnsi" w:cstheme="majorHAnsi"/>
          <w:sz w:val="24"/>
          <w:szCs w:val="24"/>
          <w:lang w:val="ro-MD"/>
        </w:rPr>
        <w:t xml:space="preserve"> beneficiază de transferuri cu destinație specială pentru infrastructura drumurilor publice de interes local, programele anuale, pe parcursul anului de gestiune, sunt modificate la discreția autorității executive, prin includerea și executarea de lucrări la străzile care țin de competența APL de nivelul I din suburbii, fără ca CMC să decidă asupra acestor lucrări. Astfel, în perioada auditată</w:t>
      </w:r>
      <w:r w:rsidR="003E5369" w:rsidRPr="009E5B39">
        <w:rPr>
          <w:rFonts w:asciiTheme="majorHAnsi" w:eastAsia="Calibri" w:hAnsiTheme="majorHAnsi" w:cstheme="majorHAnsi"/>
          <w:sz w:val="24"/>
          <w:szCs w:val="24"/>
          <w:lang w:val="ro-MD"/>
        </w:rPr>
        <w:t>,</w:t>
      </w:r>
      <w:r w:rsidR="00E35985" w:rsidRPr="009E5B39">
        <w:rPr>
          <w:rFonts w:asciiTheme="majorHAnsi" w:eastAsia="Calibri" w:hAnsiTheme="majorHAnsi" w:cstheme="majorHAnsi"/>
          <w:sz w:val="24"/>
          <w:szCs w:val="24"/>
          <w:lang w:val="ro-MD"/>
        </w:rPr>
        <w:t xml:space="preserve"> au fost suportate cheltuieli pentru reparația drumurilor publice locale din UAT de nivelul I în sumă totală de circa </w:t>
      </w:r>
      <w:r w:rsidR="00E35985" w:rsidRPr="009E5B39">
        <w:rPr>
          <w:rFonts w:asciiTheme="majorHAnsi" w:eastAsia="Calibri" w:hAnsiTheme="majorHAnsi" w:cstheme="majorHAnsi"/>
          <w:b/>
          <w:sz w:val="24"/>
          <w:szCs w:val="24"/>
          <w:lang w:val="ro-MD"/>
        </w:rPr>
        <w:t>16</w:t>
      </w:r>
      <w:r w:rsidR="003E2996" w:rsidRPr="009E5B39">
        <w:rPr>
          <w:rFonts w:asciiTheme="majorHAnsi" w:eastAsia="Calibri" w:hAnsiTheme="majorHAnsi" w:cstheme="majorHAnsi"/>
          <w:b/>
          <w:sz w:val="24"/>
          <w:szCs w:val="24"/>
          <w:lang w:val="ro-MD"/>
        </w:rPr>
        <w:t>,</w:t>
      </w:r>
      <w:r w:rsidR="00E35985" w:rsidRPr="009E5B39">
        <w:rPr>
          <w:rFonts w:asciiTheme="majorHAnsi" w:eastAsia="Calibri" w:hAnsiTheme="majorHAnsi" w:cstheme="majorHAnsi"/>
          <w:b/>
          <w:sz w:val="24"/>
          <w:szCs w:val="24"/>
          <w:lang w:val="ro-MD"/>
        </w:rPr>
        <w:t>77</w:t>
      </w:r>
      <w:r w:rsidRPr="009E5B39">
        <w:rPr>
          <w:rFonts w:asciiTheme="majorHAnsi" w:eastAsia="Calibri" w:hAnsiTheme="majorHAnsi" w:cstheme="majorHAnsi"/>
          <w:b/>
          <w:sz w:val="24"/>
          <w:szCs w:val="24"/>
          <w:lang w:val="ro-MD"/>
        </w:rPr>
        <w:t xml:space="preserve"> </w:t>
      </w:r>
      <w:r w:rsidR="00E35985" w:rsidRPr="009E5B39">
        <w:rPr>
          <w:rFonts w:asciiTheme="majorHAnsi" w:eastAsia="Calibri" w:hAnsiTheme="majorHAnsi" w:cstheme="majorHAnsi"/>
          <w:b/>
          <w:sz w:val="24"/>
          <w:szCs w:val="24"/>
          <w:lang w:val="ro-MD"/>
        </w:rPr>
        <w:t>mi</w:t>
      </w:r>
      <w:r w:rsidR="003E2996" w:rsidRPr="009E5B39">
        <w:rPr>
          <w:rFonts w:asciiTheme="majorHAnsi" w:eastAsia="Calibri" w:hAnsiTheme="majorHAnsi" w:cstheme="majorHAnsi"/>
          <w:b/>
          <w:sz w:val="24"/>
          <w:szCs w:val="24"/>
          <w:lang w:val="ro-MD"/>
        </w:rPr>
        <w:t>l</w:t>
      </w:r>
      <w:r w:rsidRPr="009E5B39">
        <w:rPr>
          <w:rFonts w:asciiTheme="majorHAnsi" w:eastAsia="Calibri" w:hAnsiTheme="majorHAnsi" w:cstheme="majorHAnsi"/>
          <w:b/>
          <w:sz w:val="24"/>
          <w:szCs w:val="24"/>
          <w:lang w:val="ro-MD"/>
        </w:rPr>
        <w:t>.</w:t>
      </w:r>
      <w:r w:rsidR="00E35985" w:rsidRPr="009E5B39">
        <w:rPr>
          <w:rFonts w:asciiTheme="majorHAnsi" w:eastAsia="Calibri" w:hAnsiTheme="majorHAnsi" w:cstheme="majorHAnsi"/>
          <w:b/>
          <w:sz w:val="24"/>
          <w:szCs w:val="24"/>
          <w:lang w:val="ro-MD"/>
        </w:rPr>
        <w:t xml:space="preserve"> lei</w:t>
      </w:r>
      <w:r w:rsidR="00E35985" w:rsidRPr="009E5B39">
        <w:rPr>
          <w:vertAlign w:val="superscript"/>
          <w:lang w:val="ro-MD"/>
        </w:rPr>
        <w:footnoteReference w:id="63"/>
      </w:r>
      <w:r w:rsidR="00E35985" w:rsidRPr="009E5B39">
        <w:rPr>
          <w:rFonts w:asciiTheme="majorHAnsi" w:eastAsia="Calibri" w:hAnsiTheme="majorHAnsi" w:cstheme="majorHAnsi"/>
          <w:sz w:val="24"/>
          <w:szCs w:val="24"/>
          <w:lang w:val="ro-MD"/>
        </w:rPr>
        <w:t xml:space="preserve">. </w:t>
      </w:r>
    </w:p>
    <w:p w14:paraId="5DA7CF23" w14:textId="6CE2081C" w:rsidR="00E35985" w:rsidRPr="009E5B39" w:rsidRDefault="00E35985" w:rsidP="00E95840">
      <w:pPr>
        <w:pStyle w:val="ListParagraph"/>
        <w:numPr>
          <w:ilvl w:val="0"/>
          <w:numId w:val="4"/>
        </w:numPr>
        <w:spacing w:after="0" w:line="276" w:lineRule="auto"/>
        <w:ind w:left="0" w:firstLine="426"/>
        <w:jc w:val="both"/>
        <w:rPr>
          <w:rFonts w:asciiTheme="majorHAnsi" w:hAnsiTheme="majorHAnsi" w:cstheme="majorHAnsi"/>
          <w:sz w:val="24"/>
          <w:szCs w:val="24"/>
          <w:lang w:val="ro-MD"/>
        </w:rPr>
      </w:pPr>
      <w:r w:rsidRPr="009E5B39">
        <w:rPr>
          <w:rFonts w:asciiTheme="majorHAnsi" w:eastAsia="Calibri" w:hAnsiTheme="majorHAnsi" w:cstheme="majorHAnsi"/>
          <w:sz w:val="24"/>
          <w:szCs w:val="24"/>
          <w:lang w:val="ro-MD"/>
        </w:rPr>
        <w:t xml:space="preserve">Deși CMC aprobă anual, prin deciziile sale, alocații în sumă a câte 25.000,0 mii lei  pentru reparația și întreținerea drumurilor publice de interes raional (căilor de comunicație suburbane), în programele anuale, în acest scop, alocațiile aprobate sunt diminuate semnificativ. Astfel, în perioada anilor 2018-2020, CMC a aprobat alocații în sumă totală de </w:t>
      </w:r>
      <w:r w:rsidRPr="009E5B39">
        <w:rPr>
          <w:rFonts w:asciiTheme="majorHAnsi" w:eastAsia="Calibri" w:hAnsiTheme="majorHAnsi" w:cstheme="majorHAnsi"/>
          <w:b/>
          <w:sz w:val="24"/>
          <w:szCs w:val="24"/>
          <w:lang w:val="ro-MD"/>
        </w:rPr>
        <w:t>75</w:t>
      </w:r>
      <w:r w:rsidR="003E2996"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0 mi</w:t>
      </w:r>
      <w:r w:rsidR="003E2996" w:rsidRPr="009E5B39">
        <w:rPr>
          <w:rFonts w:asciiTheme="majorHAnsi" w:eastAsia="Calibri" w:hAnsiTheme="majorHAnsi" w:cstheme="majorHAnsi"/>
          <w:b/>
          <w:sz w:val="24"/>
          <w:szCs w:val="24"/>
          <w:lang w:val="ro-MD"/>
        </w:rPr>
        <w:t>l</w:t>
      </w:r>
      <w:r w:rsidR="00E637B5"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 xml:space="preserve"> lei</w:t>
      </w:r>
      <w:r w:rsidR="003E5369" w:rsidRPr="009E5B39">
        <w:rPr>
          <w:rFonts w:asciiTheme="majorHAnsi" w:eastAsia="Calibri" w:hAnsiTheme="majorHAnsi" w:cstheme="majorHAnsi"/>
          <w:sz w:val="24"/>
          <w:szCs w:val="24"/>
          <w:lang w:val="ro-MD"/>
        </w:rPr>
        <w:t>, dar</w:t>
      </w:r>
      <w:r w:rsidRPr="009E5B39">
        <w:rPr>
          <w:rFonts w:asciiTheme="majorHAnsi" w:eastAsia="Calibri" w:hAnsiTheme="majorHAnsi" w:cstheme="majorHAnsi"/>
          <w:sz w:val="24"/>
          <w:szCs w:val="24"/>
          <w:lang w:val="ro-MD"/>
        </w:rPr>
        <w:t xml:space="preserve"> în programele anuale au fost repartizate </w:t>
      </w:r>
      <w:r w:rsidRPr="009E5B39">
        <w:rPr>
          <w:rFonts w:asciiTheme="majorHAnsi" w:eastAsia="Calibri" w:hAnsiTheme="majorHAnsi" w:cstheme="majorHAnsi"/>
          <w:b/>
          <w:sz w:val="24"/>
          <w:szCs w:val="24"/>
          <w:lang w:val="ro-MD"/>
        </w:rPr>
        <w:t>25</w:t>
      </w:r>
      <w:r w:rsidR="003E2996"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74 mi</w:t>
      </w:r>
      <w:r w:rsidR="003E2996" w:rsidRPr="009E5B39">
        <w:rPr>
          <w:rFonts w:asciiTheme="majorHAnsi" w:eastAsia="Calibri" w:hAnsiTheme="majorHAnsi" w:cstheme="majorHAnsi"/>
          <w:b/>
          <w:sz w:val="24"/>
          <w:szCs w:val="24"/>
          <w:lang w:val="ro-MD"/>
        </w:rPr>
        <w:t>l</w:t>
      </w:r>
      <w:r w:rsidR="00E637B5"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 xml:space="preserve"> lei</w:t>
      </w:r>
      <w:r w:rsidRPr="009E5B39">
        <w:rPr>
          <w:rFonts w:asciiTheme="majorHAnsi" w:eastAsia="Calibri" w:hAnsiTheme="majorHAnsi" w:cstheme="majorHAnsi"/>
          <w:sz w:val="24"/>
          <w:szCs w:val="24"/>
          <w:lang w:val="ro-MD"/>
        </w:rPr>
        <w:t>, ce constituie 34% din suma total</w:t>
      </w:r>
      <w:r w:rsidR="003E5369" w:rsidRPr="009E5B39">
        <w:rPr>
          <w:rFonts w:asciiTheme="majorHAnsi" w:eastAsia="Calibri" w:hAnsiTheme="majorHAnsi" w:cstheme="majorHAnsi"/>
          <w:sz w:val="24"/>
          <w:szCs w:val="24"/>
          <w:lang w:val="ro-MD"/>
        </w:rPr>
        <w:t>ă</w:t>
      </w:r>
      <w:r w:rsidRPr="009E5B39">
        <w:rPr>
          <w:rFonts w:asciiTheme="majorHAnsi" w:eastAsia="Calibri" w:hAnsiTheme="majorHAnsi" w:cstheme="majorHAnsi"/>
          <w:sz w:val="24"/>
          <w:szCs w:val="24"/>
          <w:lang w:val="ro-MD"/>
        </w:rPr>
        <w:t xml:space="preserve"> alocată. Cheltuielile aferente lucrărilor pentru reparația drumurilor publice de interes raional</w:t>
      </w:r>
      <w:r w:rsidR="0032206B" w:rsidRPr="009E5B39">
        <w:rPr>
          <w:rFonts w:asciiTheme="majorHAnsi" w:eastAsia="Calibri" w:hAnsiTheme="majorHAnsi" w:cstheme="majorHAnsi"/>
          <w:sz w:val="24"/>
          <w:szCs w:val="24"/>
          <w:lang w:val="ro-MD"/>
        </w:rPr>
        <w:t>/municipal</w:t>
      </w:r>
      <w:r w:rsidRPr="009E5B39">
        <w:rPr>
          <w:rFonts w:asciiTheme="majorHAnsi" w:eastAsia="Calibri" w:hAnsiTheme="majorHAnsi" w:cstheme="majorHAnsi"/>
          <w:sz w:val="24"/>
          <w:szCs w:val="24"/>
          <w:lang w:val="ro-MD"/>
        </w:rPr>
        <w:t xml:space="preserve"> constitui</w:t>
      </w:r>
      <w:r w:rsidR="003E5369" w:rsidRPr="009E5B39">
        <w:rPr>
          <w:rFonts w:asciiTheme="majorHAnsi" w:eastAsia="Calibri" w:hAnsiTheme="majorHAnsi" w:cstheme="majorHAnsi"/>
          <w:sz w:val="24"/>
          <w:szCs w:val="24"/>
          <w:lang w:val="ro-MD"/>
        </w:rPr>
        <w:t>e</w:t>
      </w:r>
      <w:r w:rsidRPr="009E5B39">
        <w:rPr>
          <w:rFonts w:asciiTheme="majorHAnsi" w:eastAsia="Calibri" w:hAnsiTheme="majorHAnsi" w:cstheme="majorHAnsi"/>
          <w:sz w:val="24"/>
          <w:szCs w:val="24"/>
          <w:lang w:val="ro-MD"/>
        </w:rPr>
        <w:t xml:space="preserve"> în total </w:t>
      </w:r>
      <w:r w:rsidRPr="009E5B39">
        <w:rPr>
          <w:rFonts w:asciiTheme="majorHAnsi" w:eastAsia="Calibri" w:hAnsiTheme="majorHAnsi" w:cstheme="majorHAnsi"/>
          <w:b/>
          <w:sz w:val="24"/>
          <w:szCs w:val="24"/>
          <w:lang w:val="ro-MD"/>
        </w:rPr>
        <w:t>2</w:t>
      </w:r>
      <w:r w:rsidR="003E2996"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59 mi</w:t>
      </w:r>
      <w:r w:rsidR="003E2996" w:rsidRPr="009E5B39">
        <w:rPr>
          <w:rFonts w:asciiTheme="majorHAnsi" w:eastAsia="Calibri" w:hAnsiTheme="majorHAnsi" w:cstheme="majorHAnsi"/>
          <w:b/>
          <w:sz w:val="24"/>
          <w:szCs w:val="24"/>
          <w:lang w:val="ro-MD"/>
        </w:rPr>
        <w:t>l</w:t>
      </w:r>
      <w:r w:rsidR="00E637B5"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 xml:space="preserve"> lei, </w:t>
      </w:r>
      <w:r w:rsidRPr="009E5B39">
        <w:rPr>
          <w:rFonts w:asciiTheme="majorHAnsi" w:eastAsia="Calibri" w:hAnsiTheme="majorHAnsi" w:cstheme="majorHAnsi"/>
          <w:sz w:val="24"/>
          <w:szCs w:val="24"/>
          <w:lang w:val="ro-MD"/>
        </w:rPr>
        <w:t xml:space="preserve">sau 3,5% din suma alocată: </w:t>
      </w:r>
    </w:p>
    <w:p w14:paraId="09C260D6" w14:textId="77777777" w:rsidR="00E35985" w:rsidRPr="009E5B39" w:rsidRDefault="00E35985" w:rsidP="00EF4BC3">
      <w:pPr>
        <w:tabs>
          <w:tab w:val="left" w:pos="3542"/>
        </w:tabs>
        <w:spacing w:after="0" w:line="240" w:lineRule="auto"/>
        <w:jc w:val="right"/>
        <w:rPr>
          <w:rFonts w:asciiTheme="majorHAnsi" w:eastAsia="Calibri" w:hAnsiTheme="majorHAnsi" w:cstheme="majorHAnsi"/>
          <w:i/>
          <w:sz w:val="24"/>
          <w:szCs w:val="24"/>
          <w:lang w:val="ro-MD"/>
        </w:rPr>
      </w:pPr>
      <w:r w:rsidRPr="009E5B39">
        <w:rPr>
          <w:rFonts w:asciiTheme="majorHAnsi" w:eastAsia="Calibri" w:hAnsiTheme="majorHAnsi" w:cstheme="majorHAnsi"/>
          <w:i/>
          <w:sz w:val="24"/>
          <w:szCs w:val="24"/>
          <w:lang w:val="ro-MD"/>
        </w:rPr>
        <w:t>mii lei</w:t>
      </w:r>
    </w:p>
    <w:tbl>
      <w:tblPr>
        <w:tblStyle w:val="TableGrid"/>
        <w:tblW w:w="9351" w:type="dxa"/>
        <w:tblLook w:val="04A0" w:firstRow="1" w:lastRow="0" w:firstColumn="1" w:lastColumn="0" w:noHBand="0" w:noVBand="1"/>
      </w:tblPr>
      <w:tblGrid>
        <w:gridCol w:w="469"/>
        <w:gridCol w:w="858"/>
        <w:gridCol w:w="1645"/>
        <w:gridCol w:w="2097"/>
        <w:gridCol w:w="1131"/>
        <w:gridCol w:w="1683"/>
        <w:gridCol w:w="1468"/>
      </w:tblGrid>
      <w:tr w:rsidR="00EF4BC3" w:rsidRPr="009E5B39" w14:paraId="30CE679C" w14:textId="77777777" w:rsidTr="00884AAD">
        <w:tc>
          <w:tcPr>
            <w:tcW w:w="469" w:type="dxa"/>
            <w:vMerge w:val="restart"/>
          </w:tcPr>
          <w:p w14:paraId="0109B389" w14:textId="4B66E820" w:rsidR="00E35985" w:rsidRPr="009E5B39" w:rsidRDefault="00E35985" w:rsidP="00EF4BC3">
            <w:pPr>
              <w:tabs>
                <w:tab w:val="left" w:pos="3542"/>
              </w:tabs>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Nr. </w:t>
            </w:r>
            <w:r w:rsidR="00E637B5" w:rsidRPr="009E5B39">
              <w:rPr>
                <w:rFonts w:asciiTheme="majorHAnsi" w:eastAsia="Calibri" w:hAnsiTheme="majorHAnsi" w:cstheme="majorHAnsi"/>
                <w:b/>
                <w:sz w:val="18"/>
                <w:szCs w:val="18"/>
                <w:lang w:val="ro-MD"/>
              </w:rPr>
              <w:t>d/o</w:t>
            </w:r>
          </w:p>
        </w:tc>
        <w:tc>
          <w:tcPr>
            <w:tcW w:w="858" w:type="dxa"/>
            <w:vMerge w:val="restart"/>
          </w:tcPr>
          <w:p w14:paraId="6C392E50" w14:textId="77777777" w:rsidR="00E35985" w:rsidRPr="009E5B39" w:rsidRDefault="00E35985" w:rsidP="00EF4BC3">
            <w:pPr>
              <w:tabs>
                <w:tab w:val="left" w:pos="3542"/>
              </w:tabs>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Perioada</w:t>
            </w:r>
          </w:p>
        </w:tc>
        <w:tc>
          <w:tcPr>
            <w:tcW w:w="1645" w:type="dxa"/>
            <w:vMerge w:val="restart"/>
          </w:tcPr>
          <w:p w14:paraId="68B29EF5" w14:textId="77777777" w:rsidR="00E35985" w:rsidRPr="009E5B39" w:rsidRDefault="00E35985" w:rsidP="00EF4BC3">
            <w:pPr>
              <w:tabs>
                <w:tab w:val="left" w:pos="3542"/>
              </w:tabs>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Alocații aprobate inițial, conform anexelor la deciziile CMC * </w:t>
            </w:r>
          </w:p>
        </w:tc>
        <w:tc>
          <w:tcPr>
            <w:tcW w:w="2097" w:type="dxa"/>
            <w:vMerge w:val="restart"/>
          </w:tcPr>
          <w:p w14:paraId="278917F7" w14:textId="77777777" w:rsidR="00E35985" w:rsidRPr="009E5B39" w:rsidRDefault="00E35985" w:rsidP="00EF4BC3">
            <w:pPr>
              <w:tabs>
                <w:tab w:val="left" w:pos="3542"/>
              </w:tabs>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Alocații conform programului municipal, aprobat de către viceprimarul de ramură**    </w:t>
            </w:r>
          </w:p>
        </w:tc>
        <w:tc>
          <w:tcPr>
            <w:tcW w:w="1131" w:type="dxa"/>
            <w:vMerge w:val="restart"/>
          </w:tcPr>
          <w:p w14:paraId="516914FA" w14:textId="77777777" w:rsidR="00E35985" w:rsidRPr="009E5B39" w:rsidRDefault="00E35985" w:rsidP="00EF4BC3">
            <w:pPr>
              <w:tabs>
                <w:tab w:val="left" w:pos="3542"/>
              </w:tabs>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TOTAL</w:t>
            </w:r>
          </w:p>
          <w:p w14:paraId="4756A824" w14:textId="77777777" w:rsidR="00E35985" w:rsidRPr="009E5B39" w:rsidRDefault="00E35985" w:rsidP="00EF4BC3">
            <w:pPr>
              <w:tabs>
                <w:tab w:val="left" w:pos="3542"/>
              </w:tabs>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 executat **</w:t>
            </w:r>
          </w:p>
          <w:p w14:paraId="627D4771" w14:textId="77777777" w:rsidR="00E35985" w:rsidRPr="009E5B39" w:rsidRDefault="00E35985" w:rsidP="00EF4BC3">
            <w:pPr>
              <w:tabs>
                <w:tab w:val="left" w:pos="3542"/>
              </w:tabs>
              <w:rPr>
                <w:rFonts w:asciiTheme="majorHAnsi" w:eastAsia="Calibri" w:hAnsiTheme="majorHAnsi" w:cstheme="majorHAnsi"/>
                <w:b/>
                <w:sz w:val="18"/>
                <w:szCs w:val="18"/>
                <w:lang w:val="ro-MD"/>
              </w:rPr>
            </w:pPr>
          </w:p>
          <w:p w14:paraId="7B2A9622" w14:textId="77777777" w:rsidR="00E35985" w:rsidRPr="009E5B39" w:rsidRDefault="00E35985" w:rsidP="00EF4BC3">
            <w:pPr>
              <w:tabs>
                <w:tab w:val="left" w:pos="3542"/>
              </w:tabs>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   </w:t>
            </w:r>
          </w:p>
        </w:tc>
        <w:tc>
          <w:tcPr>
            <w:tcW w:w="3151" w:type="dxa"/>
            <w:gridSpan w:val="2"/>
          </w:tcPr>
          <w:p w14:paraId="2BCE9F9F" w14:textId="45E3F927" w:rsidR="00E35985" w:rsidRPr="009E5B39" w:rsidRDefault="00E637B5" w:rsidP="00EF4BC3">
            <w:pPr>
              <w:tabs>
                <w:tab w:val="left" w:pos="3542"/>
              </w:tabs>
              <w:jc w:val="center"/>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i</w:t>
            </w:r>
            <w:r w:rsidR="00E35985" w:rsidRPr="009E5B39">
              <w:rPr>
                <w:rFonts w:asciiTheme="majorHAnsi" w:eastAsia="Calibri" w:hAnsiTheme="majorHAnsi" w:cstheme="majorHAnsi"/>
                <w:b/>
                <w:sz w:val="18"/>
                <w:szCs w:val="18"/>
                <w:lang w:val="ro-MD"/>
              </w:rPr>
              <w:t>nclusiv:</w:t>
            </w:r>
          </w:p>
        </w:tc>
      </w:tr>
      <w:tr w:rsidR="00EF4BC3" w:rsidRPr="009E5B39" w14:paraId="77461071" w14:textId="77777777" w:rsidTr="00884AAD">
        <w:tc>
          <w:tcPr>
            <w:tcW w:w="469" w:type="dxa"/>
            <w:vMerge/>
          </w:tcPr>
          <w:p w14:paraId="7969A522" w14:textId="77777777" w:rsidR="00E35985" w:rsidRPr="009E5B39" w:rsidRDefault="00E35985" w:rsidP="00EF4BC3">
            <w:pPr>
              <w:tabs>
                <w:tab w:val="left" w:pos="3542"/>
              </w:tabs>
              <w:rPr>
                <w:rFonts w:asciiTheme="majorHAnsi" w:eastAsia="Calibri" w:hAnsiTheme="majorHAnsi" w:cstheme="majorHAnsi"/>
                <w:i/>
                <w:sz w:val="18"/>
                <w:szCs w:val="18"/>
                <w:lang w:val="ro-MD"/>
              </w:rPr>
            </w:pPr>
          </w:p>
        </w:tc>
        <w:tc>
          <w:tcPr>
            <w:tcW w:w="858" w:type="dxa"/>
            <w:vMerge/>
          </w:tcPr>
          <w:p w14:paraId="64F104E8" w14:textId="77777777" w:rsidR="00E35985" w:rsidRPr="009E5B39" w:rsidRDefault="00E35985" w:rsidP="00EF4BC3">
            <w:pPr>
              <w:tabs>
                <w:tab w:val="left" w:pos="3542"/>
              </w:tabs>
              <w:rPr>
                <w:rFonts w:asciiTheme="majorHAnsi" w:eastAsia="Calibri" w:hAnsiTheme="majorHAnsi" w:cstheme="majorHAnsi"/>
                <w:i/>
                <w:sz w:val="18"/>
                <w:szCs w:val="18"/>
                <w:lang w:val="ro-MD"/>
              </w:rPr>
            </w:pPr>
          </w:p>
        </w:tc>
        <w:tc>
          <w:tcPr>
            <w:tcW w:w="1645" w:type="dxa"/>
            <w:vMerge/>
          </w:tcPr>
          <w:p w14:paraId="0D56265B" w14:textId="77777777" w:rsidR="00E35985" w:rsidRPr="009E5B39" w:rsidRDefault="00E35985" w:rsidP="00EF4BC3">
            <w:pPr>
              <w:tabs>
                <w:tab w:val="left" w:pos="3542"/>
              </w:tabs>
              <w:rPr>
                <w:rFonts w:asciiTheme="majorHAnsi" w:eastAsia="Calibri" w:hAnsiTheme="majorHAnsi" w:cstheme="majorHAnsi"/>
                <w:i/>
                <w:sz w:val="18"/>
                <w:szCs w:val="18"/>
                <w:lang w:val="ro-MD"/>
              </w:rPr>
            </w:pPr>
          </w:p>
        </w:tc>
        <w:tc>
          <w:tcPr>
            <w:tcW w:w="2097" w:type="dxa"/>
            <w:vMerge/>
          </w:tcPr>
          <w:p w14:paraId="3D0A1E04" w14:textId="77777777" w:rsidR="00E35985" w:rsidRPr="009E5B39" w:rsidRDefault="00E35985" w:rsidP="00EF4BC3">
            <w:pPr>
              <w:tabs>
                <w:tab w:val="left" w:pos="3542"/>
              </w:tabs>
              <w:rPr>
                <w:rFonts w:asciiTheme="majorHAnsi" w:eastAsia="Calibri" w:hAnsiTheme="majorHAnsi" w:cstheme="majorHAnsi"/>
                <w:i/>
                <w:sz w:val="18"/>
                <w:szCs w:val="18"/>
                <w:lang w:val="ro-MD"/>
              </w:rPr>
            </w:pPr>
          </w:p>
        </w:tc>
        <w:tc>
          <w:tcPr>
            <w:tcW w:w="1131" w:type="dxa"/>
            <w:vMerge/>
          </w:tcPr>
          <w:p w14:paraId="482E58B1" w14:textId="77777777" w:rsidR="00E35985" w:rsidRPr="009E5B39" w:rsidRDefault="00E35985" w:rsidP="00EF4BC3">
            <w:pPr>
              <w:tabs>
                <w:tab w:val="left" w:pos="3542"/>
              </w:tabs>
              <w:rPr>
                <w:rFonts w:asciiTheme="majorHAnsi" w:eastAsia="Calibri" w:hAnsiTheme="majorHAnsi" w:cstheme="majorHAnsi"/>
                <w:i/>
                <w:sz w:val="18"/>
                <w:szCs w:val="18"/>
                <w:lang w:val="ro-MD"/>
              </w:rPr>
            </w:pPr>
          </w:p>
        </w:tc>
        <w:tc>
          <w:tcPr>
            <w:tcW w:w="1683" w:type="dxa"/>
          </w:tcPr>
          <w:p w14:paraId="350D64F4" w14:textId="77777777" w:rsidR="00E35985" w:rsidRPr="009E5B39" w:rsidRDefault="00E35985" w:rsidP="00EF4BC3">
            <w:pPr>
              <w:tabs>
                <w:tab w:val="left" w:pos="3542"/>
              </w:tabs>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Reparația drumurilor publice de interes raional    </w:t>
            </w:r>
          </w:p>
        </w:tc>
        <w:tc>
          <w:tcPr>
            <w:tcW w:w="1468" w:type="dxa"/>
          </w:tcPr>
          <w:p w14:paraId="5DE6B8A2" w14:textId="77777777" w:rsidR="00E35985" w:rsidRPr="009E5B39" w:rsidRDefault="00E35985" w:rsidP="00EF4BC3">
            <w:pPr>
              <w:tabs>
                <w:tab w:val="left" w:pos="3542"/>
              </w:tabs>
              <w:jc w:val="center"/>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Reparația drumurilor publice locale</w:t>
            </w:r>
          </w:p>
        </w:tc>
      </w:tr>
      <w:tr w:rsidR="00EF4BC3" w:rsidRPr="009E5B39" w14:paraId="0587D1D0" w14:textId="77777777" w:rsidTr="00884AAD">
        <w:tc>
          <w:tcPr>
            <w:tcW w:w="469" w:type="dxa"/>
          </w:tcPr>
          <w:p w14:paraId="55F1A6FA" w14:textId="77777777" w:rsidR="00E35985" w:rsidRPr="009E5B39" w:rsidRDefault="00E35985" w:rsidP="00EF4BC3">
            <w:pPr>
              <w:tabs>
                <w:tab w:val="left" w:pos="3542"/>
              </w:tabs>
              <w:jc w:val="both"/>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1</w:t>
            </w:r>
          </w:p>
        </w:tc>
        <w:tc>
          <w:tcPr>
            <w:tcW w:w="858" w:type="dxa"/>
          </w:tcPr>
          <w:p w14:paraId="329F9C43" w14:textId="77777777" w:rsidR="00E35985" w:rsidRPr="009E5B39" w:rsidRDefault="00E35985" w:rsidP="00EF4BC3">
            <w:pPr>
              <w:tabs>
                <w:tab w:val="left" w:pos="3542"/>
              </w:tabs>
              <w:jc w:val="both"/>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2018</w:t>
            </w:r>
          </w:p>
        </w:tc>
        <w:tc>
          <w:tcPr>
            <w:tcW w:w="1645" w:type="dxa"/>
          </w:tcPr>
          <w:p w14:paraId="303A8F35" w14:textId="77777777" w:rsidR="00E35985" w:rsidRPr="009E5B39" w:rsidRDefault="00E35985"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25000,00</w:t>
            </w:r>
          </w:p>
        </w:tc>
        <w:tc>
          <w:tcPr>
            <w:tcW w:w="2097" w:type="dxa"/>
          </w:tcPr>
          <w:p w14:paraId="5194A810" w14:textId="77777777" w:rsidR="00E35985" w:rsidRPr="009E5B39" w:rsidRDefault="00E35985"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11000,00</w:t>
            </w:r>
          </w:p>
        </w:tc>
        <w:tc>
          <w:tcPr>
            <w:tcW w:w="1131" w:type="dxa"/>
          </w:tcPr>
          <w:p w14:paraId="4F005669" w14:textId="77777777" w:rsidR="00E35985" w:rsidRPr="009E5B39" w:rsidRDefault="00E35985"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10350,4</w:t>
            </w:r>
          </w:p>
        </w:tc>
        <w:tc>
          <w:tcPr>
            <w:tcW w:w="1683" w:type="dxa"/>
          </w:tcPr>
          <w:p w14:paraId="5AFFE9DC" w14:textId="77777777" w:rsidR="00E35985" w:rsidRPr="009E5B39" w:rsidRDefault="00E35985"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886,9</w:t>
            </w:r>
          </w:p>
        </w:tc>
        <w:tc>
          <w:tcPr>
            <w:tcW w:w="1468" w:type="dxa"/>
          </w:tcPr>
          <w:p w14:paraId="26BB9675" w14:textId="77777777" w:rsidR="00E35985" w:rsidRPr="009E5B39" w:rsidRDefault="00E35985"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9463,5</w:t>
            </w:r>
          </w:p>
        </w:tc>
      </w:tr>
      <w:tr w:rsidR="00EF4BC3" w:rsidRPr="009E5B39" w14:paraId="3DFAF6FD" w14:textId="77777777" w:rsidTr="00884AAD">
        <w:tc>
          <w:tcPr>
            <w:tcW w:w="469" w:type="dxa"/>
          </w:tcPr>
          <w:p w14:paraId="4688BABB" w14:textId="77777777" w:rsidR="00E35985" w:rsidRPr="009E5B39" w:rsidRDefault="00E35985" w:rsidP="00EF4BC3">
            <w:pPr>
              <w:tabs>
                <w:tab w:val="left" w:pos="3542"/>
              </w:tabs>
              <w:jc w:val="both"/>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w:t>
            </w:r>
          </w:p>
        </w:tc>
        <w:tc>
          <w:tcPr>
            <w:tcW w:w="858" w:type="dxa"/>
          </w:tcPr>
          <w:p w14:paraId="06706B2F" w14:textId="77777777" w:rsidR="00E35985" w:rsidRPr="009E5B39" w:rsidRDefault="00E35985" w:rsidP="00EF4BC3">
            <w:pPr>
              <w:tabs>
                <w:tab w:val="left" w:pos="3542"/>
              </w:tabs>
              <w:jc w:val="both"/>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2019</w:t>
            </w:r>
          </w:p>
        </w:tc>
        <w:tc>
          <w:tcPr>
            <w:tcW w:w="1645" w:type="dxa"/>
          </w:tcPr>
          <w:p w14:paraId="21CC95FC" w14:textId="77777777" w:rsidR="00E35985" w:rsidRPr="009E5B39" w:rsidRDefault="00E35985"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25000,00</w:t>
            </w:r>
          </w:p>
        </w:tc>
        <w:tc>
          <w:tcPr>
            <w:tcW w:w="2097" w:type="dxa"/>
          </w:tcPr>
          <w:p w14:paraId="40A2A8F5" w14:textId="77777777" w:rsidR="00E35985" w:rsidRPr="009E5B39" w:rsidRDefault="00E35985"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8000,00</w:t>
            </w:r>
          </w:p>
        </w:tc>
        <w:tc>
          <w:tcPr>
            <w:tcW w:w="1131" w:type="dxa"/>
          </w:tcPr>
          <w:p w14:paraId="3B3892A0" w14:textId="77777777" w:rsidR="00E35985" w:rsidRPr="009E5B39" w:rsidRDefault="00E35985"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7187,3</w:t>
            </w:r>
          </w:p>
        </w:tc>
        <w:tc>
          <w:tcPr>
            <w:tcW w:w="1683" w:type="dxa"/>
          </w:tcPr>
          <w:p w14:paraId="045DD2E1" w14:textId="77777777" w:rsidR="00E35985" w:rsidRPr="009E5B39" w:rsidRDefault="00E35985"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1708,9</w:t>
            </w:r>
          </w:p>
        </w:tc>
        <w:tc>
          <w:tcPr>
            <w:tcW w:w="1468" w:type="dxa"/>
          </w:tcPr>
          <w:p w14:paraId="1E6FB18B" w14:textId="77777777" w:rsidR="00E35985" w:rsidRPr="009E5B39" w:rsidRDefault="00E35985"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5478,4</w:t>
            </w:r>
          </w:p>
        </w:tc>
      </w:tr>
      <w:tr w:rsidR="00D44E5A" w:rsidRPr="009E5B39" w14:paraId="4B84F81F" w14:textId="77777777" w:rsidTr="00884AAD">
        <w:tc>
          <w:tcPr>
            <w:tcW w:w="469" w:type="dxa"/>
          </w:tcPr>
          <w:p w14:paraId="79AE011B" w14:textId="17F8CC71" w:rsidR="00D44E5A" w:rsidRPr="009E5B39" w:rsidRDefault="00D44E5A" w:rsidP="00EF4BC3">
            <w:pPr>
              <w:tabs>
                <w:tab w:val="left" w:pos="3542"/>
              </w:tabs>
              <w:jc w:val="both"/>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3</w:t>
            </w:r>
          </w:p>
        </w:tc>
        <w:tc>
          <w:tcPr>
            <w:tcW w:w="858" w:type="dxa"/>
          </w:tcPr>
          <w:p w14:paraId="236D66EA" w14:textId="57C0E9CD" w:rsidR="00D44E5A" w:rsidRPr="009E5B39" w:rsidRDefault="00D44E5A" w:rsidP="00EF4BC3">
            <w:pPr>
              <w:tabs>
                <w:tab w:val="left" w:pos="3542"/>
              </w:tabs>
              <w:jc w:val="both"/>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2020</w:t>
            </w:r>
          </w:p>
        </w:tc>
        <w:tc>
          <w:tcPr>
            <w:tcW w:w="1645" w:type="dxa"/>
          </w:tcPr>
          <w:p w14:paraId="3711ED75" w14:textId="76B62170" w:rsidR="00D44E5A" w:rsidRPr="009E5B39" w:rsidRDefault="00D44E5A"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25000,00</w:t>
            </w:r>
          </w:p>
        </w:tc>
        <w:tc>
          <w:tcPr>
            <w:tcW w:w="2097" w:type="dxa"/>
          </w:tcPr>
          <w:p w14:paraId="45CF8229" w14:textId="5F5211F4" w:rsidR="00D44E5A" w:rsidRPr="009E5B39" w:rsidRDefault="00D44E5A"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6740,00</w:t>
            </w:r>
          </w:p>
        </w:tc>
        <w:tc>
          <w:tcPr>
            <w:tcW w:w="1131" w:type="dxa"/>
          </w:tcPr>
          <w:p w14:paraId="44C144DF" w14:textId="7173E4AA" w:rsidR="00D44E5A" w:rsidRPr="009E5B39" w:rsidRDefault="00D44E5A"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0,00</w:t>
            </w:r>
          </w:p>
        </w:tc>
        <w:tc>
          <w:tcPr>
            <w:tcW w:w="1683" w:type="dxa"/>
          </w:tcPr>
          <w:p w14:paraId="457C0105" w14:textId="75585B09" w:rsidR="00D44E5A" w:rsidRPr="009E5B39" w:rsidRDefault="00D44E5A"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0,00</w:t>
            </w:r>
          </w:p>
        </w:tc>
        <w:tc>
          <w:tcPr>
            <w:tcW w:w="1468" w:type="dxa"/>
          </w:tcPr>
          <w:p w14:paraId="413FE6C5" w14:textId="1159F761" w:rsidR="00D44E5A" w:rsidRPr="009E5B39" w:rsidRDefault="00D44E5A" w:rsidP="006B4149">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sz w:val="20"/>
                <w:szCs w:val="20"/>
                <w:lang w:val="ro-MD"/>
              </w:rPr>
              <w:t>1828,8</w:t>
            </w:r>
            <w:r w:rsidR="006B4149" w:rsidRPr="009E5B39">
              <w:rPr>
                <w:rStyle w:val="FootnoteReference"/>
                <w:rFonts w:asciiTheme="majorHAnsi" w:eastAsia="Calibri" w:hAnsiTheme="majorHAnsi" w:cstheme="majorHAnsi"/>
                <w:sz w:val="20"/>
                <w:szCs w:val="20"/>
                <w:lang w:val="ro-MD"/>
              </w:rPr>
              <w:footnoteReference w:id="64"/>
            </w:r>
          </w:p>
        </w:tc>
      </w:tr>
      <w:tr w:rsidR="00D44E5A" w:rsidRPr="009E5B39" w14:paraId="1284BDA0" w14:textId="77777777" w:rsidTr="00884AAD">
        <w:tc>
          <w:tcPr>
            <w:tcW w:w="469" w:type="dxa"/>
          </w:tcPr>
          <w:p w14:paraId="6EB3544E" w14:textId="77777777" w:rsidR="00D44E5A" w:rsidRPr="009E5B39" w:rsidRDefault="00D44E5A" w:rsidP="00EF4BC3">
            <w:pPr>
              <w:tabs>
                <w:tab w:val="left" w:pos="3542"/>
              </w:tabs>
              <w:jc w:val="both"/>
              <w:rPr>
                <w:rFonts w:asciiTheme="majorHAnsi" w:eastAsia="Calibri" w:hAnsiTheme="majorHAnsi" w:cstheme="majorHAnsi"/>
                <w:sz w:val="20"/>
                <w:szCs w:val="20"/>
                <w:lang w:val="ro-MD"/>
              </w:rPr>
            </w:pPr>
          </w:p>
        </w:tc>
        <w:tc>
          <w:tcPr>
            <w:tcW w:w="858" w:type="dxa"/>
          </w:tcPr>
          <w:p w14:paraId="70B635F6" w14:textId="1BA32DC8" w:rsidR="00D44E5A" w:rsidRPr="009E5B39" w:rsidRDefault="00D44E5A" w:rsidP="00EF4BC3">
            <w:pPr>
              <w:tabs>
                <w:tab w:val="left" w:pos="3542"/>
              </w:tabs>
              <w:jc w:val="both"/>
              <w:rPr>
                <w:rFonts w:asciiTheme="majorHAnsi" w:eastAsia="Calibri" w:hAnsiTheme="majorHAnsi" w:cstheme="majorHAnsi"/>
                <w:sz w:val="20"/>
                <w:szCs w:val="20"/>
                <w:lang w:val="ro-MD"/>
              </w:rPr>
            </w:pPr>
            <w:r w:rsidRPr="009E5B39">
              <w:rPr>
                <w:rFonts w:asciiTheme="majorHAnsi" w:eastAsia="Calibri" w:hAnsiTheme="majorHAnsi" w:cstheme="majorHAnsi"/>
                <w:b/>
                <w:i/>
                <w:sz w:val="20"/>
                <w:szCs w:val="20"/>
                <w:lang w:val="ro-MD"/>
              </w:rPr>
              <w:t>TOTAL</w:t>
            </w:r>
          </w:p>
        </w:tc>
        <w:tc>
          <w:tcPr>
            <w:tcW w:w="1645" w:type="dxa"/>
          </w:tcPr>
          <w:p w14:paraId="19410180" w14:textId="594A0FA5" w:rsidR="00D44E5A" w:rsidRPr="009E5B39" w:rsidRDefault="00D44E5A"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b/>
                <w:i/>
                <w:sz w:val="20"/>
                <w:szCs w:val="20"/>
                <w:lang w:val="ro-MD"/>
              </w:rPr>
              <w:t>75000,00</w:t>
            </w:r>
          </w:p>
        </w:tc>
        <w:tc>
          <w:tcPr>
            <w:tcW w:w="2097" w:type="dxa"/>
          </w:tcPr>
          <w:p w14:paraId="6DE34AF6" w14:textId="23F19D5A" w:rsidR="00D44E5A" w:rsidRPr="009E5B39" w:rsidRDefault="00D44E5A"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b/>
                <w:i/>
                <w:sz w:val="20"/>
                <w:szCs w:val="20"/>
                <w:lang w:val="ro-MD"/>
              </w:rPr>
              <w:t>25740,00</w:t>
            </w:r>
          </w:p>
        </w:tc>
        <w:tc>
          <w:tcPr>
            <w:tcW w:w="1131" w:type="dxa"/>
          </w:tcPr>
          <w:p w14:paraId="43BFB9CD" w14:textId="3DE3F287" w:rsidR="00D44E5A" w:rsidRPr="009E5B39" w:rsidRDefault="00D44E5A"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b/>
                <w:i/>
                <w:sz w:val="20"/>
                <w:szCs w:val="20"/>
                <w:lang w:val="ro-MD"/>
              </w:rPr>
              <w:t>17537,7</w:t>
            </w:r>
          </w:p>
        </w:tc>
        <w:tc>
          <w:tcPr>
            <w:tcW w:w="1683" w:type="dxa"/>
          </w:tcPr>
          <w:p w14:paraId="2D47BFD2" w14:textId="40B92264" w:rsidR="00D44E5A" w:rsidRPr="009E5B39" w:rsidRDefault="00D44E5A"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b/>
                <w:i/>
                <w:sz w:val="20"/>
                <w:szCs w:val="20"/>
                <w:lang w:val="ro-MD"/>
              </w:rPr>
              <w:t>2595,8</w:t>
            </w:r>
          </w:p>
        </w:tc>
        <w:tc>
          <w:tcPr>
            <w:tcW w:w="1468" w:type="dxa"/>
          </w:tcPr>
          <w:p w14:paraId="3496A6AB" w14:textId="132B4E44" w:rsidR="00D44E5A" w:rsidRPr="009E5B39" w:rsidRDefault="00D44E5A" w:rsidP="00EF4BC3">
            <w:pPr>
              <w:tabs>
                <w:tab w:val="left" w:pos="3542"/>
              </w:tabs>
              <w:jc w:val="right"/>
              <w:rPr>
                <w:rFonts w:asciiTheme="majorHAnsi" w:eastAsia="Calibri" w:hAnsiTheme="majorHAnsi" w:cstheme="majorHAnsi"/>
                <w:sz w:val="20"/>
                <w:szCs w:val="20"/>
                <w:lang w:val="ro-MD"/>
              </w:rPr>
            </w:pPr>
            <w:r w:rsidRPr="009E5B39">
              <w:rPr>
                <w:rFonts w:asciiTheme="majorHAnsi" w:eastAsia="Calibri" w:hAnsiTheme="majorHAnsi" w:cstheme="majorHAnsi"/>
                <w:b/>
                <w:i/>
                <w:sz w:val="20"/>
                <w:szCs w:val="20"/>
                <w:lang w:val="ro-MD"/>
              </w:rPr>
              <w:t>16770,7</w:t>
            </w:r>
          </w:p>
        </w:tc>
      </w:tr>
    </w:tbl>
    <w:p w14:paraId="334ACF26" w14:textId="06E9FB40" w:rsidR="00E35985" w:rsidRPr="009E5B39" w:rsidRDefault="0032206B" w:rsidP="00EF4BC3">
      <w:pPr>
        <w:tabs>
          <w:tab w:val="left" w:pos="3542"/>
        </w:tabs>
        <w:spacing w:after="0"/>
        <w:jc w:val="both"/>
        <w:rPr>
          <w:rFonts w:asciiTheme="majorHAnsi" w:eastAsia="Calibri" w:hAnsiTheme="majorHAnsi" w:cstheme="majorHAnsi"/>
          <w:sz w:val="13"/>
          <w:szCs w:val="13"/>
          <w:lang w:val="ro-MD"/>
        </w:rPr>
      </w:pPr>
      <w:r w:rsidRPr="009E5B39">
        <w:rPr>
          <w:rFonts w:asciiTheme="majorHAnsi" w:eastAsia="Calibri" w:hAnsiTheme="majorHAnsi" w:cstheme="majorHAnsi"/>
          <w:sz w:val="13"/>
          <w:szCs w:val="13"/>
          <w:lang w:val="ro-MD"/>
        </w:rPr>
        <w:t>*</w:t>
      </w:r>
      <w:r w:rsidR="00E35985" w:rsidRPr="009E5B39">
        <w:rPr>
          <w:rFonts w:asciiTheme="majorHAnsi" w:eastAsia="Calibri" w:hAnsiTheme="majorHAnsi" w:cstheme="majorHAnsi"/>
          <w:sz w:val="13"/>
          <w:szCs w:val="13"/>
          <w:lang w:val="ro-MD"/>
        </w:rPr>
        <w:t>Date preluate din:</w:t>
      </w:r>
      <w:r w:rsidR="00E35985" w:rsidRPr="009E5B39">
        <w:rPr>
          <w:rFonts w:asciiTheme="majorHAnsi" w:hAnsiTheme="majorHAnsi" w:cstheme="majorHAnsi"/>
          <w:sz w:val="13"/>
          <w:szCs w:val="13"/>
          <w:lang w:val="ro-MD"/>
        </w:rPr>
        <w:t xml:space="preserve"> Anexa nr.22 la Decizia CMC nr.15/1 din 22.12.2017; Anexa nr.18 la Decizia CMC nr.9/4 din 19.12.2018 și Anexa nr.17 la Decizia CMC nr.6/4 din 26.12.2019;</w:t>
      </w:r>
    </w:p>
    <w:p w14:paraId="57F9BAAC" w14:textId="77777777" w:rsidR="00E35985" w:rsidRPr="009E5B39" w:rsidRDefault="00E35985" w:rsidP="00EF4BC3">
      <w:pPr>
        <w:tabs>
          <w:tab w:val="left" w:pos="3542"/>
        </w:tabs>
        <w:spacing w:after="0"/>
        <w:jc w:val="both"/>
        <w:rPr>
          <w:rFonts w:asciiTheme="majorHAnsi" w:hAnsiTheme="majorHAnsi" w:cstheme="majorHAnsi"/>
          <w:sz w:val="13"/>
          <w:szCs w:val="13"/>
          <w:lang w:val="ro-MD"/>
        </w:rPr>
      </w:pPr>
      <w:r w:rsidRPr="009E5B39">
        <w:rPr>
          <w:rFonts w:asciiTheme="majorHAnsi" w:hAnsiTheme="majorHAnsi" w:cstheme="majorHAnsi"/>
          <w:sz w:val="13"/>
          <w:szCs w:val="13"/>
          <w:lang w:val="ro-MD"/>
        </w:rPr>
        <w:t xml:space="preserve">**Informația privind executarea lucrărilor conform programului municipal la reparația și întreținerea infrastructurii rutiere pe anii 2018-2020, întocmită de către DGTCC. </w:t>
      </w:r>
    </w:p>
    <w:p w14:paraId="6FDAE10D" w14:textId="595871C8" w:rsidR="00E95840" w:rsidRPr="009E5B39" w:rsidRDefault="00E35985" w:rsidP="00E95840">
      <w:pPr>
        <w:pStyle w:val="ListParagraph"/>
        <w:numPr>
          <w:ilvl w:val="0"/>
          <w:numId w:val="4"/>
        </w:numPr>
        <w:tabs>
          <w:tab w:val="left" w:pos="567"/>
        </w:tabs>
        <w:spacing w:after="0" w:line="276" w:lineRule="auto"/>
        <w:ind w:left="0" w:firstLine="360"/>
        <w:jc w:val="both"/>
        <w:rPr>
          <w:rFonts w:asciiTheme="majorHAnsi" w:eastAsia="Calibri" w:hAnsiTheme="majorHAnsi" w:cstheme="majorHAnsi"/>
          <w:b/>
          <w:sz w:val="24"/>
          <w:szCs w:val="24"/>
          <w:lang w:val="ro-MD"/>
        </w:rPr>
      </w:pPr>
      <w:r w:rsidRPr="009E5B39">
        <w:rPr>
          <w:rFonts w:asciiTheme="majorHAnsi" w:eastAsia="Calibri" w:hAnsiTheme="majorHAnsi" w:cstheme="majorHAnsi"/>
          <w:sz w:val="24"/>
          <w:szCs w:val="24"/>
          <w:lang w:val="ro-MD"/>
        </w:rPr>
        <w:t xml:space="preserve">În lipsa unei decizii explicite a CMC, autoritatea executivă a mun. Chișinău a dispus, în perioada </w:t>
      </w:r>
      <w:r w:rsidR="0021004D" w:rsidRPr="009E5B39">
        <w:rPr>
          <w:rFonts w:asciiTheme="majorHAnsi" w:eastAsia="Calibri" w:hAnsiTheme="majorHAnsi" w:cstheme="majorHAnsi"/>
          <w:sz w:val="24"/>
          <w:szCs w:val="24"/>
          <w:lang w:val="ro-MD"/>
        </w:rPr>
        <w:t xml:space="preserve">anilor </w:t>
      </w:r>
      <w:r w:rsidRPr="009E5B39">
        <w:rPr>
          <w:rFonts w:asciiTheme="majorHAnsi" w:eastAsia="Calibri" w:hAnsiTheme="majorHAnsi" w:cstheme="majorHAnsi"/>
          <w:sz w:val="24"/>
          <w:szCs w:val="24"/>
          <w:lang w:val="ro-MD"/>
        </w:rPr>
        <w:t xml:space="preserve">2018–2020, repartizarea cu titlu gratuit </w:t>
      </w:r>
      <w:r w:rsidR="0021004D" w:rsidRPr="009E5B39">
        <w:rPr>
          <w:rFonts w:asciiTheme="majorHAnsi" w:eastAsia="Calibri" w:hAnsiTheme="majorHAnsi" w:cstheme="majorHAnsi"/>
          <w:sz w:val="24"/>
          <w:szCs w:val="24"/>
          <w:lang w:val="ro-MD"/>
        </w:rPr>
        <w:t xml:space="preserve">către </w:t>
      </w:r>
      <w:r w:rsidRPr="009E5B39">
        <w:rPr>
          <w:rFonts w:asciiTheme="majorHAnsi" w:eastAsia="Calibri" w:hAnsiTheme="majorHAnsi" w:cstheme="majorHAnsi"/>
          <w:sz w:val="24"/>
          <w:szCs w:val="24"/>
          <w:lang w:val="ro-MD"/>
        </w:rPr>
        <w:t xml:space="preserve">UAT de nivelul I din suburbii a materialului antiderapant în cantitate totală de </w:t>
      </w:r>
      <w:r w:rsidRPr="009E5B39">
        <w:rPr>
          <w:rFonts w:asciiTheme="majorHAnsi" w:eastAsia="Calibri" w:hAnsiTheme="majorHAnsi" w:cstheme="majorHAnsi"/>
          <w:b/>
          <w:sz w:val="24"/>
          <w:szCs w:val="24"/>
          <w:lang w:val="ro-MD"/>
        </w:rPr>
        <w:t>1671,45 tone</w:t>
      </w:r>
      <w:r w:rsidR="0021004D"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sz w:val="24"/>
          <w:szCs w:val="24"/>
          <w:lang w:val="ro-MD"/>
        </w:rPr>
        <w:t xml:space="preserve"> în valoare de </w:t>
      </w:r>
      <w:r w:rsidRPr="009E5B39">
        <w:rPr>
          <w:rFonts w:asciiTheme="majorHAnsi" w:eastAsia="Calibri" w:hAnsiTheme="majorHAnsi" w:cstheme="majorHAnsi"/>
          <w:b/>
          <w:sz w:val="24"/>
          <w:szCs w:val="24"/>
          <w:lang w:val="ro-MD"/>
        </w:rPr>
        <w:t>1</w:t>
      </w:r>
      <w:r w:rsidR="003E2996"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1</w:t>
      </w:r>
      <w:r w:rsidR="003E2996" w:rsidRPr="009E5B39">
        <w:rPr>
          <w:rFonts w:asciiTheme="majorHAnsi" w:eastAsia="Calibri" w:hAnsiTheme="majorHAnsi" w:cstheme="majorHAnsi"/>
          <w:b/>
          <w:sz w:val="24"/>
          <w:szCs w:val="24"/>
          <w:lang w:val="ro-MD"/>
        </w:rPr>
        <w:t>5</w:t>
      </w:r>
      <w:r w:rsidRPr="009E5B39">
        <w:rPr>
          <w:rFonts w:asciiTheme="majorHAnsi" w:eastAsia="Calibri" w:hAnsiTheme="majorHAnsi" w:cstheme="majorHAnsi"/>
          <w:b/>
          <w:sz w:val="24"/>
          <w:szCs w:val="24"/>
          <w:lang w:val="ro-MD"/>
        </w:rPr>
        <w:t xml:space="preserve"> mi</w:t>
      </w:r>
      <w:r w:rsidR="003E2996" w:rsidRPr="009E5B39">
        <w:rPr>
          <w:rFonts w:asciiTheme="majorHAnsi" w:eastAsia="Calibri" w:hAnsiTheme="majorHAnsi" w:cstheme="majorHAnsi"/>
          <w:b/>
          <w:sz w:val="24"/>
          <w:szCs w:val="24"/>
          <w:lang w:val="ro-MD"/>
        </w:rPr>
        <w:t>l</w:t>
      </w:r>
      <w:r w:rsidR="0021004D"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 xml:space="preserve"> lei</w:t>
      </w:r>
      <w:r w:rsidR="0021004D" w:rsidRPr="009E5B39">
        <w:rPr>
          <w:rFonts w:asciiTheme="majorHAnsi" w:eastAsia="Calibri" w:hAnsiTheme="majorHAnsi" w:cstheme="majorHAnsi"/>
          <w:sz w:val="24"/>
          <w:szCs w:val="24"/>
          <w:lang w:val="ro-MD"/>
        </w:rPr>
        <w:t>,</w:t>
      </w:r>
      <w:r w:rsidR="00C949FB"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 xml:space="preserve">și a asfaltului frezat – </w:t>
      </w:r>
      <w:r w:rsidRPr="009E5B39">
        <w:rPr>
          <w:rFonts w:asciiTheme="majorHAnsi" w:eastAsia="Calibri" w:hAnsiTheme="majorHAnsi" w:cstheme="majorHAnsi"/>
          <w:b/>
          <w:sz w:val="24"/>
          <w:szCs w:val="24"/>
          <w:lang w:val="ro-MD"/>
        </w:rPr>
        <w:t>20.752,16 tone</w:t>
      </w:r>
      <w:r w:rsidRPr="009E5B39">
        <w:rPr>
          <w:rFonts w:asciiTheme="majorHAnsi" w:eastAsia="Calibri" w:hAnsiTheme="majorHAnsi" w:cstheme="majorHAnsi"/>
          <w:sz w:val="24"/>
          <w:szCs w:val="24"/>
          <w:lang w:val="ro-MD"/>
        </w:rPr>
        <w:t xml:space="preserve">, în valoare de circa </w:t>
      </w:r>
      <w:r w:rsidRPr="009E5B39">
        <w:rPr>
          <w:rFonts w:asciiTheme="majorHAnsi" w:eastAsia="Calibri" w:hAnsiTheme="majorHAnsi" w:cstheme="majorHAnsi"/>
          <w:b/>
          <w:sz w:val="24"/>
          <w:szCs w:val="24"/>
          <w:lang w:val="ro-MD"/>
        </w:rPr>
        <w:t>3</w:t>
      </w:r>
      <w:r w:rsidR="003E2996"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73 mi</w:t>
      </w:r>
      <w:r w:rsidR="003E2996" w:rsidRPr="009E5B39">
        <w:rPr>
          <w:rFonts w:asciiTheme="majorHAnsi" w:eastAsia="Calibri" w:hAnsiTheme="majorHAnsi" w:cstheme="majorHAnsi"/>
          <w:b/>
          <w:sz w:val="24"/>
          <w:szCs w:val="24"/>
          <w:lang w:val="ro-MD"/>
        </w:rPr>
        <w:t>l</w:t>
      </w:r>
      <w:r w:rsidRPr="009E5B39">
        <w:rPr>
          <w:rFonts w:asciiTheme="majorHAnsi" w:eastAsia="Calibri" w:hAnsiTheme="majorHAnsi" w:cstheme="majorHAnsi"/>
          <w:b/>
          <w:sz w:val="24"/>
          <w:szCs w:val="24"/>
          <w:lang w:val="ro-MD"/>
        </w:rPr>
        <w:t xml:space="preserve"> lei</w:t>
      </w:r>
      <w:r w:rsidRPr="009E5B39">
        <w:rPr>
          <w:b/>
          <w:vertAlign w:val="superscript"/>
          <w:lang w:val="ro-MD"/>
        </w:rPr>
        <w:footnoteReference w:id="65"/>
      </w:r>
      <w:r w:rsidRPr="009E5B39">
        <w:rPr>
          <w:rFonts w:asciiTheme="majorHAnsi" w:eastAsia="Calibri" w:hAnsiTheme="majorHAnsi" w:cstheme="majorHAnsi"/>
          <w:b/>
          <w:sz w:val="24"/>
          <w:szCs w:val="24"/>
          <w:lang w:val="ro-MD"/>
        </w:rPr>
        <w:t>.</w:t>
      </w:r>
    </w:p>
    <w:p w14:paraId="5A314213" w14:textId="7BFFB4F8" w:rsidR="00E35985" w:rsidRPr="009E5B39" w:rsidRDefault="00E35985" w:rsidP="00E95840">
      <w:pPr>
        <w:pStyle w:val="ListParagraph"/>
        <w:numPr>
          <w:ilvl w:val="0"/>
          <w:numId w:val="4"/>
        </w:numPr>
        <w:tabs>
          <w:tab w:val="left" w:pos="567"/>
        </w:tabs>
        <w:spacing w:after="0" w:line="276" w:lineRule="auto"/>
        <w:ind w:left="0" w:firstLine="360"/>
        <w:jc w:val="both"/>
        <w:rPr>
          <w:rFonts w:asciiTheme="majorHAnsi" w:eastAsia="Calibri" w:hAnsiTheme="majorHAnsi" w:cstheme="majorHAnsi"/>
          <w:b/>
          <w:sz w:val="24"/>
          <w:szCs w:val="24"/>
          <w:lang w:val="ro-MD"/>
        </w:rPr>
      </w:pPr>
      <w:r w:rsidRPr="009E5B39">
        <w:rPr>
          <w:rFonts w:asciiTheme="majorHAnsi" w:eastAsia="Calibri" w:hAnsiTheme="majorHAnsi" w:cstheme="majorHAnsi"/>
          <w:sz w:val="24"/>
          <w:szCs w:val="24"/>
          <w:lang w:val="ro-MD"/>
        </w:rPr>
        <w:t>CMC</w:t>
      </w:r>
      <w:r w:rsidR="0021004D"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nerespectând prevederile pct.2 din HG nr.1404 din 30.12.2005</w:t>
      </w:r>
      <w:r w:rsidRPr="009E5B39">
        <w:rPr>
          <w:vertAlign w:val="superscript"/>
          <w:lang w:val="ro-MD"/>
        </w:rPr>
        <w:footnoteReference w:id="66"/>
      </w:r>
      <w:r w:rsidRPr="009E5B39">
        <w:rPr>
          <w:rFonts w:asciiTheme="majorHAnsi" w:eastAsia="Calibri" w:hAnsiTheme="majorHAnsi" w:cstheme="majorHAnsi"/>
          <w:sz w:val="24"/>
          <w:szCs w:val="24"/>
          <w:lang w:val="ro-MD"/>
        </w:rPr>
        <w:t>, nu a aprobat</w:t>
      </w:r>
      <w:r w:rsidR="0021004D"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prin decizia sa</w:t>
      </w:r>
      <w:r w:rsidR="0021004D"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Regulamentul privind aprobarea numărului-limită al autoturismelor de serviciu și a parcursului-limită anual pentru un autoturism de serviciu ale instituțiilor din subordine.  Conducătorii instituțiilor din subordinea CMC, deși au aprobat</w:t>
      </w:r>
      <w:r w:rsidR="0021004D"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prin ordinele </w:t>
      </w:r>
      <w:r w:rsidR="0021004D" w:rsidRPr="009E5B39">
        <w:rPr>
          <w:rFonts w:asciiTheme="majorHAnsi" w:eastAsia="Calibri" w:hAnsiTheme="majorHAnsi" w:cstheme="majorHAnsi"/>
          <w:sz w:val="24"/>
          <w:szCs w:val="24"/>
          <w:lang w:val="ro-MD"/>
        </w:rPr>
        <w:t>lor,</w:t>
      </w:r>
      <w:r w:rsidRPr="009E5B39">
        <w:rPr>
          <w:rFonts w:asciiTheme="majorHAnsi" w:eastAsia="Calibri" w:hAnsiTheme="majorHAnsi" w:cstheme="majorHAnsi"/>
          <w:sz w:val="24"/>
          <w:szCs w:val="24"/>
          <w:lang w:val="ro-MD"/>
        </w:rPr>
        <w:t xml:space="preserve"> normele de consum</w:t>
      </w:r>
      <w:r w:rsidR="00C949FB" w:rsidRPr="009E5B39">
        <w:rPr>
          <w:rFonts w:asciiTheme="majorHAnsi" w:eastAsia="Calibri" w:hAnsiTheme="majorHAnsi" w:cstheme="majorHAnsi"/>
          <w:sz w:val="24"/>
          <w:szCs w:val="24"/>
          <w:lang w:val="ro-MD"/>
        </w:rPr>
        <w:t xml:space="preserve"> al combustibilului</w:t>
      </w:r>
      <w:r w:rsidRPr="009E5B39">
        <w:rPr>
          <w:rFonts w:asciiTheme="majorHAnsi" w:eastAsia="Calibri" w:hAnsiTheme="majorHAnsi" w:cstheme="majorHAnsi"/>
          <w:sz w:val="24"/>
          <w:szCs w:val="24"/>
          <w:lang w:val="ro-MD"/>
        </w:rPr>
        <w:t xml:space="preserve">, nu au asigurat controlul </w:t>
      </w:r>
      <w:r w:rsidR="0021004D" w:rsidRPr="009E5B39">
        <w:rPr>
          <w:rFonts w:asciiTheme="majorHAnsi" w:eastAsia="Calibri" w:hAnsiTheme="majorHAnsi" w:cstheme="majorHAnsi"/>
          <w:sz w:val="24"/>
          <w:szCs w:val="24"/>
          <w:lang w:val="ro-MD"/>
        </w:rPr>
        <w:t xml:space="preserve">asupra </w:t>
      </w:r>
      <w:r w:rsidRPr="009E5B39">
        <w:rPr>
          <w:rFonts w:asciiTheme="majorHAnsi" w:eastAsia="Calibri" w:hAnsiTheme="majorHAnsi" w:cstheme="majorHAnsi"/>
          <w:sz w:val="24"/>
          <w:szCs w:val="24"/>
          <w:lang w:val="ro-MD"/>
        </w:rPr>
        <w:t>corectitudinii casării acestuia. Serviciul contabil al instituțiilor auditate</w:t>
      </w:r>
      <w:r w:rsidRPr="009E5B39">
        <w:rPr>
          <w:vertAlign w:val="superscript"/>
          <w:lang w:val="ro-MD"/>
        </w:rPr>
        <w:footnoteReference w:id="67"/>
      </w:r>
      <w:r w:rsidRPr="009E5B39">
        <w:rPr>
          <w:rFonts w:asciiTheme="majorHAnsi" w:eastAsia="Calibri" w:hAnsiTheme="majorHAnsi" w:cstheme="majorHAnsi"/>
          <w:sz w:val="24"/>
          <w:szCs w:val="24"/>
          <w:lang w:val="ro-MD"/>
        </w:rPr>
        <w:t xml:space="preserve"> a acceptat și </w:t>
      </w:r>
      <w:r w:rsidR="0021004D" w:rsidRPr="009E5B39">
        <w:rPr>
          <w:rFonts w:asciiTheme="majorHAnsi" w:eastAsia="Calibri" w:hAnsiTheme="majorHAnsi" w:cstheme="majorHAnsi"/>
          <w:sz w:val="24"/>
          <w:szCs w:val="24"/>
          <w:lang w:val="ro-MD"/>
        </w:rPr>
        <w:t xml:space="preserve">a </w:t>
      </w:r>
      <w:r w:rsidRPr="009E5B39">
        <w:rPr>
          <w:rFonts w:asciiTheme="majorHAnsi" w:eastAsia="Calibri" w:hAnsiTheme="majorHAnsi" w:cstheme="majorHAnsi"/>
          <w:sz w:val="24"/>
          <w:szCs w:val="24"/>
          <w:lang w:val="ro-MD"/>
        </w:rPr>
        <w:t xml:space="preserve">casat combustibil în baza datelor incomplete </w:t>
      </w:r>
      <w:r w:rsidR="0021004D" w:rsidRPr="009E5B39">
        <w:rPr>
          <w:rFonts w:asciiTheme="majorHAnsi" w:eastAsia="Calibri" w:hAnsiTheme="majorHAnsi" w:cstheme="majorHAnsi"/>
          <w:sz w:val="24"/>
          <w:szCs w:val="24"/>
          <w:lang w:val="ro-MD"/>
        </w:rPr>
        <w:t>din</w:t>
      </w:r>
      <w:r w:rsidRPr="009E5B39">
        <w:rPr>
          <w:rFonts w:asciiTheme="majorHAnsi" w:eastAsia="Calibri" w:hAnsiTheme="majorHAnsi" w:cstheme="majorHAnsi"/>
          <w:sz w:val="24"/>
          <w:szCs w:val="24"/>
          <w:lang w:val="ro-MD"/>
        </w:rPr>
        <w:t xml:space="preserve"> foil</w:t>
      </w:r>
      <w:r w:rsidR="0021004D" w:rsidRPr="009E5B39">
        <w:rPr>
          <w:rFonts w:asciiTheme="majorHAnsi" w:eastAsia="Calibri" w:hAnsiTheme="majorHAnsi" w:cstheme="majorHAnsi"/>
          <w:sz w:val="24"/>
          <w:szCs w:val="24"/>
          <w:lang w:val="ro-MD"/>
        </w:rPr>
        <w:t>e</w:t>
      </w:r>
      <w:r w:rsidRPr="009E5B39">
        <w:rPr>
          <w:rFonts w:asciiTheme="majorHAnsi" w:eastAsia="Calibri" w:hAnsiTheme="majorHAnsi" w:cstheme="majorHAnsi"/>
          <w:sz w:val="24"/>
          <w:szCs w:val="24"/>
          <w:lang w:val="ro-MD"/>
        </w:rPr>
        <w:t xml:space="preserve"> de parcurs</w:t>
      </w:r>
      <w:r w:rsidRPr="009E5B39">
        <w:rPr>
          <w:iCs/>
          <w:vertAlign w:val="superscript"/>
          <w:lang w:val="ro-MD"/>
        </w:rPr>
        <w:footnoteReference w:id="68"/>
      </w:r>
      <w:r w:rsidRPr="009E5B39">
        <w:rPr>
          <w:rFonts w:asciiTheme="majorHAnsi" w:eastAsia="Calibri" w:hAnsiTheme="majorHAnsi" w:cstheme="majorHAnsi"/>
          <w:sz w:val="24"/>
          <w:szCs w:val="24"/>
          <w:lang w:val="ro-MD"/>
        </w:rPr>
        <w:t xml:space="preserve">, ceea ce generează </w:t>
      </w:r>
      <w:r w:rsidRPr="009E5B39">
        <w:rPr>
          <w:rFonts w:asciiTheme="majorHAnsi" w:hAnsiTheme="majorHAnsi" w:cstheme="majorHAnsi"/>
          <w:iCs/>
          <w:sz w:val="24"/>
          <w:szCs w:val="24"/>
          <w:lang w:val="ro-MD"/>
        </w:rPr>
        <w:t>riscu</w:t>
      </w:r>
      <w:r w:rsidR="0021004D" w:rsidRPr="009E5B39">
        <w:rPr>
          <w:rFonts w:asciiTheme="majorHAnsi" w:hAnsiTheme="majorHAnsi" w:cstheme="majorHAnsi"/>
          <w:iCs/>
          <w:sz w:val="24"/>
          <w:szCs w:val="24"/>
          <w:lang w:val="ro-MD"/>
        </w:rPr>
        <w:t>rile</w:t>
      </w:r>
      <w:r w:rsidRPr="009E5B39">
        <w:rPr>
          <w:rFonts w:asciiTheme="majorHAnsi" w:hAnsiTheme="majorHAnsi" w:cstheme="majorHAnsi"/>
          <w:iCs/>
          <w:sz w:val="24"/>
          <w:szCs w:val="24"/>
          <w:lang w:val="ro-MD"/>
        </w:rPr>
        <w:t xml:space="preserve"> </w:t>
      </w:r>
      <w:r w:rsidR="0021004D" w:rsidRPr="009E5B39">
        <w:rPr>
          <w:rFonts w:asciiTheme="majorHAnsi" w:hAnsiTheme="majorHAnsi" w:cstheme="majorHAnsi"/>
          <w:iCs/>
          <w:sz w:val="24"/>
          <w:szCs w:val="24"/>
          <w:lang w:val="ro-MD"/>
        </w:rPr>
        <w:t xml:space="preserve">de </w:t>
      </w:r>
      <w:r w:rsidRPr="009E5B39">
        <w:rPr>
          <w:rFonts w:asciiTheme="majorHAnsi" w:hAnsiTheme="majorHAnsi" w:cstheme="majorHAnsi"/>
          <w:iCs/>
          <w:sz w:val="24"/>
          <w:szCs w:val="24"/>
          <w:lang w:val="ro-MD"/>
        </w:rPr>
        <w:t>utiliz</w:t>
      </w:r>
      <w:r w:rsidR="0021004D" w:rsidRPr="009E5B39">
        <w:rPr>
          <w:rFonts w:asciiTheme="majorHAnsi" w:hAnsiTheme="majorHAnsi" w:cstheme="majorHAnsi"/>
          <w:iCs/>
          <w:sz w:val="24"/>
          <w:szCs w:val="24"/>
          <w:lang w:val="ro-MD"/>
        </w:rPr>
        <w:t>are</w:t>
      </w:r>
      <w:r w:rsidRPr="009E5B39">
        <w:rPr>
          <w:rFonts w:asciiTheme="majorHAnsi" w:hAnsiTheme="majorHAnsi" w:cstheme="majorHAnsi"/>
          <w:iCs/>
          <w:sz w:val="24"/>
          <w:szCs w:val="24"/>
          <w:lang w:val="ro-MD"/>
        </w:rPr>
        <w:t xml:space="preserve"> în scopuri neclare a automobilel</w:t>
      </w:r>
      <w:r w:rsidR="0021004D" w:rsidRPr="009E5B39">
        <w:rPr>
          <w:rFonts w:asciiTheme="majorHAnsi" w:hAnsiTheme="majorHAnsi" w:cstheme="majorHAnsi"/>
          <w:iCs/>
          <w:sz w:val="24"/>
          <w:szCs w:val="24"/>
          <w:lang w:val="ro-MD"/>
        </w:rPr>
        <w:t>or</w:t>
      </w:r>
      <w:r w:rsidRPr="009E5B39">
        <w:rPr>
          <w:rFonts w:asciiTheme="majorHAnsi" w:hAnsiTheme="majorHAnsi" w:cstheme="majorHAnsi"/>
          <w:iCs/>
          <w:sz w:val="24"/>
          <w:szCs w:val="24"/>
          <w:lang w:val="ro-MD"/>
        </w:rPr>
        <w:t xml:space="preserve"> de serviciu și</w:t>
      </w:r>
      <w:r w:rsidR="0021004D" w:rsidRPr="009E5B39">
        <w:rPr>
          <w:rFonts w:asciiTheme="majorHAnsi" w:hAnsiTheme="majorHAnsi" w:cstheme="majorHAnsi"/>
          <w:iCs/>
          <w:sz w:val="24"/>
          <w:szCs w:val="24"/>
          <w:lang w:val="ro-MD"/>
        </w:rPr>
        <w:t>,</w:t>
      </w:r>
      <w:r w:rsidRPr="009E5B39">
        <w:rPr>
          <w:rFonts w:asciiTheme="majorHAnsi" w:hAnsiTheme="majorHAnsi" w:cstheme="majorHAnsi"/>
          <w:iCs/>
          <w:sz w:val="24"/>
          <w:szCs w:val="24"/>
          <w:lang w:val="ro-MD"/>
        </w:rPr>
        <w:t xml:space="preserve"> respectiv</w:t>
      </w:r>
      <w:r w:rsidR="0021004D" w:rsidRPr="009E5B39">
        <w:rPr>
          <w:rFonts w:asciiTheme="majorHAnsi" w:hAnsiTheme="majorHAnsi" w:cstheme="majorHAnsi"/>
          <w:iCs/>
          <w:sz w:val="24"/>
          <w:szCs w:val="24"/>
          <w:lang w:val="ro-MD"/>
        </w:rPr>
        <w:t>,</w:t>
      </w:r>
      <w:r w:rsidRPr="009E5B39">
        <w:rPr>
          <w:rFonts w:asciiTheme="majorHAnsi" w:hAnsiTheme="majorHAnsi" w:cstheme="majorHAnsi"/>
          <w:iCs/>
          <w:sz w:val="24"/>
          <w:szCs w:val="24"/>
          <w:lang w:val="ro-MD"/>
        </w:rPr>
        <w:t xml:space="preserve"> </w:t>
      </w:r>
      <w:r w:rsidR="0021004D" w:rsidRPr="009E5B39">
        <w:rPr>
          <w:rFonts w:asciiTheme="majorHAnsi" w:hAnsiTheme="majorHAnsi" w:cstheme="majorHAnsi"/>
          <w:iCs/>
          <w:sz w:val="24"/>
          <w:szCs w:val="24"/>
          <w:lang w:val="ro-MD"/>
        </w:rPr>
        <w:t xml:space="preserve">de </w:t>
      </w:r>
      <w:r w:rsidRPr="009E5B39">
        <w:rPr>
          <w:rFonts w:asciiTheme="majorHAnsi" w:hAnsiTheme="majorHAnsi" w:cstheme="majorHAnsi"/>
          <w:iCs/>
          <w:sz w:val="24"/>
          <w:szCs w:val="24"/>
          <w:lang w:val="ro-MD"/>
        </w:rPr>
        <w:t>cas</w:t>
      </w:r>
      <w:r w:rsidR="0021004D" w:rsidRPr="009E5B39">
        <w:rPr>
          <w:rFonts w:asciiTheme="majorHAnsi" w:hAnsiTheme="majorHAnsi" w:cstheme="majorHAnsi"/>
          <w:iCs/>
          <w:sz w:val="24"/>
          <w:szCs w:val="24"/>
          <w:lang w:val="ro-MD"/>
        </w:rPr>
        <w:t>are</w:t>
      </w:r>
      <w:r w:rsidRPr="009E5B39">
        <w:rPr>
          <w:rFonts w:asciiTheme="majorHAnsi" w:hAnsiTheme="majorHAnsi" w:cstheme="majorHAnsi"/>
          <w:iCs/>
          <w:sz w:val="24"/>
          <w:szCs w:val="24"/>
          <w:lang w:val="ro-MD"/>
        </w:rPr>
        <w:t xml:space="preserve"> neîntemeiată a combustibilului, </w:t>
      </w:r>
      <w:r w:rsidR="0021004D" w:rsidRPr="009E5B39">
        <w:rPr>
          <w:rFonts w:asciiTheme="majorHAnsi" w:hAnsiTheme="majorHAnsi" w:cstheme="majorHAnsi"/>
          <w:iCs/>
          <w:sz w:val="24"/>
          <w:szCs w:val="24"/>
          <w:lang w:val="ro-MD"/>
        </w:rPr>
        <w:t>fapt ce</w:t>
      </w:r>
      <w:r w:rsidRPr="009E5B39">
        <w:rPr>
          <w:rFonts w:asciiTheme="majorHAnsi" w:hAnsiTheme="majorHAnsi" w:cstheme="majorHAnsi"/>
          <w:iCs/>
          <w:sz w:val="24"/>
          <w:szCs w:val="24"/>
          <w:lang w:val="ro-MD"/>
        </w:rPr>
        <w:t xml:space="preserve"> duce la suportarea unor cheltuieli ineficiente și neuniforme.</w:t>
      </w:r>
    </w:p>
    <w:p w14:paraId="2EC0BFED" w14:textId="3D635EB1" w:rsidR="00E35985" w:rsidRPr="009E5B39" w:rsidRDefault="0021004D" w:rsidP="00A75B28">
      <w:pPr>
        <w:pStyle w:val="ListParagraph"/>
        <w:numPr>
          <w:ilvl w:val="2"/>
          <w:numId w:val="97"/>
        </w:numPr>
        <w:tabs>
          <w:tab w:val="left" w:pos="0"/>
        </w:tabs>
        <w:spacing w:after="0" w:line="276" w:lineRule="auto"/>
        <w:ind w:left="0" w:firstLine="0"/>
        <w:jc w:val="both"/>
        <w:rPr>
          <w:rFonts w:asciiTheme="majorHAnsi" w:hAnsiTheme="majorHAnsi" w:cstheme="majorHAnsi"/>
          <w:sz w:val="24"/>
          <w:szCs w:val="24"/>
          <w:lang w:val="ro-MD"/>
        </w:rPr>
      </w:pPr>
      <w:r w:rsidRPr="009E5B39">
        <w:rPr>
          <w:rFonts w:asciiTheme="majorHAnsi" w:eastAsia="Calibri" w:hAnsiTheme="majorHAnsi" w:cstheme="majorHAnsi"/>
          <w:b/>
          <w:sz w:val="24"/>
          <w:szCs w:val="24"/>
          <w:lang w:val="ro-MD"/>
        </w:rPr>
        <w:t>N</w:t>
      </w:r>
      <w:r w:rsidR="00E35985" w:rsidRPr="009E5B39">
        <w:rPr>
          <w:rFonts w:asciiTheme="majorHAnsi" w:eastAsia="Calibri" w:hAnsiTheme="majorHAnsi" w:cstheme="majorHAnsi"/>
          <w:b/>
          <w:sz w:val="24"/>
          <w:szCs w:val="24"/>
          <w:lang w:val="ro-MD"/>
        </w:rPr>
        <w:t>erespect</w:t>
      </w:r>
      <w:r w:rsidRPr="009E5B39">
        <w:rPr>
          <w:rFonts w:asciiTheme="majorHAnsi" w:eastAsia="Calibri" w:hAnsiTheme="majorHAnsi" w:cstheme="majorHAnsi"/>
          <w:b/>
          <w:sz w:val="24"/>
          <w:szCs w:val="24"/>
          <w:lang w:val="ro-MD"/>
        </w:rPr>
        <w:t>ând</w:t>
      </w:r>
      <w:r w:rsidR="00E35985" w:rsidRPr="009E5B39">
        <w:rPr>
          <w:rFonts w:asciiTheme="majorHAnsi" w:eastAsia="Calibri" w:hAnsiTheme="majorHAnsi" w:cstheme="majorHAnsi"/>
          <w:b/>
          <w:sz w:val="24"/>
          <w:szCs w:val="24"/>
          <w:lang w:val="ro-MD"/>
        </w:rPr>
        <w:t xml:space="preserve"> prevederil</w:t>
      </w:r>
      <w:r w:rsidRPr="009E5B39">
        <w:rPr>
          <w:rFonts w:asciiTheme="majorHAnsi" w:eastAsia="Calibri" w:hAnsiTheme="majorHAnsi" w:cstheme="majorHAnsi"/>
          <w:b/>
          <w:sz w:val="24"/>
          <w:szCs w:val="24"/>
          <w:lang w:val="ro-MD"/>
        </w:rPr>
        <w:t>e</w:t>
      </w:r>
      <w:r w:rsidR="00E35985" w:rsidRPr="009E5B39">
        <w:rPr>
          <w:rFonts w:asciiTheme="majorHAnsi" w:eastAsia="Calibri" w:hAnsiTheme="majorHAnsi" w:cstheme="majorHAnsi"/>
          <w:b/>
          <w:sz w:val="24"/>
          <w:szCs w:val="24"/>
          <w:lang w:val="ro-MD"/>
        </w:rPr>
        <w:t xml:space="preserve"> art.26 alin.(1) lit. a) din Legea nr.397-XV din 16.10.2003, primarul general dispune redistribuirea alocațiilor aprobate de către CMC pentru reparația capitală pe obiective concrete (la grupa de conturi 31)</w:t>
      </w:r>
      <w:r w:rsidRPr="009E5B39">
        <w:rPr>
          <w:rFonts w:asciiTheme="majorHAnsi" w:eastAsia="Calibri" w:hAnsiTheme="majorHAnsi" w:cstheme="majorHAnsi"/>
          <w:b/>
          <w:sz w:val="24"/>
          <w:szCs w:val="24"/>
          <w:lang w:val="ro-MD"/>
        </w:rPr>
        <w:t>,</w:t>
      </w:r>
      <w:r w:rsidR="00E35985" w:rsidRPr="009E5B39">
        <w:rPr>
          <w:rFonts w:asciiTheme="majorHAnsi" w:eastAsia="Calibri" w:hAnsiTheme="majorHAnsi" w:cstheme="majorHAnsi"/>
          <w:b/>
          <w:sz w:val="24"/>
          <w:szCs w:val="24"/>
          <w:lang w:val="ro-MD"/>
        </w:rPr>
        <w:t xml:space="preserve"> pentru cheltuieli curente (la grupa de conturi 222) și de la instituție bugetară la ÎM DCC. </w:t>
      </w:r>
      <w:r w:rsidR="00E35985" w:rsidRPr="009E5B39">
        <w:rPr>
          <w:rFonts w:asciiTheme="majorHAnsi" w:hAnsiTheme="majorHAnsi" w:cstheme="majorHAnsi"/>
          <w:sz w:val="24"/>
          <w:szCs w:val="24"/>
          <w:lang w:val="ro-MD"/>
        </w:rPr>
        <w:t xml:space="preserve">Prin deciziile anuale de aprobare a bugetului, CMC autorizează </w:t>
      </w:r>
      <w:r w:rsidR="00E35985" w:rsidRPr="009E5B39">
        <w:rPr>
          <w:rFonts w:asciiTheme="majorHAnsi" w:hAnsiTheme="majorHAnsi" w:cstheme="majorHAnsi"/>
          <w:i/>
          <w:sz w:val="24"/>
          <w:szCs w:val="24"/>
          <w:lang w:val="ro-MD"/>
        </w:rPr>
        <w:t>primarul să redistribuie mijloacele financiare cu destinație specială aprobate în cadrul uneia și aceleiași grupe principale de cheltuieli</w:t>
      </w:r>
      <w:r w:rsidRPr="009E5B39">
        <w:rPr>
          <w:rFonts w:asciiTheme="majorHAnsi" w:hAnsiTheme="majorHAnsi" w:cstheme="majorHAnsi"/>
          <w:sz w:val="24"/>
          <w:szCs w:val="24"/>
          <w:lang w:val="ro-MD"/>
        </w:rPr>
        <w:t>. A</w:t>
      </w:r>
      <w:r w:rsidR="00E35985" w:rsidRPr="009E5B39">
        <w:rPr>
          <w:rFonts w:asciiTheme="majorHAnsi" w:hAnsiTheme="majorHAnsi" w:cstheme="majorHAnsi"/>
          <w:sz w:val="24"/>
          <w:szCs w:val="24"/>
          <w:lang w:val="ro-MD"/>
        </w:rPr>
        <w:t>ceast</w:t>
      </w:r>
      <w:r w:rsidRPr="009E5B39">
        <w:rPr>
          <w:rFonts w:asciiTheme="majorHAnsi" w:hAnsiTheme="majorHAnsi" w:cstheme="majorHAnsi"/>
          <w:sz w:val="24"/>
          <w:szCs w:val="24"/>
          <w:lang w:val="ro-MD"/>
        </w:rPr>
        <w:t>ă</w:t>
      </w:r>
      <w:r w:rsidR="00E35985" w:rsidRPr="009E5B39">
        <w:rPr>
          <w:rFonts w:asciiTheme="majorHAnsi" w:hAnsiTheme="majorHAnsi" w:cstheme="majorHAnsi"/>
          <w:sz w:val="24"/>
          <w:szCs w:val="24"/>
          <w:lang w:val="ro-MD"/>
        </w:rPr>
        <w:t xml:space="preserve"> prevedere este neconformă, pe motiv că cadrul normativ în vigoare nu conține noțiunea de </w:t>
      </w:r>
      <w:r w:rsidR="00E35985" w:rsidRPr="009E5B39">
        <w:rPr>
          <w:rFonts w:asciiTheme="majorHAnsi" w:hAnsiTheme="majorHAnsi" w:cstheme="majorHAnsi"/>
          <w:i/>
          <w:sz w:val="24"/>
          <w:szCs w:val="24"/>
          <w:lang w:val="ro-MD"/>
        </w:rPr>
        <w:t>„grupă principală de cheltuieli”.</w:t>
      </w:r>
      <w:r w:rsidR="00E35985" w:rsidRPr="009E5B39">
        <w:rPr>
          <w:rFonts w:asciiTheme="majorHAnsi" w:hAnsiTheme="majorHAnsi" w:cstheme="majorHAnsi"/>
          <w:sz w:val="24"/>
          <w:szCs w:val="24"/>
          <w:lang w:val="ro-MD"/>
        </w:rPr>
        <w:t xml:space="preserve"> Totodată</w:t>
      </w:r>
      <w:r w:rsidR="000629BE"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cadrul normativ prevede că</w:t>
      </w:r>
      <w:r w:rsidR="000629BE"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w:t>
      </w:r>
      <w:r w:rsidR="00E35985" w:rsidRPr="009E5B39">
        <w:rPr>
          <w:rFonts w:asciiTheme="majorHAnsi" w:hAnsiTheme="majorHAnsi" w:cstheme="majorHAnsi"/>
          <w:i/>
          <w:sz w:val="24"/>
          <w:szCs w:val="24"/>
          <w:lang w:val="ro-MD"/>
        </w:rPr>
        <w:t>pe parcursul anului bugetar, redistribuirea alocațiilor se permite cu acordul administratorului de buget între categoriile economice de cheltuieli, fără majorarea cheltuielilor de personal și fără modificarea cheltuielilor pentru reparații capitale,</w:t>
      </w:r>
      <w:r w:rsidR="000629BE" w:rsidRPr="009E5B39">
        <w:rPr>
          <w:rFonts w:asciiTheme="majorHAnsi" w:hAnsiTheme="majorHAnsi" w:cstheme="majorHAnsi"/>
          <w:i/>
          <w:sz w:val="24"/>
          <w:szCs w:val="24"/>
          <w:lang w:val="ro-MD"/>
        </w:rPr>
        <w:t xml:space="preserve"> precum</w:t>
      </w:r>
      <w:r w:rsidR="00E35985" w:rsidRPr="009E5B39">
        <w:rPr>
          <w:rFonts w:asciiTheme="majorHAnsi" w:hAnsiTheme="majorHAnsi" w:cstheme="majorHAnsi"/>
          <w:i/>
          <w:sz w:val="24"/>
          <w:szCs w:val="24"/>
          <w:lang w:val="ro-MD"/>
        </w:rPr>
        <w:t xml:space="preserve"> și a transferurilor interbugetare. </w:t>
      </w:r>
      <w:r w:rsidR="00E35985" w:rsidRPr="009E5B39">
        <w:rPr>
          <w:rFonts w:asciiTheme="majorHAnsi" w:hAnsiTheme="majorHAnsi" w:cstheme="majorHAnsi"/>
          <w:sz w:val="24"/>
          <w:szCs w:val="24"/>
          <w:lang w:val="ro-MD"/>
        </w:rPr>
        <w:t>Însă</w:t>
      </w:r>
      <w:r w:rsidR="00E35985" w:rsidRPr="009E5B39">
        <w:rPr>
          <w:rFonts w:asciiTheme="majorHAnsi" w:hAnsiTheme="majorHAnsi" w:cstheme="majorHAnsi"/>
          <w:i/>
          <w:sz w:val="24"/>
          <w:szCs w:val="24"/>
          <w:lang w:val="ro-MD"/>
        </w:rPr>
        <w:t xml:space="preserve">, </w:t>
      </w:r>
      <w:r w:rsidR="00E35985" w:rsidRPr="009E5B39">
        <w:rPr>
          <w:rFonts w:asciiTheme="majorHAnsi" w:hAnsiTheme="majorHAnsi" w:cstheme="majorHAnsi"/>
          <w:sz w:val="24"/>
          <w:szCs w:val="24"/>
          <w:lang w:val="ro-MD"/>
        </w:rPr>
        <w:t>Primarul general</w:t>
      </w:r>
      <w:r w:rsidR="000629BE"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în baza dispozițiilor sale</w:t>
      </w:r>
      <w:r w:rsidR="000629BE"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dispune diminuarea alocațiilor bugetare, aprobate prin deciziile CMC</w:t>
      </w:r>
      <w:r w:rsidR="000629BE"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pentru reparațiile capitale ale unor străzi concrete (la grupa de conturi 31) și redistribuirea acestora pentru cheltuieli curente (la grupa de conturi 222). Cele relatate creează unele riscuri, cum ar fi: </w:t>
      </w:r>
      <w:r w:rsidR="00E35985" w:rsidRPr="009E5B39">
        <w:rPr>
          <w:rFonts w:asciiTheme="majorHAnsi" w:hAnsiTheme="majorHAnsi" w:cstheme="majorHAnsi"/>
          <w:b/>
          <w:i/>
          <w:sz w:val="24"/>
          <w:szCs w:val="24"/>
          <w:lang w:val="ro-MD"/>
        </w:rPr>
        <w:t>i)</w:t>
      </w:r>
      <w:r w:rsidR="00E35985" w:rsidRPr="009E5B39">
        <w:rPr>
          <w:rFonts w:asciiTheme="majorHAnsi" w:hAnsiTheme="majorHAnsi" w:cstheme="majorHAnsi"/>
          <w:sz w:val="24"/>
          <w:szCs w:val="24"/>
          <w:lang w:val="ro-MD"/>
        </w:rPr>
        <w:t xml:space="preserve"> majorarea valorii estimate a cheltuielilor de reparație capitală a obiectelor</w:t>
      </w:r>
      <w:r w:rsidR="000629BE"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care sunt aprobate prin decizia CMC; </w:t>
      </w:r>
      <w:r w:rsidR="00E35985" w:rsidRPr="009E5B39">
        <w:rPr>
          <w:rFonts w:asciiTheme="majorHAnsi" w:hAnsiTheme="majorHAnsi" w:cstheme="majorHAnsi"/>
          <w:b/>
          <w:i/>
          <w:sz w:val="24"/>
          <w:szCs w:val="24"/>
          <w:lang w:val="ro-MD"/>
        </w:rPr>
        <w:t>ii)</w:t>
      </w:r>
      <w:r w:rsidR="00E35985" w:rsidRPr="009E5B39">
        <w:rPr>
          <w:rFonts w:asciiTheme="majorHAnsi" w:hAnsiTheme="majorHAnsi" w:cstheme="majorHAnsi"/>
          <w:sz w:val="24"/>
          <w:szCs w:val="24"/>
          <w:lang w:val="ro-MD"/>
        </w:rPr>
        <w:t xml:space="preserve"> redistribuirea ulterioară a alocațiilor aprobate inițial</w:t>
      </w:r>
      <w:r w:rsidR="000629BE"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prin diminuarea acestora, poate condiționa tergiversarea timpului pentru executarea lucrărilor de reparație capitală, stipulat în contractul de antrepriză, iar diminuarea valorii lucrărilor contractate inițial poate influența asupra calității lucrărilor executate și </w:t>
      </w:r>
      <w:r w:rsidR="000629BE" w:rsidRPr="009E5B39">
        <w:rPr>
          <w:rFonts w:asciiTheme="majorHAnsi" w:hAnsiTheme="majorHAnsi" w:cstheme="majorHAnsi"/>
          <w:sz w:val="24"/>
          <w:szCs w:val="24"/>
          <w:lang w:val="ro-MD"/>
        </w:rPr>
        <w:t xml:space="preserve">poate cauza </w:t>
      </w:r>
      <w:r w:rsidR="00E35985" w:rsidRPr="009E5B39">
        <w:rPr>
          <w:rFonts w:asciiTheme="majorHAnsi" w:hAnsiTheme="majorHAnsi" w:cstheme="majorHAnsi"/>
          <w:sz w:val="24"/>
          <w:szCs w:val="24"/>
          <w:lang w:val="ro-MD"/>
        </w:rPr>
        <w:t xml:space="preserve">nerecepționarea la timp a acestora; </w:t>
      </w:r>
      <w:r w:rsidR="00E35985" w:rsidRPr="009E5B39">
        <w:rPr>
          <w:rFonts w:asciiTheme="majorHAnsi" w:hAnsiTheme="majorHAnsi" w:cstheme="majorHAnsi"/>
          <w:b/>
          <w:i/>
          <w:sz w:val="24"/>
          <w:szCs w:val="24"/>
          <w:lang w:val="ro-MD"/>
        </w:rPr>
        <w:t>iii)</w:t>
      </w:r>
      <w:r w:rsidR="00E35985" w:rsidRPr="009E5B39">
        <w:rPr>
          <w:rFonts w:asciiTheme="majorHAnsi" w:hAnsiTheme="majorHAnsi" w:cstheme="majorHAnsi"/>
          <w:sz w:val="24"/>
          <w:szCs w:val="24"/>
          <w:lang w:val="ro-MD"/>
        </w:rPr>
        <w:t xml:space="preserve"> estimarea neconformă a cheltuielilor pentru serviciile de reparație curentă, de transport etc.</w:t>
      </w:r>
      <w:r w:rsidR="000629BE"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delegate/contractate de la ÎM, etc. </w:t>
      </w:r>
      <w:r w:rsidR="00E35985" w:rsidRPr="009E5B39">
        <w:rPr>
          <w:rFonts w:asciiTheme="majorHAnsi" w:hAnsiTheme="majorHAnsi" w:cstheme="majorHAnsi"/>
          <w:i/>
          <w:sz w:val="24"/>
          <w:szCs w:val="24"/>
          <w:u w:val="single"/>
          <w:lang w:val="ro-MD"/>
        </w:rPr>
        <w:t>De exemplu:</w:t>
      </w:r>
      <w:r w:rsidR="00E35985" w:rsidRPr="009E5B39">
        <w:rPr>
          <w:rFonts w:asciiTheme="majorHAnsi" w:hAnsiTheme="majorHAnsi" w:cstheme="majorHAnsi"/>
          <w:sz w:val="24"/>
          <w:szCs w:val="24"/>
          <w:lang w:val="ro-MD"/>
        </w:rPr>
        <w:t xml:space="preserve"> prin Dispoziția primarului general nr.522-d din 24.09.2020, alocațiile pentru reparația străzii Ion Creangă</w:t>
      </w:r>
      <w:r w:rsidR="008F01DF"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în sumă de </w:t>
      </w:r>
      <w:r w:rsidR="00E35985" w:rsidRPr="009E5B39">
        <w:rPr>
          <w:rFonts w:asciiTheme="majorHAnsi" w:hAnsiTheme="majorHAnsi" w:cstheme="majorHAnsi"/>
          <w:b/>
          <w:i/>
          <w:sz w:val="24"/>
          <w:szCs w:val="24"/>
          <w:lang w:val="ro-MD"/>
        </w:rPr>
        <w:t>8</w:t>
      </w:r>
      <w:r w:rsidR="003E2996"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0 mi</w:t>
      </w:r>
      <w:r w:rsidR="003E2996" w:rsidRPr="009E5B39">
        <w:rPr>
          <w:rFonts w:asciiTheme="majorHAnsi" w:hAnsiTheme="majorHAnsi" w:cstheme="majorHAnsi"/>
          <w:b/>
          <w:i/>
          <w:sz w:val="24"/>
          <w:szCs w:val="24"/>
          <w:lang w:val="ro-MD"/>
        </w:rPr>
        <w:t>l</w:t>
      </w:r>
      <w:r w:rsidR="00E35985" w:rsidRPr="009E5B39">
        <w:rPr>
          <w:rFonts w:asciiTheme="majorHAnsi" w:hAnsiTheme="majorHAnsi" w:cstheme="majorHAnsi"/>
          <w:sz w:val="24"/>
          <w:szCs w:val="24"/>
          <w:lang w:val="ro-MD"/>
        </w:rPr>
        <w:t xml:space="preserve"> </w:t>
      </w:r>
      <w:r w:rsidR="008F01DF" w:rsidRPr="009E5B39">
        <w:rPr>
          <w:rFonts w:asciiTheme="majorHAnsi" w:hAnsiTheme="majorHAnsi" w:cstheme="majorHAnsi"/>
          <w:sz w:val="24"/>
          <w:szCs w:val="24"/>
          <w:lang w:val="ro-MD"/>
        </w:rPr>
        <w:t>.</w:t>
      </w:r>
      <w:r w:rsidR="00E35985" w:rsidRPr="009E5B39">
        <w:rPr>
          <w:rFonts w:asciiTheme="majorHAnsi" w:hAnsiTheme="majorHAnsi" w:cstheme="majorHAnsi"/>
          <w:b/>
          <w:i/>
          <w:sz w:val="24"/>
          <w:szCs w:val="24"/>
          <w:lang w:val="ro-MD"/>
        </w:rPr>
        <w:t>lei</w:t>
      </w:r>
      <w:r w:rsidR="00E35985" w:rsidRPr="009E5B39">
        <w:rPr>
          <w:rFonts w:asciiTheme="majorHAnsi" w:hAnsiTheme="majorHAnsi" w:cstheme="majorHAnsi"/>
          <w:sz w:val="24"/>
          <w:szCs w:val="24"/>
          <w:lang w:val="ro-MD"/>
        </w:rPr>
        <w:t>; alocațiile pentru reparația podului din str. Mihai Viteazul</w:t>
      </w:r>
      <w:r w:rsidR="008F01DF"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în sumă de </w:t>
      </w:r>
      <w:r w:rsidR="00E35985" w:rsidRPr="009E5B39">
        <w:rPr>
          <w:rFonts w:asciiTheme="majorHAnsi" w:hAnsiTheme="majorHAnsi" w:cstheme="majorHAnsi"/>
          <w:b/>
          <w:i/>
          <w:sz w:val="24"/>
          <w:szCs w:val="24"/>
          <w:lang w:val="ro-MD"/>
        </w:rPr>
        <w:t>3</w:t>
      </w:r>
      <w:r w:rsidR="003E2996"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0 mi</w:t>
      </w:r>
      <w:r w:rsidR="003E2996" w:rsidRPr="009E5B39">
        <w:rPr>
          <w:rFonts w:asciiTheme="majorHAnsi" w:hAnsiTheme="majorHAnsi" w:cstheme="majorHAnsi"/>
          <w:b/>
          <w:i/>
          <w:sz w:val="24"/>
          <w:szCs w:val="24"/>
          <w:lang w:val="ro-MD"/>
        </w:rPr>
        <w:t>l</w:t>
      </w:r>
      <w:r w:rsidR="008F01DF"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 xml:space="preserve"> lei</w:t>
      </w:r>
      <w:r w:rsidR="008F01DF" w:rsidRPr="009E5B39">
        <w:rPr>
          <w:rFonts w:asciiTheme="majorHAnsi" w:hAnsiTheme="majorHAnsi" w:cstheme="majorHAnsi"/>
          <w:sz w:val="24"/>
          <w:szCs w:val="24"/>
          <w:lang w:val="ro-MD"/>
        </w:rPr>
        <w:t xml:space="preserve">, </w:t>
      </w:r>
      <w:r w:rsidR="00E35985" w:rsidRPr="009E5B39">
        <w:rPr>
          <w:rFonts w:asciiTheme="majorHAnsi" w:hAnsiTheme="majorHAnsi" w:cstheme="majorHAnsi"/>
          <w:sz w:val="24"/>
          <w:szCs w:val="24"/>
          <w:lang w:val="ro-MD"/>
        </w:rPr>
        <w:t>și alocațiile pentru reabilitarea utilităților pachet II (str. 31 August 1989, str. Tighina, str. Alexandru cel Bun din mun. Chișinău)</w:t>
      </w:r>
      <w:r w:rsidR="008F01DF" w:rsidRPr="009E5B39">
        <w:rPr>
          <w:rFonts w:asciiTheme="majorHAnsi" w:hAnsiTheme="majorHAnsi" w:cstheme="majorHAnsi"/>
          <w:sz w:val="24"/>
          <w:szCs w:val="24"/>
          <w:lang w:val="ro-MD"/>
        </w:rPr>
        <w:t xml:space="preserve">, </w:t>
      </w:r>
      <w:r w:rsidR="00E35985" w:rsidRPr="009E5B39">
        <w:rPr>
          <w:rFonts w:asciiTheme="majorHAnsi" w:hAnsiTheme="majorHAnsi" w:cstheme="majorHAnsi"/>
          <w:sz w:val="24"/>
          <w:szCs w:val="24"/>
          <w:lang w:val="ro-MD"/>
        </w:rPr>
        <w:t xml:space="preserve">în sumă de </w:t>
      </w:r>
      <w:r w:rsidR="00E35985" w:rsidRPr="009E5B39">
        <w:rPr>
          <w:rFonts w:asciiTheme="majorHAnsi" w:hAnsiTheme="majorHAnsi" w:cstheme="majorHAnsi"/>
          <w:b/>
          <w:i/>
          <w:sz w:val="24"/>
          <w:szCs w:val="24"/>
          <w:lang w:val="ro-MD"/>
        </w:rPr>
        <w:t>9</w:t>
      </w:r>
      <w:r w:rsidR="003E2996"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0 mi</w:t>
      </w:r>
      <w:r w:rsidR="003E2996" w:rsidRPr="009E5B39">
        <w:rPr>
          <w:rFonts w:asciiTheme="majorHAnsi" w:hAnsiTheme="majorHAnsi" w:cstheme="majorHAnsi"/>
          <w:b/>
          <w:i/>
          <w:sz w:val="24"/>
          <w:szCs w:val="24"/>
          <w:lang w:val="ro-MD"/>
        </w:rPr>
        <w:t>l</w:t>
      </w:r>
      <w:r w:rsidR="008F01DF" w:rsidRPr="009E5B39">
        <w:rPr>
          <w:rFonts w:asciiTheme="majorHAnsi" w:hAnsiTheme="majorHAnsi" w:cstheme="majorHAnsi"/>
          <w:b/>
          <w:i/>
          <w:sz w:val="24"/>
          <w:szCs w:val="24"/>
          <w:lang w:val="ro-MD"/>
        </w:rPr>
        <w:t xml:space="preserve">. </w:t>
      </w:r>
      <w:r w:rsidR="00E35985" w:rsidRPr="009E5B39">
        <w:rPr>
          <w:rFonts w:asciiTheme="majorHAnsi" w:hAnsiTheme="majorHAnsi" w:cstheme="majorHAnsi"/>
          <w:b/>
          <w:i/>
          <w:sz w:val="24"/>
          <w:szCs w:val="24"/>
          <w:lang w:val="ro-MD"/>
        </w:rPr>
        <w:t>lei</w:t>
      </w:r>
      <w:r w:rsidR="00E35985" w:rsidRPr="009E5B39">
        <w:rPr>
          <w:rFonts w:asciiTheme="majorHAnsi" w:hAnsiTheme="majorHAnsi" w:cstheme="majorHAnsi"/>
          <w:sz w:val="24"/>
          <w:szCs w:val="24"/>
          <w:lang w:val="ro-MD"/>
        </w:rPr>
        <w:t xml:space="preserve">, aprobate în acest scop prin </w:t>
      </w:r>
      <w:r w:rsidR="008F01DF" w:rsidRPr="009E5B39">
        <w:rPr>
          <w:rFonts w:asciiTheme="majorHAnsi" w:hAnsiTheme="majorHAnsi" w:cstheme="majorHAnsi"/>
          <w:sz w:val="24"/>
          <w:szCs w:val="24"/>
          <w:lang w:val="ro-MD"/>
        </w:rPr>
        <w:t>D</w:t>
      </w:r>
      <w:r w:rsidR="00E35985" w:rsidRPr="009E5B39">
        <w:rPr>
          <w:rFonts w:asciiTheme="majorHAnsi" w:hAnsiTheme="majorHAnsi" w:cstheme="majorHAnsi"/>
          <w:sz w:val="24"/>
          <w:szCs w:val="24"/>
          <w:lang w:val="ro-MD"/>
        </w:rPr>
        <w:t>ecizia CMC</w:t>
      </w:r>
      <w:r w:rsidR="00B272BC"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la contul </w:t>
      </w:r>
      <w:r w:rsidR="00E35985" w:rsidRPr="009E5B39">
        <w:rPr>
          <w:rFonts w:asciiTheme="majorHAnsi" w:hAnsiTheme="majorHAnsi" w:cstheme="majorHAnsi"/>
          <w:i/>
          <w:sz w:val="24"/>
          <w:szCs w:val="24"/>
          <w:lang w:val="ro-MD"/>
        </w:rPr>
        <w:t>312120</w:t>
      </w:r>
      <w:r w:rsidR="00E35985" w:rsidRPr="009E5B39">
        <w:rPr>
          <w:rFonts w:asciiTheme="majorHAnsi" w:hAnsiTheme="majorHAnsi" w:cstheme="majorHAnsi"/>
          <w:sz w:val="24"/>
          <w:szCs w:val="24"/>
          <w:lang w:val="ro-MD"/>
        </w:rPr>
        <w:t xml:space="preserve"> „ Reparații capitale ale construcțiilor speciale”</w:t>
      </w:r>
      <w:r w:rsidR="008F01DF"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au fost redistribuite prin diminuarea acestora și direcționate la majorarea cheltuielilor aferente contractului privind prestarea serviciilor de transport de călători</w:t>
      </w:r>
      <w:r w:rsidR="008F01DF"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semnat cu ÎM RTEC, contul </w:t>
      </w:r>
      <w:r w:rsidR="00E35985" w:rsidRPr="009E5B39">
        <w:rPr>
          <w:rFonts w:asciiTheme="majorHAnsi" w:hAnsiTheme="majorHAnsi" w:cstheme="majorHAnsi"/>
          <w:i/>
          <w:sz w:val="24"/>
          <w:szCs w:val="24"/>
          <w:lang w:val="ro-MD"/>
        </w:rPr>
        <w:t xml:space="preserve">222400 </w:t>
      </w:r>
      <w:r w:rsidR="00E35985" w:rsidRPr="009E5B39">
        <w:rPr>
          <w:rFonts w:asciiTheme="majorHAnsi" w:hAnsiTheme="majorHAnsi" w:cstheme="majorHAnsi"/>
          <w:sz w:val="24"/>
          <w:szCs w:val="24"/>
          <w:lang w:val="ro-MD"/>
        </w:rPr>
        <w:t>„Servicii de transport”</w:t>
      </w:r>
      <w:r w:rsidR="008F01DF"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cu suma de </w:t>
      </w:r>
      <w:r w:rsidR="00E35985" w:rsidRPr="009E5B39">
        <w:rPr>
          <w:rFonts w:asciiTheme="majorHAnsi" w:hAnsiTheme="majorHAnsi" w:cstheme="majorHAnsi"/>
          <w:b/>
          <w:sz w:val="24"/>
          <w:szCs w:val="24"/>
          <w:lang w:val="ro-MD"/>
        </w:rPr>
        <w:t>21</w:t>
      </w:r>
      <w:r w:rsidR="003E2996" w:rsidRPr="009E5B39">
        <w:rPr>
          <w:rFonts w:asciiTheme="majorHAnsi" w:hAnsiTheme="majorHAnsi" w:cstheme="majorHAnsi"/>
          <w:b/>
          <w:sz w:val="24"/>
          <w:szCs w:val="24"/>
          <w:lang w:val="ro-MD"/>
        </w:rPr>
        <w:t>,</w:t>
      </w:r>
      <w:r w:rsidR="00E35985" w:rsidRPr="009E5B39">
        <w:rPr>
          <w:rFonts w:asciiTheme="majorHAnsi" w:hAnsiTheme="majorHAnsi" w:cstheme="majorHAnsi"/>
          <w:b/>
          <w:sz w:val="24"/>
          <w:szCs w:val="24"/>
          <w:lang w:val="ro-MD"/>
        </w:rPr>
        <w:t>0 mi</w:t>
      </w:r>
      <w:r w:rsidR="003E2996" w:rsidRPr="009E5B39">
        <w:rPr>
          <w:rFonts w:asciiTheme="majorHAnsi" w:hAnsiTheme="majorHAnsi" w:cstheme="majorHAnsi"/>
          <w:b/>
          <w:sz w:val="24"/>
          <w:szCs w:val="24"/>
          <w:lang w:val="ro-MD"/>
        </w:rPr>
        <w:t>l</w:t>
      </w:r>
      <w:r w:rsidR="008F01DF" w:rsidRPr="009E5B39">
        <w:rPr>
          <w:rFonts w:asciiTheme="majorHAnsi" w:hAnsiTheme="majorHAnsi" w:cstheme="majorHAnsi"/>
          <w:b/>
          <w:sz w:val="24"/>
          <w:szCs w:val="24"/>
          <w:lang w:val="ro-MD"/>
        </w:rPr>
        <w:t>.</w:t>
      </w:r>
      <w:r w:rsidR="00E35985" w:rsidRPr="009E5B39">
        <w:rPr>
          <w:rFonts w:asciiTheme="majorHAnsi" w:hAnsiTheme="majorHAnsi" w:cstheme="majorHAnsi"/>
          <w:b/>
          <w:sz w:val="24"/>
          <w:szCs w:val="24"/>
          <w:lang w:val="ro-MD"/>
        </w:rPr>
        <w:t xml:space="preserve"> lei</w:t>
      </w:r>
      <w:r w:rsidR="00E35985" w:rsidRPr="009E5B39">
        <w:rPr>
          <w:rFonts w:asciiTheme="majorHAnsi" w:hAnsiTheme="majorHAnsi" w:cstheme="majorHAnsi"/>
          <w:sz w:val="24"/>
          <w:szCs w:val="24"/>
          <w:lang w:val="ro-MD"/>
        </w:rPr>
        <w:t xml:space="preserve">. Un alt exemplu ar fi redistribuirea alocațiilor în baza Dispoziției primarului general nr. 328-d din 09.07.2020, prin care s-a dispus redistribuirea prin diminuare a alocațiilor în sumă  de  </w:t>
      </w:r>
      <w:r w:rsidR="00E35985" w:rsidRPr="009E5B39">
        <w:rPr>
          <w:rFonts w:asciiTheme="majorHAnsi" w:hAnsiTheme="majorHAnsi" w:cstheme="majorHAnsi"/>
          <w:b/>
          <w:sz w:val="24"/>
          <w:szCs w:val="24"/>
          <w:lang w:val="ro-MD"/>
        </w:rPr>
        <w:t>43</w:t>
      </w:r>
      <w:r w:rsidR="003E2996" w:rsidRPr="009E5B39">
        <w:rPr>
          <w:rFonts w:asciiTheme="majorHAnsi" w:hAnsiTheme="majorHAnsi" w:cstheme="majorHAnsi"/>
          <w:b/>
          <w:sz w:val="24"/>
          <w:szCs w:val="24"/>
          <w:lang w:val="ro-MD"/>
        </w:rPr>
        <w:t>,</w:t>
      </w:r>
      <w:r w:rsidR="00E35985" w:rsidRPr="009E5B39">
        <w:rPr>
          <w:rFonts w:asciiTheme="majorHAnsi" w:hAnsiTheme="majorHAnsi" w:cstheme="majorHAnsi"/>
          <w:b/>
          <w:sz w:val="24"/>
          <w:szCs w:val="24"/>
          <w:lang w:val="ro-MD"/>
        </w:rPr>
        <w:t>39 mi</w:t>
      </w:r>
      <w:r w:rsidR="003E2996" w:rsidRPr="009E5B39">
        <w:rPr>
          <w:rFonts w:asciiTheme="majorHAnsi" w:hAnsiTheme="majorHAnsi" w:cstheme="majorHAnsi"/>
          <w:b/>
          <w:sz w:val="24"/>
          <w:szCs w:val="24"/>
          <w:lang w:val="ro-MD"/>
        </w:rPr>
        <w:t>l</w:t>
      </w:r>
      <w:r w:rsidR="00B272BC" w:rsidRPr="009E5B39">
        <w:rPr>
          <w:rFonts w:asciiTheme="majorHAnsi" w:hAnsiTheme="majorHAnsi" w:cstheme="majorHAnsi"/>
          <w:b/>
          <w:sz w:val="24"/>
          <w:szCs w:val="24"/>
          <w:lang w:val="ro-MD"/>
        </w:rPr>
        <w:t>.</w:t>
      </w:r>
      <w:r w:rsidR="00E35985" w:rsidRPr="009E5B39">
        <w:rPr>
          <w:rFonts w:asciiTheme="majorHAnsi" w:hAnsiTheme="majorHAnsi" w:cstheme="majorHAnsi"/>
          <w:b/>
          <w:sz w:val="24"/>
          <w:szCs w:val="24"/>
          <w:lang w:val="ro-MD"/>
        </w:rPr>
        <w:t xml:space="preserve"> lei</w:t>
      </w:r>
      <w:r w:rsidR="00E35985" w:rsidRPr="009E5B39">
        <w:rPr>
          <w:rFonts w:asciiTheme="majorHAnsi" w:hAnsiTheme="majorHAnsi" w:cstheme="majorHAnsi"/>
          <w:sz w:val="24"/>
          <w:szCs w:val="24"/>
          <w:lang w:val="ro-MD"/>
        </w:rPr>
        <w:t>, aprobate de către CMC pentru reparația capitală a 3 obiective</w:t>
      </w:r>
      <w:r w:rsidR="00373E3C" w:rsidRPr="009E5B39">
        <w:rPr>
          <w:rStyle w:val="FootnoteReference"/>
          <w:rFonts w:asciiTheme="majorHAnsi" w:hAnsiTheme="majorHAnsi" w:cstheme="majorHAnsi"/>
          <w:sz w:val="24"/>
          <w:szCs w:val="24"/>
          <w:lang w:val="ro-MD"/>
        </w:rPr>
        <w:footnoteReference w:id="69"/>
      </w:r>
      <w:r w:rsidR="00E35985" w:rsidRPr="009E5B39">
        <w:rPr>
          <w:rFonts w:asciiTheme="majorHAnsi" w:hAnsiTheme="majorHAnsi" w:cstheme="majorHAnsi"/>
          <w:sz w:val="24"/>
          <w:szCs w:val="24"/>
          <w:lang w:val="ro-MD"/>
        </w:rPr>
        <w:t xml:space="preserve"> (la contul 312120) și direcționate la majorarea alocațiilor pentru reparația și întreținerea căilor de comunicație din mun. Chișinău, inclusiv </w:t>
      </w:r>
      <w:r w:rsidR="00B272BC" w:rsidRPr="009E5B39">
        <w:rPr>
          <w:rFonts w:asciiTheme="majorHAnsi" w:hAnsiTheme="majorHAnsi" w:cstheme="majorHAnsi"/>
          <w:sz w:val="24"/>
          <w:szCs w:val="24"/>
          <w:lang w:val="ro-MD"/>
        </w:rPr>
        <w:t xml:space="preserve">a </w:t>
      </w:r>
      <w:r w:rsidR="00E35985" w:rsidRPr="009E5B39">
        <w:rPr>
          <w:rFonts w:asciiTheme="majorHAnsi" w:hAnsiTheme="majorHAnsi" w:cstheme="majorHAnsi"/>
          <w:sz w:val="24"/>
          <w:szCs w:val="24"/>
          <w:lang w:val="ro-MD"/>
        </w:rPr>
        <w:t>curțil</w:t>
      </w:r>
      <w:r w:rsidR="00B272BC" w:rsidRPr="009E5B39">
        <w:rPr>
          <w:rFonts w:asciiTheme="majorHAnsi" w:hAnsiTheme="majorHAnsi" w:cstheme="majorHAnsi"/>
          <w:sz w:val="24"/>
          <w:szCs w:val="24"/>
          <w:lang w:val="ro-MD"/>
        </w:rPr>
        <w:t>or</w:t>
      </w:r>
      <w:r w:rsidR="00E35985" w:rsidRPr="009E5B39">
        <w:rPr>
          <w:rFonts w:asciiTheme="majorHAnsi" w:hAnsiTheme="majorHAnsi" w:cstheme="majorHAnsi"/>
          <w:sz w:val="24"/>
          <w:szCs w:val="24"/>
          <w:lang w:val="ro-MD"/>
        </w:rPr>
        <w:t xml:space="preserve"> blocurilor de locuit și trotuarelor (contul 222500) – suma de </w:t>
      </w:r>
      <w:r w:rsidR="00E35985" w:rsidRPr="009E5B39">
        <w:rPr>
          <w:rFonts w:asciiTheme="majorHAnsi" w:hAnsiTheme="majorHAnsi" w:cstheme="majorHAnsi"/>
          <w:b/>
          <w:sz w:val="24"/>
          <w:szCs w:val="24"/>
          <w:lang w:val="ro-MD"/>
        </w:rPr>
        <w:t>32</w:t>
      </w:r>
      <w:r w:rsidR="003E2996" w:rsidRPr="009E5B39">
        <w:rPr>
          <w:rFonts w:asciiTheme="majorHAnsi" w:hAnsiTheme="majorHAnsi" w:cstheme="majorHAnsi"/>
          <w:b/>
          <w:sz w:val="24"/>
          <w:szCs w:val="24"/>
          <w:lang w:val="ro-MD"/>
        </w:rPr>
        <w:t>,</w:t>
      </w:r>
      <w:r w:rsidR="00E35985" w:rsidRPr="009E5B39">
        <w:rPr>
          <w:rFonts w:asciiTheme="majorHAnsi" w:hAnsiTheme="majorHAnsi" w:cstheme="majorHAnsi"/>
          <w:b/>
          <w:sz w:val="24"/>
          <w:szCs w:val="24"/>
          <w:lang w:val="ro-MD"/>
        </w:rPr>
        <w:t>50 mi</w:t>
      </w:r>
      <w:r w:rsidR="003E2996" w:rsidRPr="009E5B39">
        <w:rPr>
          <w:rFonts w:asciiTheme="majorHAnsi" w:hAnsiTheme="majorHAnsi" w:cstheme="majorHAnsi"/>
          <w:b/>
          <w:sz w:val="24"/>
          <w:szCs w:val="24"/>
          <w:lang w:val="ro-MD"/>
        </w:rPr>
        <w:t>l</w:t>
      </w:r>
      <w:r w:rsidR="00B272BC" w:rsidRPr="009E5B39">
        <w:rPr>
          <w:rFonts w:asciiTheme="majorHAnsi" w:hAnsiTheme="majorHAnsi" w:cstheme="majorHAnsi"/>
          <w:b/>
          <w:sz w:val="24"/>
          <w:szCs w:val="24"/>
          <w:lang w:val="ro-MD"/>
        </w:rPr>
        <w:t>.</w:t>
      </w:r>
      <w:r w:rsidR="00E35985" w:rsidRPr="009E5B39">
        <w:rPr>
          <w:rFonts w:asciiTheme="majorHAnsi" w:hAnsiTheme="majorHAnsi" w:cstheme="majorHAnsi"/>
          <w:b/>
          <w:sz w:val="24"/>
          <w:szCs w:val="24"/>
          <w:lang w:val="ro-MD"/>
        </w:rPr>
        <w:t xml:space="preserve"> lei</w:t>
      </w:r>
      <w:r w:rsidR="00B272BC" w:rsidRPr="009E5B39">
        <w:rPr>
          <w:rFonts w:asciiTheme="majorHAnsi" w:hAnsiTheme="majorHAnsi" w:cstheme="majorHAnsi"/>
          <w:b/>
          <w:sz w:val="24"/>
          <w:szCs w:val="24"/>
          <w:lang w:val="ro-MD"/>
        </w:rPr>
        <w:t>,</w:t>
      </w:r>
      <w:r w:rsidR="00E35985" w:rsidRPr="009E5B39">
        <w:rPr>
          <w:rFonts w:asciiTheme="majorHAnsi" w:hAnsiTheme="majorHAnsi" w:cstheme="majorHAnsi"/>
          <w:sz w:val="24"/>
          <w:szCs w:val="24"/>
          <w:lang w:val="ro-MD"/>
        </w:rPr>
        <w:t xml:space="preserve"> și </w:t>
      </w:r>
      <w:r w:rsidR="00B272BC" w:rsidRPr="009E5B39">
        <w:rPr>
          <w:rFonts w:asciiTheme="majorHAnsi" w:hAnsiTheme="majorHAnsi" w:cstheme="majorHAnsi"/>
          <w:sz w:val="24"/>
          <w:szCs w:val="24"/>
          <w:lang w:val="ro-MD"/>
        </w:rPr>
        <w:t xml:space="preserve">la </w:t>
      </w:r>
      <w:r w:rsidR="00E35985" w:rsidRPr="009E5B39">
        <w:rPr>
          <w:rFonts w:asciiTheme="majorHAnsi" w:hAnsiTheme="majorHAnsi" w:cstheme="majorHAnsi"/>
          <w:sz w:val="24"/>
          <w:szCs w:val="24"/>
          <w:lang w:val="ro-MD"/>
        </w:rPr>
        <w:t>majorarea cheltuielilor aferente contractului privind prestarea serviciilor de transport de călători</w:t>
      </w:r>
      <w:r w:rsidR="00B272BC"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semnat cu ÎM RTEC (contul </w:t>
      </w:r>
      <w:r w:rsidR="00E35985" w:rsidRPr="009E5B39">
        <w:rPr>
          <w:rFonts w:asciiTheme="majorHAnsi" w:hAnsiTheme="majorHAnsi" w:cstheme="majorHAnsi"/>
          <w:i/>
          <w:sz w:val="24"/>
          <w:szCs w:val="24"/>
          <w:lang w:val="ro-MD"/>
        </w:rPr>
        <w:t xml:space="preserve">222400) – </w:t>
      </w:r>
      <w:r w:rsidR="00E35985" w:rsidRPr="009E5B39">
        <w:rPr>
          <w:rFonts w:asciiTheme="majorHAnsi" w:hAnsiTheme="majorHAnsi" w:cstheme="majorHAnsi"/>
          <w:sz w:val="24"/>
          <w:szCs w:val="24"/>
          <w:lang w:val="ro-MD"/>
        </w:rPr>
        <w:t xml:space="preserve">suma de </w:t>
      </w:r>
      <w:r w:rsidR="00E35985" w:rsidRPr="009E5B39">
        <w:rPr>
          <w:rFonts w:asciiTheme="majorHAnsi" w:hAnsiTheme="majorHAnsi" w:cstheme="majorHAnsi"/>
          <w:b/>
          <w:sz w:val="24"/>
          <w:szCs w:val="24"/>
          <w:lang w:val="ro-MD"/>
        </w:rPr>
        <w:t>9</w:t>
      </w:r>
      <w:r w:rsidR="003E2996" w:rsidRPr="009E5B39">
        <w:rPr>
          <w:rFonts w:asciiTheme="majorHAnsi" w:hAnsiTheme="majorHAnsi" w:cstheme="majorHAnsi"/>
          <w:b/>
          <w:sz w:val="24"/>
          <w:szCs w:val="24"/>
          <w:lang w:val="ro-MD"/>
        </w:rPr>
        <w:t>,</w:t>
      </w:r>
      <w:r w:rsidR="00E35985" w:rsidRPr="009E5B39">
        <w:rPr>
          <w:rFonts w:asciiTheme="majorHAnsi" w:hAnsiTheme="majorHAnsi" w:cstheme="majorHAnsi"/>
          <w:b/>
          <w:sz w:val="24"/>
          <w:szCs w:val="24"/>
          <w:lang w:val="ro-MD"/>
        </w:rPr>
        <w:t>29 mi</w:t>
      </w:r>
      <w:r w:rsidR="003E2996" w:rsidRPr="009E5B39">
        <w:rPr>
          <w:rFonts w:asciiTheme="majorHAnsi" w:hAnsiTheme="majorHAnsi" w:cstheme="majorHAnsi"/>
          <w:b/>
          <w:sz w:val="24"/>
          <w:szCs w:val="24"/>
          <w:lang w:val="ro-MD"/>
        </w:rPr>
        <w:t>l</w:t>
      </w:r>
      <w:r w:rsidR="00B272BC" w:rsidRPr="009E5B39">
        <w:rPr>
          <w:rFonts w:asciiTheme="majorHAnsi" w:hAnsiTheme="majorHAnsi" w:cstheme="majorHAnsi"/>
          <w:b/>
          <w:sz w:val="24"/>
          <w:szCs w:val="24"/>
          <w:lang w:val="ro-MD"/>
        </w:rPr>
        <w:t>.</w:t>
      </w:r>
      <w:r w:rsidR="00E35985" w:rsidRPr="009E5B39">
        <w:rPr>
          <w:rFonts w:asciiTheme="majorHAnsi" w:hAnsiTheme="majorHAnsi" w:cstheme="majorHAnsi"/>
          <w:b/>
          <w:sz w:val="24"/>
          <w:szCs w:val="24"/>
          <w:lang w:val="ro-MD"/>
        </w:rPr>
        <w:t xml:space="preserve"> lei.</w:t>
      </w:r>
    </w:p>
    <w:p w14:paraId="338FA597" w14:textId="62197F9B" w:rsidR="00E35985" w:rsidRPr="009E5B39" w:rsidRDefault="004762C3" w:rsidP="00126E9A">
      <w:pPr>
        <w:pStyle w:val="ListParagraph"/>
        <w:numPr>
          <w:ilvl w:val="2"/>
          <w:numId w:val="97"/>
        </w:numPr>
        <w:tabs>
          <w:tab w:val="left" w:pos="993"/>
        </w:tabs>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b/>
          <w:i/>
          <w:sz w:val="24"/>
          <w:szCs w:val="24"/>
          <w:lang w:val="ro-MD"/>
        </w:rPr>
        <w:t>Cadrul normativ</w:t>
      </w:r>
      <w:r w:rsidRPr="009E5B39">
        <w:rPr>
          <w:i/>
          <w:vertAlign w:val="superscript"/>
          <w:lang w:val="ro-MD"/>
        </w:rPr>
        <w:footnoteReference w:id="70"/>
      </w:r>
      <w:r w:rsidRPr="009E5B39">
        <w:rPr>
          <w:rFonts w:asciiTheme="majorHAnsi" w:hAnsiTheme="majorHAnsi" w:cstheme="majorHAnsi"/>
          <w:b/>
          <w:i/>
          <w:sz w:val="24"/>
          <w:szCs w:val="24"/>
          <w:lang w:val="ro-MD"/>
        </w:rPr>
        <w:t xml:space="preserve"> prevede că de domeniile proprii de activitate ale APL de nivelul I ține și construcția, întreținerea și iluminarea străzilor și drumurilor publice locale; APL de nivelul I și</w:t>
      </w:r>
      <w:r w:rsidR="005C564A" w:rsidRPr="009E5B39">
        <w:rPr>
          <w:rFonts w:asciiTheme="majorHAnsi" w:hAnsiTheme="majorHAnsi" w:cstheme="majorHAnsi"/>
          <w:b/>
          <w:i/>
          <w:sz w:val="24"/>
          <w:szCs w:val="24"/>
          <w:lang w:val="ro-MD"/>
        </w:rPr>
        <w:t xml:space="preserve"> nivelul</w:t>
      </w:r>
      <w:r w:rsidRPr="009E5B39">
        <w:rPr>
          <w:rFonts w:asciiTheme="majorHAnsi" w:hAnsiTheme="majorHAnsi" w:cstheme="majorHAnsi"/>
          <w:b/>
          <w:i/>
          <w:sz w:val="24"/>
          <w:szCs w:val="24"/>
          <w:lang w:val="ro-MD"/>
        </w:rPr>
        <w:t xml:space="preserve"> II, în limitele legii, dispun de libertate deplină de acțiune în reglementarea și gestionarea oricărei chestiuni de interes local care nu este exclusă din competența lor și nu este atribuită unei alte autorități.</w:t>
      </w:r>
      <w:r w:rsidRPr="009E5B39">
        <w:rPr>
          <w:rFonts w:asciiTheme="majorHAnsi" w:hAnsiTheme="majorHAnsi" w:cstheme="majorHAnsi"/>
          <w:b/>
          <w:sz w:val="24"/>
          <w:szCs w:val="24"/>
          <w:lang w:val="ro-MD"/>
        </w:rPr>
        <w:t xml:space="preserve"> </w:t>
      </w:r>
      <w:r w:rsidR="00E35985" w:rsidRPr="009E5B39">
        <w:rPr>
          <w:rFonts w:asciiTheme="majorHAnsi" w:hAnsiTheme="majorHAnsi" w:cstheme="majorHAnsi"/>
          <w:b/>
          <w:i/>
          <w:sz w:val="24"/>
          <w:szCs w:val="24"/>
          <w:lang w:val="ro-MD"/>
        </w:rPr>
        <w:t>CMC</w:t>
      </w:r>
      <w:r w:rsidR="005C564A"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 xml:space="preserve"> prin preluarea rețelelor de iluminat stradal de la APL de nivelul I din suburbii, suportă cheltuieli suplimentare din bugetul municipal, pentru iluminatul public, precum și pentru întreținerea acestora, care numai în perioada </w:t>
      </w:r>
      <w:r w:rsidR="005C564A" w:rsidRPr="009E5B39">
        <w:rPr>
          <w:rFonts w:asciiTheme="majorHAnsi" w:hAnsiTheme="majorHAnsi" w:cstheme="majorHAnsi"/>
          <w:b/>
          <w:i/>
          <w:sz w:val="24"/>
          <w:szCs w:val="24"/>
          <w:lang w:val="ro-MD"/>
        </w:rPr>
        <w:t xml:space="preserve">anilor </w:t>
      </w:r>
      <w:r w:rsidR="00E35985" w:rsidRPr="009E5B39">
        <w:rPr>
          <w:rFonts w:asciiTheme="majorHAnsi" w:hAnsiTheme="majorHAnsi" w:cstheme="majorHAnsi"/>
          <w:b/>
          <w:i/>
          <w:sz w:val="24"/>
          <w:szCs w:val="24"/>
          <w:lang w:val="ro-MD"/>
        </w:rPr>
        <w:t>2018-2020 au însumat 50</w:t>
      </w:r>
      <w:r w:rsidR="003E2996"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9</w:t>
      </w:r>
      <w:r w:rsidR="003E2996" w:rsidRPr="009E5B39">
        <w:rPr>
          <w:rFonts w:asciiTheme="majorHAnsi" w:hAnsiTheme="majorHAnsi" w:cstheme="majorHAnsi"/>
          <w:b/>
          <w:i/>
          <w:sz w:val="24"/>
          <w:szCs w:val="24"/>
          <w:lang w:val="ro-MD"/>
        </w:rPr>
        <w:t>1</w:t>
      </w:r>
      <w:r w:rsidR="00E35985" w:rsidRPr="009E5B39">
        <w:rPr>
          <w:rFonts w:asciiTheme="majorHAnsi" w:hAnsiTheme="majorHAnsi" w:cstheme="majorHAnsi"/>
          <w:b/>
          <w:i/>
          <w:sz w:val="24"/>
          <w:szCs w:val="24"/>
          <w:lang w:val="ro-MD"/>
        </w:rPr>
        <w:t xml:space="preserve"> mi</w:t>
      </w:r>
      <w:r w:rsidR="003E2996" w:rsidRPr="009E5B39">
        <w:rPr>
          <w:rFonts w:asciiTheme="majorHAnsi" w:hAnsiTheme="majorHAnsi" w:cstheme="majorHAnsi"/>
          <w:b/>
          <w:i/>
          <w:sz w:val="24"/>
          <w:szCs w:val="24"/>
          <w:lang w:val="ro-MD"/>
        </w:rPr>
        <w:t>l</w:t>
      </w:r>
      <w:r w:rsidR="005C564A"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 xml:space="preserve"> lei</w:t>
      </w:r>
      <w:r w:rsidR="00E35985" w:rsidRPr="009E5B39">
        <w:rPr>
          <w:i/>
          <w:vertAlign w:val="superscript"/>
          <w:lang w:val="ro-MD"/>
        </w:rPr>
        <w:footnoteReference w:id="71"/>
      </w:r>
      <w:r w:rsidR="00E35985" w:rsidRPr="009E5B39">
        <w:rPr>
          <w:rFonts w:asciiTheme="majorHAnsi" w:hAnsiTheme="majorHAnsi" w:cstheme="majorHAnsi"/>
          <w:b/>
          <w:i/>
          <w:sz w:val="24"/>
          <w:szCs w:val="24"/>
          <w:lang w:val="ro-MD"/>
        </w:rPr>
        <w:t xml:space="preserve"> și</w:t>
      </w:r>
      <w:r w:rsidR="005C564A"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 xml:space="preserve"> respectiv</w:t>
      </w:r>
      <w:r w:rsidR="005C564A"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 xml:space="preserve"> 6</w:t>
      </w:r>
      <w:r w:rsidR="003E2996"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89 mii lei</w:t>
      </w:r>
      <w:r w:rsidR="00E35985" w:rsidRPr="009E5B39">
        <w:rPr>
          <w:i/>
          <w:vertAlign w:val="superscript"/>
          <w:lang w:val="ro-MD"/>
        </w:rPr>
        <w:footnoteReference w:id="72"/>
      </w:r>
      <w:r w:rsidR="00E35985" w:rsidRPr="009E5B39">
        <w:rPr>
          <w:rFonts w:asciiTheme="majorHAnsi" w:hAnsiTheme="majorHAnsi" w:cstheme="majorHAnsi"/>
          <w:b/>
          <w:i/>
          <w:sz w:val="24"/>
          <w:szCs w:val="24"/>
          <w:lang w:val="ro-MD"/>
        </w:rPr>
        <w:t>.</w:t>
      </w:r>
      <w:r w:rsidR="00E35985" w:rsidRPr="009E5B39">
        <w:rPr>
          <w:rFonts w:asciiTheme="majorHAnsi" w:hAnsiTheme="majorHAnsi" w:cstheme="majorHAnsi"/>
          <w:i/>
          <w:sz w:val="24"/>
          <w:szCs w:val="24"/>
          <w:lang w:val="ro-MD"/>
        </w:rPr>
        <w:t xml:space="preserve"> </w:t>
      </w:r>
      <w:r w:rsidR="00E35985" w:rsidRPr="009E5B39">
        <w:rPr>
          <w:rFonts w:asciiTheme="majorHAnsi" w:hAnsiTheme="majorHAnsi" w:cstheme="majorHAnsi"/>
          <w:sz w:val="24"/>
          <w:szCs w:val="24"/>
          <w:lang w:val="ro-MD"/>
        </w:rPr>
        <w:t>ÎM REI „Lumteh” asigură iluminatul public stradal și în localitățile din suburbi</w:t>
      </w:r>
      <w:r w:rsidR="005C564A" w:rsidRPr="009E5B39">
        <w:rPr>
          <w:rFonts w:asciiTheme="majorHAnsi" w:hAnsiTheme="majorHAnsi" w:cstheme="majorHAnsi"/>
          <w:sz w:val="24"/>
          <w:szCs w:val="24"/>
          <w:lang w:val="ro-MD"/>
        </w:rPr>
        <w:t>i</w:t>
      </w:r>
      <w:r w:rsidR="00E35985" w:rsidRPr="009E5B39">
        <w:rPr>
          <w:rFonts w:asciiTheme="majorHAnsi" w:hAnsiTheme="majorHAnsi" w:cstheme="majorHAnsi"/>
          <w:sz w:val="24"/>
          <w:szCs w:val="24"/>
          <w:lang w:val="ro-MD"/>
        </w:rPr>
        <w:t>, în lipsa contractelor de delegare a gestiunii acestui serviciu/sau a contractului de antrepriză, încheiat cu UAT de nivelul I din suburbii. Nici contractele de antrepriză, semnate anual de către DGTPCC și ÎM REI „Lumteh”</w:t>
      </w:r>
      <w:r w:rsidR="005C564A"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nu conțin prevederi ce țin de obligativitatea asigurării iluminatului stradal din UAT de nivelul I din suburbii din contul alocațiilor preconizate pentru asigurare</w:t>
      </w:r>
      <w:r w:rsidR="005C564A" w:rsidRPr="009E5B39">
        <w:rPr>
          <w:rFonts w:asciiTheme="majorHAnsi" w:hAnsiTheme="majorHAnsi" w:cstheme="majorHAnsi"/>
          <w:sz w:val="24"/>
          <w:szCs w:val="24"/>
          <w:lang w:val="ro-MD"/>
        </w:rPr>
        <w:t>a</w:t>
      </w:r>
      <w:r w:rsidR="00E35985" w:rsidRPr="009E5B39">
        <w:rPr>
          <w:rFonts w:asciiTheme="majorHAnsi" w:hAnsiTheme="majorHAnsi" w:cstheme="majorHAnsi"/>
          <w:sz w:val="24"/>
          <w:szCs w:val="24"/>
          <w:lang w:val="ro-MD"/>
        </w:rPr>
        <w:t xml:space="preserve"> iluminatului public în municipiul Chișinău, nefiind anexată nici lista UAT de nivelul I unde urmează a fi asigurat iluminatul public stradal. Cheltuielile pentru achitarea energiei electrice, pentru asigurarea iluminatului public stradal din localitățile suburbane sunt suportate din bugetul DGTPCC, din contul alocațiilor aprobate de către CMC pentru iluminarea publică a municipiului și alimentarea cu energie electrică a obiectivelor de semafoare. </w:t>
      </w:r>
    </w:p>
    <w:p w14:paraId="0DF73B51" w14:textId="1EEE8B4A" w:rsidR="004762C3" w:rsidRPr="009E5B39" w:rsidRDefault="00E35985" w:rsidP="00126E9A">
      <w:pPr>
        <w:pStyle w:val="ListParagraph"/>
        <w:numPr>
          <w:ilvl w:val="2"/>
          <w:numId w:val="97"/>
        </w:numPr>
        <w:tabs>
          <w:tab w:val="left" w:pos="284"/>
        </w:tabs>
        <w:spacing w:after="0"/>
        <w:ind w:left="0" w:firstLine="0"/>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 xml:space="preserve">Lipsa unui control adecvat din partea persoanelor responsabile din cadrul DGTPCC și  </w:t>
      </w:r>
      <w:r w:rsidRPr="009E5B39">
        <w:rPr>
          <w:rFonts w:asciiTheme="majorHAnsi" w:hAnsiTheme="majorHAnsi" w:cstheme="majorHAnsi"/>
          <w:b/>
          <w:i/>
          <w:sz w:val="24"/>
          <w:szCs w:val="24"/>
          <w:lang w:val="ro-MD"/>
        </w:rPr>
        <w:t>DGLCA</w:t>
      </w:r>
      <w:r w:rsidRPr="009E5B39">
        <w:rPr>
          <w:rFonts w:asciiTheme="majorHAnsi" w:hAnsiTheme="majorHAnsi" w:cstheme="majorHAnsi"/>
          <w:b/>
          <w:sz w:val="24"/>
          <w:szCs w:val="24"/>
          <w:lang w:val="ro-MD"/>
        </w:rPr>
        <w:t xml:space="preserve"> </w:t>
      </w:r>
      <w:r w:rsidR="005C564A" w:rsidRPr="009E5B39">
        <w:rPr>
          <w:rFonts w:asciiTheme="majorHAnsi" w:hAnsiTheme="majorHAnsi" w:cstheme="majorHAnsi"/>
          <w:b/>
          <w:sz w:val="24"/>
          <w:szCs w:val="24"/>
          <w:lang w:val="ro-MD"/>
        </w:rPr>
        <w:t>asupra</w:t>
      </w:r>
      <w:r w:rsidRPr="009E5B39">
        <w:rPr>
          <w:rFonts w:asciiTheme="majorHAnsi" w:hAnsiTheme="majorHAnsi" w:cstheme="majorHAnsi"/>
          <w:b/>
          <w:sz w:val="24"/>
          <w:szCs w:val="24"/>
          <w:lang w:val="ro-MD"/>
        </w:rPr>
        <w:t xml:space="preserve"> recepțion</w:t>
      </w:r>
      <w:r w:rsidR="005C564A" w:rsidRPr="009E5B39">
        <w:rPr>
          <w:rFonts w:asciiTheme="majorHAnsi" w:hAnsiTheme="majorHAnsi" w:cstheme="majorHAnsi"/>
          <w:b/>
          <w:sz w:val="24"/>
          <w:szCs w:val="24"/>
          <w:lang w:val="ro-MD"/>
        </w:rPr>
        <w:t>ării</w:t>
      </w:r>
      <w:r w:rsidRPr="009E5B39">
        <w:rPr>
          <w:rFonts w:asciiTheme="majorHAnsi" w:hAnsiTheme="majorHAnsi" w:cstheme="majorHAnsi"/>
          <w:b/>
          <w:sz w:val="24"/>
          <w:szCs w:val="24"/>
          <w:lang w:val="ro-MD"/>
        </w:rPr>
        <w:t xml:space="preserve"> serviciilor prestate de către ÎM creează riscul c</w:t>
      </w:r>
      <w:r w:rsidR="005C564A" w:rsidRPr="009E5B39">
        <w:rPr>
          <w:rFonts w:asciiTheme="majorHAnsi" w:hAnsiTheme="majorHAnsi" w:cstheme="majorHAnsi"/>
          <w:b/>
          <w:sz w:val="24"/>
          <w:szCs w:val="24"/>
          <w:lang w:val="ro-MD"/>
        </w:rPr>
        <w:t>a</w:t>
      </w:r>
      <w:r w:rsidRPr="009E5B39">
        <w:rPr>
          <w:rFonts w:asciiTheme="majorHAnsi" w:hAnsiTheme="majorHAnsi" w:cstheme="majorHAnsi"/>
          <w:b/>
          <w:sz w:val="24"/>
          <w:szCs w:val="24"/>
          <w:lang w:val="ro-MD"/>
        </w:rPr>
        <w:t xml:space="preserve"> din bugetul municipal s</w:t>
      </w:r>
      <w:r w:rsidR="005C564A" w:rsidRPr="009E5B39">
        <w:rPr>
          <w:rFonts w:asciiTheme="majorHAnsi" w:hAnsiTheme="majorHAnsi" w:cstheme="majorHAnsi"/>
          <w:b/>
          <w:sz w:val="24"/>
          <w:szCs w:val="24"/>
          <w:lang w:val="ro-MD"/>
        </w:rPr>
        <w:t>ă fie</w:t>
      </w:r>
      <w:r w:rsidRPr="009E5B39">
        <w:rPr>
          <w:rFonts w:asciiTheme="majorHAnsi" w:hAnsiTheme="majorHAnsi" w:cstheme="majorHAnsi"/>
          <w:b/>
          <w:sz w:val="24"/>
          <w:szCs w:val="24"/>
          <w:lang w:val="ro-MD"/>
        </w:rPr>
        <w:t xml:space="preserve"> suportate cheltuieli pentru serviciile de întreținere a obiectivelor de semafoare și de salubrizare la care nu au fost executate careva lucrări</w:t>
      </w:r>
      <w:r w:rsidRPr="009E5B39">
        <w:rPr>
          <w:rFonts w:asciiTheme="majorHAnsi" w:hAnsiTheme="majorHAnsi" w:cstheme="majorHAnsi"/>
          <w:sz w:val="24"/>
          <w:szCs w:val="24"/>
          <w:lang w:val="ro-MD"/>
        </w:rPr>
        <w:t xml:space="preserve">. </w:t>
      </w:r>
      <w:r w:rsidR="005C564A" w:rsidRPr="009E5B39">
        <w:rPr>
          <w:rFonts w:asciiTheme="majorHAnsi" w:hAnsiTheme="majorHAnsi" w:cstheme="majorHAnsi"/>
          <w:sz w:val="24"/>
          <w:szCs w:val="24"/>
          <w:lang w:val="ro-MD"/>
        </w:rPr>
        <w:t>Astfel,</w:t>
      </w:r>
    </w:p>
    <w:p w14:paraId="1A129B40" w14:textId="089913CD" w:rsidR="004762C3" w:rsidRPr="009E5B39" w:rsidRDefault="00E35985" w:rsidP="004762C3">
      <w:pPr>
        <w:pStyle w:val="ListParagraph"/>
        <w:numPr>
          <w:ilvl w:val="0"/>
          <w:numId w:val="4"/>
        </w:numPr>
        <w:tabs>
          <w:tab w:val="left" w:pos="993"/>
        </w:tabs>
        <w:spacing w:after="0"/>
        <w:ind w:left="0"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Analiza proceselor</w:t>
      </w:r>
      <w:r w:rsidR="005C564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verbale lunare privind serviciile pentru întreținerea și reparația curentă a sistemului electronic de dirijare a circulației rutiere (semafoare) în mun. Chișinău, prestat</w:t>
      </w:r>
      <w:r w:rsidR="00956929"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de către ÎM REI </w:t>
      </w:r>
      <w:r w:rsidR="0095692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Lumteh</w:t>
      </w:r>
      <w:r w:rsidR="0095692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anul 2020, denotă că lunar au fost deservite unele și aceleași obiective de semafoare (numărul atribuit și adresa amplasării), </w:t>
      </w:r>
      <w:r w:rsidR="00956929"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l căror </w:t>
      </w:r>
      <w:r w:rsidR="00956929" w:rsidRPr="009E5B39">
        <w:rPr>
          <w:rFonts w:asciiTheme="majorHAnsi" w:hAnsiTheme="majorHAnsi" w:cstheme="majorHAnsi"/>
          <w:sz w:val="24"/>
          <w:szCs w:val="24"/>
          <w:lang w:val="ro-MD"/>
        </w:rPr>
        <w:t xml:space="preserve">număr </w:t>
      </w:r>
      <w:r w:rsidRPr="009E5B39">
        <w:rPr>
          <w:rFonts w:asciiTheme="majorHAnsi" w:hAnsiTheme="majorHAnsi" w:cstheme="majorHAnsi"/>
          <w:sz w:val="24"/>
          <w:szCs w:val="24"/>
          <w:lang w:val="ro-MD"/>
        </w:rPr>
        <w:t xml:space="preserve">a variat între 99 și 109 unități de obiective de semafoare, din 182 existente, fiind suportate cheltuieli în sumă totală de </w:t>
      </w:r>
      <w:r w:rsidRPr="009E5B39">
        <w:rPr>
          <w:rFonts w:asciiTheme="majorHAnsi" w:hAnsiTheme="majorHAnsi" w:cstheme="majorHAnsi"/>
          <w:b/>
          <w:i/>
          <w:sz w:val="24"/>
          <w:szCs w:val="24"/>
          <w:lang w:val="ro-MD"/>
        </w:rPr>
        <w:t>5</w:t>
      </w:r>
      <w:r w:rsidR="003E2996"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0 mi</w:t>
      </w:r>
      <w:r w:rsidR="003E2996" w:rsidRPr="009E5B39">
        <w:rPr>
          <w:rFonts w:asciiTheme="majorHAnsi" w:hAnsiTheme="majorHAnsi" w:cstheme="majorHAnsi"/>
          <w:b/>
          <w:i/>
          <w:sz w:val="24"/>
          <w:szCs w:val="24"/>
          <w:lang w:val="ro-MD"/>
        </w:rPr>
        <w:t>l</w:t>
      </w:r>
      <w:r w:rsidR="00956929"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 xml:space="preserve"> lei</w:t>
      </w:r>
      <w:r w:rsidRPr="009E5B39">
        <w:rPr>
          <w:rFonts w:asciiTheme="majorHAnsi" w:hAnsiTheme="majorHAnsi" w:cstheme="majorHAnsi"/>
          <w:sz w:val="24"/>
          <w:szCs w:val="24"/>
          <w:lang w:val="ro-MD"/>
        </w:rPr>
        <w:t xml:space="preserve">. Prin urmare, există riscul </w:t>
      </w:r>
      <w:r w:rsidR="00956929"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nedeservir</w:t>
      </w:r>
      <w:r w:rsidR="00956929"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a circa 73 de semafoare anual</w:t>
      </w:r>
      <w:r w:rsidR="0095692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sau </w:t>
      </w:r>
      <w:r w:rsidR="00956929"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deservir</w:t>
      </w:r>
      <w:r w:rsidR="00956929" w:rsidRPr="009E5B39">
        <w:rPr>
          <w:rFonts w:asciiTheme="majorHAnsi" w:hAnsiTheme="majorHAnsi" w:cstheme="majorHAnsi"/>
          <w:sz w:val="24"/>
          <w:szCs w:val="24"/>
          <w:lang w:val="ro-MD"/>
        </w:rPr>
        <w:t>e a</w:t>
      </w:r>
      <w:r w:rsidRPr="009E5B39">
        <w:rPr>
          <w:rFonts w:asciiTheme="majorHAnsi" w:hAnsiTheme="majorHAnsi" w:cstheme="majorHAnsi"/>
          <w:sz w:val="24"/>
          <w:szCs w:val="24"/>
          <w:lang w:val="ro-MD"/>
        </w:rPr>
        <w:t xml:space="preserve"> acestora din contul cheltuielilor suportate și nedeclarate în darea de seamă. Astfel, auditul denotă un control insuficient, iar tariful aprobat cu 9 ani în urmă poate fi</w:t>
      </w:r>
      <w:r w:rsidRPr="009E5B39">
        <w:rPr>
          <w:rFonts w:asciiTheme="majorHAnsi" w:hAnsiTheme="majorHAnsi" w:cstheme="majorHAnsi"/>
          <w:b/>
          <w:sz w:val="24"/>
          <w:szCs w:val="24"/>
          <w:lang w:val="ro-MD"/>
        </w:rPr>
        <w:t xml:space="preserve"> </w:t>
      </w:r>
      <w:r w:rsidRPr="009E5B39">
        <w:rPr>
          <w:rFonts w:asciiTheme="majorHAnsi" w:hAnsiTheme="majorHAnsi" w:cstheme="majorHAnsi"/>
          <w:bCs/>
          <w:sz w:val="24"/>
          <w:szCs w:val="24"/>
          <w:lang w:val="ro-MD"/>
        </w:rPr>
        <w:t>supraestimat</w:t>
      </w:r>
      <w:r w:rsidRPr="009E5B39">
        <w:rPr>
          <w:b/>
          <w:vertAlign w:val="superscript"/>
          <w:lang w:val="ro-MD"/>
        </w:rPr>
        <w:footnoteReference w:id="73"/>
      </w:r>
      <w:r w:rsidRPr="009E5B39">
        <w:rPr>
          <w:rFonts w:asciiTheme="majorHAnsi" w:hAnsiTheme="majorHAnsi" w:cstheme="majorHAnsi"/>
          <w:bCs/>
          <w:sz w:val="24"/>
          <w:szCs w:val="24"/>
          <w:lang w:val="ro-MD"/>
        </w:rPr>
        <w:t>. Totodată, CMC nu a asigurat aprobarea tarifului pentru întreținerea obiectivelor de semafoare de ultimă generație.</w:t>
      </w:r>
    </w:p>
    <w:p w14:paraId="38B92647" w14:textId="3111F3F4" w:rsidR="00E35985" w:rsidRPr="009E5B39" w:rsidRDefault="00E35985" w:rsidP="004762C3">
      <w:pPr>
        <w:pStyle w:val="ListParagraph"/>
        <w:numPr>
          <w:ilvl w:val="0"/>
          <w:numId w:val="4"/>
        </w:numPr>
        <w:tabs>
          <w:tab w:val="left" w:pos="993"/>
        </w:tabs>
        <w:spacing w:after="0"/>
        <w:ind w:left="0"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 În perioada </w:t>
      </w:r>
      <w:r w:rsidR="00956929" w:rsidRPr="009E5B39">
        <w:rPr>
          <w:rFonts w:asciiTheme="majorHAnsi" w:hAnsiTheme="majorHAnsi" w:cstheme="majorHAnsi"/>
          <w:sz w:val="24"/>
          <w:szCs w:val="24"/>
          <w:lang w:val="ro-MD"/>
        </w:rPr>
        <w:t xml:space="preserve">anilor </w:t>
      </w:r>
      <w:r w:rsidRPr="009E5B39">
        <w:rPr>
          <w:rFonts w:asciiTheme="majorHAnsi" w:hAnsiTheme="majorHAnsi" w:cstheme="majorHAnsi"/>
          <w:sz w:val="24"/>
          <w:szCs w:val="24"/>
          <w:lang w:val="ro-MD"/>
        </w:rPr>
        <w:t>2018-2020, angajații din cadrul DGTPCC, responsabili de recepționarea serviciilor de salubrizare a străzilor din mun. Chișinău</w:t>
      </w:r>
      <w:r w:rsidR="0095692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executate de către ÎM Regia </w:t>
      </w:r>
      <w:r w:rsidR="0095692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ExDrupo</w:t>
      </w:r>
      <w:r w:rsidR="0095692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au recepționat aceste lucrări fără a </w:t>
      </w:r>
      <w:r w:rsidR="00126E9A" w:rsidRPr="009E5B39">
        <w:rPr>
          <w:rFonts w:asciiTheme="majorHAnsi" w:hAnsiTheme="majorHAnsi" w:cstheme="majorHAnsi"/>
          <w:sz w:val="24"/>
          <w:szCs w:val="24"/>
          <w:lang w:val="ro-MD"/>
        </w:rPr>
        <w:t xml:space="preserve">fi indicate </w:t>
      </w:r>
      <w:r w:rsidRPr="009E5B39">
        <w:rPr>
          <w:rFonts w:asciiTheme="majorHAnsi" w:hAnsiTheme="majorHAnsi" w:cstheme="majorHAnsi"/>
          <w:sz w:val="24"/>
          <w:szCs w:val="24"/>
          <w:lang w:val="ro-MD"/>
        </w:rPr>
        <w:t>informațiile cu privire la locul</w:t>
      </w:r>
      <w:r w:rsidRPr="009E5B39">
        <w:rPr>
          <w:vertAlign w:val="superscript"/>
          <w:lang w:val="ro-MD"/>
        </w:rPr>
        <w:footnoteReference w:id="74"/>
      </w:r>
      <w:r w:rsidRPr="009E5B39">
        <w:rPr>
          <w:rFonts w:asciiTheme="majorHAnsi" w:hAnsiTheme="majorHAnsi" w:cstheme="majorHAnsi"/>
          <w:sz w:val="24"/>
          <w:szCs w:val="24"/>
          <w:lang w:val="ro-MD"/>
        </w:rPr>
        <w:t xml:space="preserve"> și suprafața salubrizată,  fiind suportate cheltuieli neargumentate în </w:t>
      </w:r>
      <w:r w:rsidR="00956929" w:rsidRPr="009E5B39">
        <w:rPr>
          <w:rFonts w:asciiTheme="majorHAnsi" w:hAnsiTheme="majorHAnsi" w:cstheme="majorHAnsi"/>
          <w:sz w:val="24"/>
          <w:szCs w:val="24"/>
          <w:lang w:val="ro-MD"/>
        </w:rPr>
        <w:t>sumă</w:t>
      </w:r>
      <w:r w:rsidRPr="009E5B39">
        <w:rPr>
          <w:rFonts w:asciiTheme="majorHAnsi" w:hAnsiTheme="majorHAnsi" w:cstheme="majorHAnsi"/>
          <w:sz w:val="24"/>
          <w:szCs w:val="24"/>
          <w:lang w:val="ro-MD"/>
        </w:rPr>
        <w:t xml:space="preserve"> de </w:t>
      </w:r>
      <w:r w:rsidRPr="009E5B39">
        <w:rPr>
          <w:rFonts w:asciiTheme="majorHAnsi" w:hAnsiTheme="majorHAnsi" w:cstheme="majorHAnsi"/>
          <w:b/>
          <w:sz w:val="24"/>
          <w:szCs w:val="24"/>
          <w:lang w:val="ro-MD"/>
        </w:rPr>
        <w:t>4</w:t>
      </w:r>
      <w:r w:rsidR="003E2996"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4</w:t>
      </w:r>
      <w:r w:rsidR="003E2996" w:rsidRPr="009E5B39">
        <w:rPr>
          <w:rFonts w:asciiTheme="majorHAnsi" w:hAnsiTheme="majorHAnsi" w:cstheme="majorHAnsi"/>
          <w:b/>
          <w:sz w:val="24"/>
          <w:szCs w:val="24"/>
          <w:lang w:val="ro-MD"/>
        </w:rPr>
        <w:t>9</w:t>
      </w:r>
      <w:r w:rsidRPr="009E5B39">
        <w:rPr>
          <w:rFonts w:asciiTheme="majorHAnsi" w:hAnsiTheme="majorHAnsi" w:cstheme="majorHAnsi"/>
          <w:b/>
          <w:sz w:val="24"/>
          <w:szCs w:val="24"/>
          <w:lang w:val="ro-MD"/>
        </w:rPr>
        <w:t xml:space="preserve"> mi</w:t>
      </w:r>
      <w:r w:rsidR="003E2996" w:rsidRPr="009E5B39">
        <w:rPr>
          <w:rFonts w:asciiTheme="majorHAnsi" w:hAnsiTheme="majorHAnsi" w:cstheme="majorHAnsi"/>
          <w:b/>
          <w:sz w:val="24"/>
          <w:szCs w:val="24"/>
          <w:lang w:val="ro-MD"/>
        </w:rPr>
        <w:t>l</w:t>
      </w:r>
      <w:r w:rsidR="00956929"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b/>
          <w:vertAlign w:val="superscript"/>
          <w:lang w:val="ro-MD"/>
        </w:rPr>
        <w:footnoteReference w:id="75"/>
      </w:r>
      <w:r w:rsidRPr="009E5B39">
        <w:rPr>
          <w:rFonts w:asciiTheme="majorHAnsi" w:hAnsiTheme="majorHAnsi" w:cstheme="majorHAnsi"/>
          <w:b/>
          <w:sz w:val="24"/>
          <w:szCs w:val="24"/>
          <w:lang w:val="ro-MD"/>
        </w:rPr>
        <w:t xml:space="preserve">. </w:t>
      </w:r>
      <w:r w:rsidR="00956929" w:rsidRPr="009E5B39">
        <w:rPr>
          <w:rFonts w:asciiTheme="majorHAnsi" w:hAnsiTheme="majorHAnsi" w:cstheme="majorHAnsi"/>
          <w:sz w:val="24"/>
          <w:szCs w:val="24"/>
          <w:lang w:val="ro-MD"/>
        </w:rPr>
        <w:t>O s</w:t>
      </w:r>
      <w:r w:rsidRPr="009E5B39">
        <w:rPr>
          <w:rFonts w:asciiTheme="majorHAnsi" w:hAnsiTheme="majorHAnsi" w:cstheme="majorHAnsi"/>
          <w:sz w:val="24"/>
          <w:szCs w:val="24"/>
          <w:lang w:val="ro-MD"/>
        </w:rPr>
        <w:t>ituație similară se constată și la DGLCA, cheltuielile aferente serviciilor de salubrizare</w:t>
      </w:r>
      <w:r w:rsidR="0095692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prestate de ÎMSL-ri</w:t>
      </w:r>
      <w:r w:rsidR="0095692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numai în anul 2020 au constituit </w:t>
      </w:r>
      <w:r w:rsidRPr="009E5B39">
        <w:rPr>
          <w:rFonts w:asciiTheme="majorHAnsi" w:hAnsiTheme="majorHAnsi" w:cstheme="majorHAnsi"/>
          <w:b/>
          <w:sz w:val="24"/>
          <w:szCs w:val="24"/>
          <w:lang w:val="ro-MD"/>
        </w:rPr>
        <w:t>50</w:t>
      </w:r>
      <w:r w:rsidR="003E2996"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49 mi</w:t>
      </w:r>
      <w:r w:rsidR="003E2996" w:rsidRPr="009E5B39">
        <w:rPr>
          <w:rFonts w:asciiTheme="majorHAnsi" w:hAnsiTheme="majorHAnsi" w:cstheme="majorHAnsi"/>
          <w:b/>
          <w:sz w:val="24"/>
          <w:szCs w:val="24"/>
          <w:lang w:val="ro-MD"/>
        </w:rPr>
        <w:t>l</w:t>
      </w:r>
      <w:r w:rsidR="00956929"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p>
    <w:p w14:paraId="0D39F729" w14:textId="5963ED09" w:rsidR="00E35985" w:rsidRPr="009E5B39" w:rsidRDefault="00E35985" w:rsidP="00126E9A">
      <w:pPr>
        <w:numPr>
          <w:ilvl w:val="2"/>
          <w:numId w:val="97"/>
        </w:numPr>
        <w:tabs>
          <w:tab w:val="left" w:pos="0"/>
          <w:tab w:val="left" w:pos="993"/>
        </w:tabs>
        <w:spacing w:after="0" w:line="276" w:lineRule="auto"/>
        <w:ind w:left="0" w:firstLine="0"/>
        <w:contextualSpacing/>
        <w:jc w:val="both"/>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 xml:space="preserve">APL nu a elaborat și </w:t>
      </w:r>
      <w:r w:rsidR="00956929" w:rsidRPr="009E5B39">
        <w:rPr>
          <w:rFonts w:asciiTheme="majorHAnsi" w:hAnsiTheme="majorHAnsi" w:cstheme="majorHAnsi"/>
          <w:b/>
          <w:i/>
          <w:sz w:val="24"/>
          <w:szCs w:val="24"/>
          <w:lang w:val="ro-MD"/>
        </w:rPr>
        <w:t xml:space="preserve">nu a </w:t>
      </w:r>
      <w:r w:rsidRPr="009E5B39">
        <w:rPr>
          <w:rFonts w:asciiTheme="majorHAnsi" w:hAnsiTheme="majorHAnsi" w:cstheme="majorHAnsi"/>
          <w:b/>
          <w:i/>
          <w:sz w:val="24"/>
          <w:szCs w:val="24"/>
          <w:lang w:val="ro-MD"/>
        </w:rPr>
        <w:t>propus spre aprobare CMC reglementări ce țin de evaluarea, evidența și utilizarea/realizarea/casarea materialelor obținute în urma: demontării elementelor de construcție a infrastructurii tehnico</w:t>
      </w:r>
      <w:r w:rsidR="007765F4"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edilitare a drumurilor,</w:t>
      </w:r>
      <w:r w:rsidR="00B95582" w:rsidRPr="009E5B39">
        <w:rPr>
          <w:rFonts w:asciiTheme="majorHAnsi" w:hAnsiTheme="majorHAnsi" w:cstheme="majorHAnsi"/>
          <w:b/>
          <w:i/>
          <w:sz w:val="24"/>
          <w:szCs w:val="24"/>
          <w:lang w:val="ro-MD"/>
        </w:rPr>
        <w:t xml:space="preserve"> </w:t>
      </w:r>
      <w:r w:rsidRPr="009E5B39">
        <w:rPr>
          <w:rFonts w:asciiTheme="majorHAnsi" w:hAnsiTheme="majorHAnsi" w:cstheme="majorHAnsi"/>
          <w:b/>
          <w:i/>
          <w:sz w:val="24"/>
          <w:szCs w:val="24"/>
          <w:lang w:val="ro-MD"/>
        </w:rPr>
        <w:t>iluminat</w:t>
      </w:r>
      <w:r w:rsidR="00B95582" w:rsidRPr="009E5B39">
        <w:rPr>
          <w:rFonts w:asciiTheme="majorHAnsi" w:hAnsiTheme="majorHAnsi" w:cstheme="majorHAnsi"/>
          <w:b/>
          <w:i/>
          <w:sz w:val="24"/>
          <w:szCs w:val="24"/>
          <w:lang w:val="ro-MD"/>
        </w:rPr>
        <w:t>ului</w:t>
      </w:r>
      <w:r w:rsidRPr="009E5B39">
        <w:rPr>
          <w:rFonts w:asciiTheme="majorHAnsi" w:hAnsiTheme="majorHAnsi" w:cstheme="majorHAnsi"/>
          <w:b/>
          <w:i/>
          <w:sz w:val="24"/>
          <w:szCs w:val="24"/>
          <w:lang w:val="ro-MD"/>
        </w:rPr>
        <w:t xml:space="preserve"> stradal și a obiectivelor de semafoare; tăierii și defrișării arborilor și arbuștilor din spațiile verzi ale mun. Chișinău, creând riscul </w:t>
      </w:r>
      <w:r w:rsidR="007765F4" w:rsidRPr="009E5B39">
        <w:rPr>
          <w:rFonts w:asciiTheme="majorHAnsi" w:hAnsiTheme="majorHAnsi" w:cstheme="majorHAnsi"/>
          <w:b/>
          <w:i/>
          <w:sz w:val="24"/>
          <w:szCs w:val="24"/>
          <w:lang w:val="ro-MD"/>
        </w:rPr>
        <w:t xml:space="preserve">de </w:t>
      </w:r>
      <w:r w:rsidRPr="009E5B39">
        <w:rPr>
          <w:rFonts w:asciiTheme="majorHAnsi" w:hAnsiTheme="majorHAnsi" w:cstheme="majorHAnsi"/>
          <w:b/>
          <w:i/>
          <w:sz w:val="24"/>
          <w:szCs w:val="24"/>
          <w:lang w:val="ro-MD"/>
        </w:rPr>
        <w:t>utiliz</w:t>
      </w:r>
      <w:r w:rsidR="007765F4" w:rsidRPr="009E5B39">
        <w:rPr>
          <w:rFonts w:asciiTheme="majorHAnsi" w:hAnsiTheme="majorHAnsi" w:cstheme="majorHAnsi"/>
          <w:b/>
          <w:i/>
          <w:sz w:val="24"/>
          <w:szCs w:val="24"/>
          <w:lang w:val="ro-MD"/>
        </w:rPr>
        <w:t>are a</w:t>
      </w:r>
      <w:r w:rsidRPr="009E5B39">
        <w:rPr>
          <w:rFonts w:asciiTheme="majorHAnsi" w:hAnsiTheme="majorHAnsi" w:cstheme="majorHAnsi"/>
          <w:b/>
          <w:i/>
          <w:sz w:val="24"/>
          <w:szCs w:val="24"/>
          <w:lang w:val="ro-MD"/>
        </w:rPr>
        <w:t xml:space="preserve"> acestora de către angajați pentru obținerea unor beneficii personale.</w:t>
      </w:r>
      <w:r w:rsidR="007765F4" w:rsidRPr="009E5B39">
        <w:rPr>
          <w:rFonts w:asciiTheme="majorHAnsi" w:hAnsiTheme="majorHAnsi" w:cstheme="majorHAnsi"/>
          <w:b/>
          <w:i/>
          <w:sz w:val="24"/>
          <w:szCs w:val="24"/>
          <w:lang w:val="ro-MD"/>
        </w:rPr>
        <w:t xml:space="preserve"> </w:t>
      </w:r>
      <w:r w:rsidR="007765F4" w:rsidRPr="009E5B39">
        <w:rPr>
          <w:rFonts w:asciiTheme="majorHAnsi" w:hAnsiTheme="majorHAnsi" w:cstheme="majorHAnsi"/>
          <w:i/>
          <w:sz w:val="24"/>
          <w:szCs w:val="24"/>
          <w:lang w:val="ro-MD"/>
        </w:rPr>
        <w:t>Astfel,</w:t>
      </w:r>
    </w:p>
    <w:p w14:paraId="3479CE55" w14:textId="18C89981" w:rsidR="00E35985" w:rsidRPr="009E5B39" w:rsidRDefault="00E35985" w:rsidP="00EF4BC3">
      <w:pPr>
        <w:pStyle w:val="ListParagraph"/>
        <w:numPr>
          <w:ilvl w:val="0"/>
          <w:numId w:val="4"/>
        </w:numPr>
        <w:tabs>
          <w:tab w:val="left" w:pos="0"/>
        </w:tabs>
        <w:spacing w:after="0" w:line="276" w:lineRule="auto"/>
        <w:ind w:left="0" w:firstLine="426"/>
        <w:jc w:val="both"/>
        <w:rPr>
          <w:rFonts w:asciiTheme="majorHAnsi" w:eastAsia="Calibri" w:hAnsiTheme="majorHAnsi" w:cstheme="majorHAnsi"/>
          <w:sz w:val="24"/>
          <w:szCs w:val="24"/>
          <w:lang w:val="ro-MD"/>
        </w:rPr>
      </w:pPr>
      <w:r w:rsidRPr="009E5B39">
        <w:rPr>
          <w:rFonts w:asciiTheme="majorHAnsi" w:eastAsia="Calibri" w:hAnsiTheme="majorHAnsi" w:cstheme="majorHAnsi"/>
          <w:sz w:val="24"/>
          <w:szCs w:val="24"/>
          <w:lang w:val="ro-MD"/>
        </w:rPr>
        <w:t>În urma executării lucrărilor de reparație a infrastructurii tehnico-edilitare (drumuri, sistemul de iluminat, obiective de semafoare etc.), se obțin unele materiale, care mai pot fi reutilizate (beton asfalt, piloni, bare, etc.)</w:t>
      </w:r>
      <w:r w:rsidR="00314675" w:rsidRPr="009E5B39">
        <w:rPr>
          <w:rFonts w:asciiTheme="majorHAnsi" w:eastAsia="Calibri" w:hAnsiTheme="majorHAnsi" w:cstheme="majorHAnsi"/>
          <w:sz w:val="24"/>
          <w:szCs w:val="24"/>
          <w:lang w:val="ro-MD"/>
        </w:rPr>
        <w:t>, î</w:t>
      </w:r>
      <w:r w:rsidRPr="009E5B39">
        <w:rPr>
          <w:rFonts w:asciiTheme="majorHAnsi" w:eastAsia="Calibri" w:hAnsiTheme="majorHAnsi" w:cstheme="majorHAnsi"/>
          <w:sz w:val="24"/>
          <w:szCs w:val="24"/>
          <w:lang w:val="ro-MD"/>
        </w:rPr>
        <w:t>nsă</w:t>
      </w:r>
      <w:r w:rsidR="00314675"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din cauza lipsei reglementărilor care ar stabili modalitatea de evaluare, contabilizare, utilizare, casare, etc., pentru aceste materiale nu este asigurată o evidență conformă, ceea </w:t>
      </w:r>
      <w:r w:rsidR="00314675" w:rsidRPr="009E5B39">
        <w:rPr>
          <w:rFonts w:asciiTheme="majorHAnsi" w:eastAsia="Calibri" w:hAnsiTheme="majorHAnsi" w:cstheme="majorHAnsi"/>
          <w:sz w:val="24"/>
          <w:szCs w:val="24"/>
          <w:lang w:val="ro-MD"/>
        </w:rPr>
        <w:t xml:space="preserve">ce </w:t>
      </w:r>
      <w:r w:rsidRPr="009E5B39">
        <w:rPr>
          <w:rFonts w:asciiTheme="majorHAnsi" w:eastAsia="Calibri" w:hAnsiTheme="majorHAnsi" w:cstheme="majorHAnsi"/>
          <w:sz w:val="24"/>
          <w:szCs w:val="24"/>
          <w:lang w:val="ro-MD"/>
        </w:rPr>
        <w:t>c</w:t>
      </w:r>
      <w:r w:rsidR="00314675" w:rsidRPr="009E5B39">
        <w:rPr>
          <w:rFonts w:asciiTheme="majorHAnsi" w:eastAsia="Calibri" w:hAnsiTheme="majorHAnsi" w:cstheme="majorHAnsi"/>
          <w:sz w:val="24"/>
          <w:szCs w:val="24"/>
          <w:lang w:val="ro-MD"/>
        </w:rPr>
        <w:t>ontra</w:t>
      </w:r>
      <w:r w:rsidRPr="009E5B39">
        <w:rPr>
          <w:rFonts w:asciiTheme="majorHAnsi" w:eastAsia="Calibri" w:hAnsiTheme="majorHAnsi" w:cstheme="majorHAnsi"/>
          <w:sz w:val="24"/>
          <w:szCs w:val="24"/>
          <w:lang w:val="ro-MD"/>
        </w:rPr>
        <w:t>vine prevederil</w:t>
      </w:r>
      <w:r w:rsidR="00314675" w:rsidRPr="009E5B39">
        <w:rPr>
          <w:rFonts w:asciiTheme="majorHAnsi" w:eastAsia="Calibri" w:hAnsiTheme="majorHAnsi" w:cstheme="majorHAnsi"/>
          <w:sz w:val="24"/>
          <w:szCs w:val="24"/>
          <w:lang w:val="ro-MD"/>
        </w:rPr>
        <w:t>or</w:t>
      </w:r>
      <w:r w:rsidRPr="009E5B39">
        <w:rPr>
          <w:rFonts w:asciiTheme="majorHAnsi" w:eastAsia="Calibri" w:hAnsiTheme="majorHAnsi" w:cstheme="majorHAnsi"/>
          <w:sz w:val="24"/>
          <w:szCs w:val="24"/>
          <w:lang w:val="ro-MD"/>
        </w:rPr>
        <w:t xml:space="preserve"> art.11 alin.(2) și alin.(3) din Legea nr.287/2017</w:t>
      </w:r>
      <w:r w:rsidRPr="009E5B39">
        <w:rPr>
          <w:vertAlign w:val="superscript"/>
          <w:lang w:val="ro-MD"/>
        </w:rPr>
        <w:footnoteReference w:id="76"/>
      </w:r>
      <w:r w:rsidRPr="009E5B39">
        <w:rPr>
          <w:rFonts w:asciiTheme="majorHAnsi" w:eastAsia="Calibri" w:hAnsiTheme="majorHAnsi" w:cstheme="majorHAnsi"/>
          <w:sz w:val="24"/>
          <w:szCs w:val="24"/>
          <w:lang w:val="ro-MD"/>
        </w:rPr>
        <w:t xml:space="preserve">  și ale  SNC</w:t>
      </w:r>
      <w:r w:rsidRPr="009E5B39">
        <w:rPr>
          <w:vertAlign w:val="superscript"/>
          <w:lang w:val="ro-MD"/>
        </w:rPr>
        <w:footnoteReference w:id="77"/>
      </w:r>
      <w:r w:rsidRPr="009E5B39">
        <w:rPr>
          <w:rFonts w:asciiTheme="majorHAnsi" w:eastAsia="Calibri" w:hAnsiTheme="majorHAnsi" w:cstheme="majorHAnsi"/>
          <w:sz w:val="24"/>
          <w:szCs w:val="24"/>
          <w:lang w:val="ro-MD"/>
        </w:rPr>
        <w:t>, aprobate prin Ordinul MF nr.118 din 06.08.2013. Materiale</w:t>
      </w:r>
      <w:r w:rsidR="00314675" w:rsidRPr="009E5B39">
        <w:rPr>
          <w:rFonts w:asciiTheme="majorHAnsi" w:eastAsia="Calibri" w:hAnsiTheme="majorHAnsi" w:cstheme="majorHAnsi"/>
          <w:sz w:val="24"/>
          <w:szCs w:val="24"/>
          <w:lang w:val="ro-MD"/>
        </w:rPr>
        <w:t>le</w:t>
      </w:r>
      <w:r w:rsidRPr="009E5B39">
        <w:rPr>
          <w:rFonts w:asciiTheme="majorHAnsi" w:eastAsia="Calibri" w:hAnsiTheme="majorHAnsi" w:cstheme="majorHAnsi"/>
          <w:sz w:val="24"/>
          <w:szCs w:val="24"/>
          <w:lang w:val="ro-MD"/>
        </w:rPr>
        <w:t xml:space="preserve"> obținute sunt depozitate și ulterior utilizate/transmise cu titlu gratuit etc.</w:t>
      </w:r>
      <w:r w:rsidR="00314675"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fără a fi evaluate și contabilizate.  Auditul a constatat o diferență semnificativă </w:t>
      </w:r>
      <w:r w:rsidR="00314675" w:rsidRPr="009E5B39">
        <w:rPr>
          <w:rFonts w:asciiTheme="majorHAnsi" w:eastAsia="Calibri" w:hAnsiTheme="majorHAnsi" w:cstheme="majorHAnsi"/>
          <w:sz w:val="24"/>
          <w:szCs w:val="24"/>
          <w:lang w:val="ro-MD"/>
        </w:rPr>
        <w:t>între</w:t>
      </w:r>
      <w:r w:rsidRPr="009E5B39">
        <w:rPr>
          <w:rFonts w:asciiTheme="majorHAnsi" w:eastAsia="Calibri" w:hAnsiTheme="majorHAnsi" w:cstheme="majorHAnsi"/>
          <w:sz w:val="24"/>
          <w:szCs w:val="24"/>
          <w:lang w:val="ro-MD"/>
        </w:rPr>
        <w:t xml:space="preserve"> cantit</w:t>
      </w:r>
      <w:r w:rsidR="00314675" w:rsidRPr="009E5B39">
        <w:rPr>
          <w:rFonts w:asciiTheme="majorHAnsi" w:eastAsia="Calibri" w:hAnsiTheme="majorHAnsi" w:cstheme="majorHAnsi"/>
          <w:sz w:val="24"/>
          <w:szCs w:val="24"/>
          <w:lang w:val="ro-MD"/>
        </w:rPr>
        <w:t>atea</w:t>
      </w:r>
      <w:r w:rsidRPr="009E5B39">
        <w:rPr>
          <w:rFonts w:asciiTheme="majorHAnsi" w:eastAsia="Calibri" w:hAnsiTheme="majorHAnsi" w:cstheme="majorHAnsi"/>
          <w:sz w:val="24"/>
          <w:szCs w:val="24"/>
          <w:lang w:val="ro-MD"/>
        </w:rPr>
        <w:t xml:space="preserve"> betonului asfaltic suprimat depozitat și </w:t>
      </w:r>
      <w:r w:rsidR="00314675" w:rsidRPr="009E5B39">
        <w:rPr>
          <w:rFonts w:asciiTheme="majorHAnsi" w:eastAsia="Calibri" w:hAnsiTheme="majorHAnsi" w:cstheme="majorHAnsi"/>
          <w:sz w:val="24"/>
          <w:szCs w:val="24"/>
          <w:lang w:val="ro-MD"/>
        </w:rPr>
        <w:t xml:space="preserve">a </w:t>
      </w:r>
      <w:r w:rsidRPr="009E5B39">
        <w:rPr>
          <w:rFonts w:asciiTheme="majorHAnsi" w:eastAsia="Calibri" w:hAnsiTheme="majorHAnsi" w:cstheme="majorHAnsi"/>
          <w:sz w:val="24"/>
          <w:szCs w:val="24"/>
          <w:lang w:val="ro-MD"/>
        </w:rPr>
        <w:t>cel</w:t>
      </w:r>
      <w:r w:rsidR="00314675" w:rsidRPr="009E5B39">
        <w:rPr>
          <w:rFonts w:asciiTheme="majorHAnsi" w:eastAsia="Calibri" w:hAnsiTheme="majorHAnsi" w:cstheme="majorHAnsi"/>
          <w:sz w:val="24"/>
          <w:szCs w:val="24"/>
          <w:lang w:val="ro-MD"/>
        </w:rPr>
        <w:t>ui</w:t>
      </w:r>
      <w:r w:rsidRPr="009E5B39">
        <w:rPr>
          <w:rFonts w:asciiTheme="majorHAnsi" w:eastAsia="Calibri" w:hAnsiTheme="majorHAnsi" w:cstheme="majorHAnsi"/>
          <w:sz w:val="24"/>
          <w:szCs w:val="24"/>
          <w:lang w:val="ro-MD"/>
        </w:rPr>
        <w:t xml:space="preserve"> frezat. Astfel, potrivit actelor emise în baza proceselor-verbale de executare a lucrărilor de reparație,  cantitatea asfaltului suprimat constituie 45.274,6 tone</w:t>
      </w:r>
      <w:r w:rsidRPr="009E5B39">
        <w:rPr>
          <w:vertAlign w:val="superscript"/>
          <w:lang w:val="ro-MD"/>
        </w:rPr>
        <w:footnoteReference w:id="78"/>
      </w:r>
      <w:r w:rsidRPr="009E5B39">
        <w:rPr>
          <w:rFonts w:asciiTheme="majorHAnsi" w:eastAsia="Calibri" w:hAnsiTheme="majorHAnsi" w:cstheme="majorHAnsi"/>
          <w:sz w:val="24"/>
          <w:szCs w:val="24"/>
          <w:lang w:val="ro-MD"/>
        </w:rPr>
        <w:t>, pe când efectiv depozitat</w:t>
      </w:r>
      <w:r w:rsidR="003E7DE5"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 xml:space="preserve"> de către ÎM Regia </w:t>
      </w:r>
      <w:r w:rsidR="00314675"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ExDrupo</w:t>
      </w:r>
      <w:r w:rsidR="00314675"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w:t>
      </w:r>
      <w:r w:rsidR="009546DA" w:rsidRPr="009E5B39">
        <w:rPr>
          <w:rFonts w:asciiTheme="majorHAnsi" w:eastAsia="Calibri" w:hAnsiTheme="majorHAnsi" w:cstheme="majorHAnsi"/>
          <w:sz w:val="24"/>
          <w:szCs w:val="24"/>
          <w:lang w:val="ro-MD"/>
        </w:rPr>
        <w:t xml:space="preserve">au fost </w:t>
      </w:r>
      <w:r w:rsidRPr="009E5B39">
        <w:rPr>
          <w:rFonts w:asciiTheme="majorHAnsi" w:eastAsia="Calibri" w:hAnsiTheme="majorHAnsi" w:cstheme="majorHAnsi"/>
          <w:sz w:val="24"/>
          <w:szCs w:val="24"/>
          <w:lang w:val="ro-MD"/>
        </w:rPr>
        <w:t>25.464,7 tone</w:t>
      </w:r>
      <w:r w:rsidRPr="009E5B39">
        <w:rPr>
          <w:vertAlign w:val="superscript"/>
          <w:lang w:val="ro-MD"/>
        </w:rPr>
        <w:footnoteReference w:id="79"/>
      </w:r>
      <w:r w:rsidRPr="009E5B39">
        <w:rPr>
          <w:rFonts w:asciiTheme="majorHAnsi" w:eastAsia="Calibri" w:hAnsiTheme="majorHAnsi" w:cstheme="majorHAnsi"/>
          <w:sz w:val="24"/>
          <w:szCs w:val="24"/>
          <w:lang w:val="ro-MD"/>
        </w:rPr>
        <w:t xml:space="preserve">, </w:t>
      </w:r>
      <w:r w:rsidR="003E7DE5" w:rsidRPr="009E5B39">
        <w:rPr>
          <w:rFonts w:asciiTheme="majorHAnsi" w:eastAsia="Calibri" w:hAnsiTheme="majorHAnsi" w:cstheme="majorHAnsi"/>
          <w:sz w:val="24"/>
          <w:szCs w:val="24"/>
          <w:lang w:val="ro-MD"/>
        </w:rPr>
        <w:t>sau</w:t>
      </w:r>
      <w:r w:rsidRPr="009E5B39">
        <w:rPr>
          <w:rFonts w:asciiTheme="majorHAnsi" w:eastAsia="Calibri" w:hAnsiTheme="majorHAnsi" w:cstheme="majorHAnsi"/>
          <w:sz w:val="24"/>
          <w:szCs w:val="24"/>
          <w:lang w:val="ro-MD"/>
        </w:rPr>
        <w:t xml:space="preserve"> cu 19.809,9 tone mai puțin.</w:t>
      </w:r>
    </w:p>
    <w:p w14:paraId="790127CD" w14:textId="6EC5913C" w:rsidR="004762C3" w:rsidRPr="009E5B39" w:rsidRDefault="00E35985" w:rsidP="004762C3">
      <w:pPr>
        <w:pStyle w:val="ListParagraph"/>
        <w:numPr>
          <w:ilvl w:val="0"/>
          <w:numId w:val="4"/>
        </w:numPr>
        <w:spacing w:after="0" w:line="276" w:lineRule="auto"/>
        <w:ind w:left="0"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Potrivit prevederilor cadrului normativ</w:t>
      </w:r>
      <w:r w:rsidRPr="009E5B39">
        <w:rPr>
          <w:vertAlign w:val="superscript"/>
          <w:lang w:val="ro-MD"/>
        </w:rPr>
        <w:footnoteReference w:id="80"/>
      </w:r>
      <w:r w:rsidRPr="009E5B39">
        <w:rPr>
          <w:rFonts w:asciiTheme="majorHAnsi" w:hAnsiTheme="majorHAnsi" w:cstheme="majorHAnsi"/>
          <w:sz w:val="24"/>
          <w:szCs w:val="24"/>
          <w:lang w:val="ro-MD"/>
        </w:rPr>
        <w:t xml:space="preserve">, </w:t>
      </w:r>
      <w:r w:rsidRPr="009E5B39">
        <w:rPr>
          <w:rFonts w:asciiTheme="majorHAnsi" w:hAnsiTheme="majorHAnsi" w:cstheme="majorHAnsi"/>
          <w:i/>
          <w:sz w:val="24"/>
          <w:szCs w:val="24"/>
          <w:lang w:val="ro-MD"/>
        </w:rPr>
        <w:t>parcurile, scuarurile, grădinile publice și alte spații verzi ale administrației publice locale și terenurile aferente acestora sunt bunurile domeniului public al UAT</w:t>
      </w:r>
      <w:r w:rsidRPr="009E5B39">
        <w:rPr>
          <w:rFonts w:asciiTheme="majorHAnsi" w:eastAsia="Times New Roman" w:hAnsiTheme="majorHAnsi" w:cstheme="majorHAnsi"/>
          <w:bCs/>
          <w:sz w:val="24"/>
          <w:szCs w:val="24"/>
          <w:lang w:val="ro-MD"/>
        </w:rPr>
        <w:t xml:space="preserve">; iar </w:t>
      </w:r>
      <w:r w:rsidRPr="009E5B39">
        <w:rPr>
          <w:rFonts w:asciiTheme="majorHAnsi" w:hAnsiTheme="majorHAnsi" w:cstheme="majorHAnsi"/>
          <w:sz w:val="24"/>
          <w:szCs w:val="24"/>
          <w:lang w:val="ro-MD"/>
        </w:rPr>
        <w:t xml:space="preserve">art.15 alin.(1) pct.4) lit. g) din Legea nr.136/2016 prevede că </w:t>
      </w:r>
      <w:r w:rsidR="003E7DE5" w:rsidRPr="009E5B39">
        <w:rPr>
          <w:rFonts w:asciiTheme="majorHAnsi" w:hAnsiTheme="majorHAnsi" w:cstheme="majorHAnsi"/>
          <w:sz w:val="24"/>
          <w:szCs w:val="24"/>
          <w:lang w:val="ro-MD"/>
        </w:rPr>
        <w:t>o</w:t>
      </w:r>
      <w:r w:rsidRPr="009E5B39">
        <w:rPr>
          <w:rFonts w:asciiTheme="majorHAnsi" w:hAnsiTheme="majorHAnsi" w:cstheme="majorHAnsi"/>
          <w:sz w:val="24"/>
          <w:szCs w:val="24"/>
          <w:lang w:val="ro-MD"/>
        </w:rPr>
        <w:t xml:space="preserve"> </w:t>
      </w:r>
      <w:r w:rsidRPr="009E5B39">
        <w:rPr>
          <w:rFonts w:asciiTheme="majorHAnsi" w:hAnsiTheme="majorHAnsi" w:cstheme="majorHAnsi"/>
          <w:i/>
          <w:sz w:val="24"/>
          <w:szCs w:val="24"/>
          <w:lang w:val="ro-MD"/>
        </w:rPr>
        <w:t xml:space="preserve">atribuție de bază a primarului general </w:t>
      </w:r>
      <w:r w:rsidR="003E7DE5" w:rsidRPr="009E5B39">
        <w:rPr>
          <w:rFonts w:asciiTheme="majorHAnsi" w:hAnsiTheme="majorHAnsi" w:cstheme="majorHAnsi"/>
          <w:i/>
          <w:sz w:val="24"/>
          <w:szCs w:val="24"/>
          <w:lang w:val="ro-MD"/>
        </w:rPr>
        <w:t>este</w:t>
      </w:r>
      <w:r w:rsidRPr="009E5B39">
        <w:rPr>
          <w:rFonts w:asciiTheme="majorHAnsi" w:hAnsiTheme="majorHAnsi" w:cstheme="majorHAnsi"/>
          <w:i/>
          <w:sz w:val="24"/>
          <w:szCs w:val="24"/>
          <w:lang w:val="ro-MD"/>
        </w:rPr>
        <w:t xml:space="preserve"> și de a dispune, în teritoriul orașului Chișinău, asupra tăierii, defrișării arborilor și arbuștilor din spațiile verzi proprietate publică a municipiului.</w:t>
      </w:r>
      <w:r w:rsidRPr="009E5B39">
        <w:rPr>
          <w:rFonts w:asciiTheme="majorHAnsi" w:hAnsiTheme="majorHAnsi" w:cstheme="majorHAnsi"/>
          <w:sz w:val="24"/>
          <w:szCs w:val="24"/>
          <w:lang w:val="ro-MD"/>
        </w:rPr>
        <w:t xml:space="preserve"> Astfel, materialele obținute în urma executării lucrărilor de defrișare, tăiere a arborilor și arbuștilor (în continuare – mas</w:t>
      </w:r>
      <w:r w:rsidR="003E7DE5"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lemnoasă) din parcurile/scuarurile/grădinile publice, care sunt achitate din bugetul municipal, constituie bunuri materiale ale APL, care urma să decidă asupra modalității de evidență/contabilizare/evaluare/repartizare/realizare (inclusiv a</w:t>
      </w:r>
      <w:r w:rsidR="003E7DE5" w:rsidRPr="009E5B39">
        <w:rPr>
          <w:rFonts w:asciiTheme="majorHAnsi" w:hAnsiTheme="majorHAnsi" w:cstheme="majorHAnsi"/>
          <w:sz w:val="24"/>
          <w:szCs w:val="24"/>
          <w:lang w:val="ro-MD"/>
        </w:rPr>
        <w:t>supra</w:t>
      </w:r>
      <w:r w:rsidRPr="009E5B39">
        <w:rPr>
          <w:rFonts w:asciiTheme="majorHAnsi" w:hAnsiTheme="majorHAnsi" w:cstheme="majorHAnsi"/>
          <w:sz w:val="24"/>
          <w:szCs w:val="24"/>
          <w:lang w:val="ro-MD"/>
        </w:rPr>
        <w:t xml:space="preserve"> prețului per m</w:t>
      </w:r>
      <w:r w:rsidRPr="009E5B39">
        <w:rPr>
          <w:rFonts w:asciiTheme="majorHAnsi" w:hAnsiTheme="majorHAnsi" w:cstheme="majorHAnsi"/>
          <w:sz w:val="24"/>
          <w:szCs w:val="24"/>
          <w:vertAlign w:val="superscript"/>
          <w:lang w:val="ro-MD"/>
        </w:rPr>
        <w:t>3</w:t>
      </w:r>
      <w:r w:rsidRPr="009E5B39">
        <w:rPr>
          <w:rFonts w:asciiTheme="majorHAnsi" w:hAnsiTheme="majorHAnsi" w:cstheme="majorHAnsi"/>
          <w:sz w:val="24"/>
          <w:szCs w:val="24"/>
          <w:lang w:val="ro-MD"/>
        </w:rPr>
        <w:t>, tip</w:t>
      </w:r>
      <w:r w:rsidR="003E7DE5" w:rsidRPr="009E5B39">
        <w:rPr>
          <w:rFonts w:asciiTheme="majorHAnsi" w:hAnsiTheme="majorHAnsi" w:cstheme="majorHAnsi"/>
          <w:sz w:val="24"/>
          <w:szCs w:val="24"/>
          <w:lang w:val="ro-MD"/>
        </w:rPr>
        <w:t>ului</w:t>
      </w:r>
      <w:r w:rsidRPr="009E5B39">
        <w:rPr>
          <w:rFonts w:asciiTheme="majorHAnsi" w:hAnsiTheme="majorHAnsi" w:cstheme="majorHAnsi"/>
          <w:sz w:val="24"/>
          <w:szCs w:val="24"/>
          <w:lang w:val="ro-MD"/>
        </w:rPr>
        <w:t xml:space="preserve"> de masă lemnoasă pentru realizare). Probele de audit denotă că ÎM AGSV a stabilit  de</w:t>
      </w:r>
      <w:r w:rsidR="00356C45"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sine</w:t>
      </w:r>
      <w:r w:rsidR="00356C45"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stătător, în baza </w:t>
      </w:r>
      <w:r w:rsidR="00356C45" w:rsidRPr="009E5B39">
        <w:rPr>
          <w:rFonts w:asciiTheme="majorHAnsi" w:hAnsiTheme="majorHAnsi" w:cstheme="majorHAnsi"/>
          <w:sz w:val="24"/>
          <w:szCs w:val="24"/>
          <w:lang w:val="ro-MD"/>
        </w:rPr>
        <w:t>O</w:t>
      </w:r>
      <w:r w:rsidRPr="009E5B39">
        <w:rPr>
          <w:rFonts w:asciiTheme="majorHAnsi" w:hAnsiTheme="majorHAnsi" w:cstheme="majorHAnsi"/>
          <w:sz w:val="24"/>
          <w:szCs w:val="24"/>
          <w:lang w:val="ro-MD"/>
        </w:rPr>
        <w:t>rdinului directorului ÎM nr.7/18 din 11.01.2018</w:t>
      </w:r>
      <w:r w:rsidR="00356C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prețul la masa lemnoasă obținută în urma executării lucrărilor în spațiile verzi ale mun. Chișinău, în sumă fixă</w:t>
      </w:r>
      <w:r w:rsidRPr="009E5B39">
        <w:rPr>
          <w:vertAlign w:val="superscript"/>
          <w:lang w:val="ro-MD"/>
        </w:rPr>
        <w:footnoteReference w:id="81"/>
      </w:r>
      <w:r w:rsidRPr="009E5B39">
        <w:rPr>
          <w:rFonts w:asciiTheme="majorHAnsi" w:hAnsiTheme="majorHAnsi" w:cstheme="majorHAnsi"/>
          <w:sz w:val="24"/>
          <w:szCs w:val="24"/>
          <w:lang w:val="ro-MD"/>
        </w:rPr>
        <w:t>, fără a efectua calculul costului acestora, fiind menținut neschimbat până în prezent. Prețul de realizare stabilit de către ÎM AGSV la masa lemnoasă, în comparație cu prețurile minimale de realizare (fără TVA), pe tip de lemn de foc (specii tari/specii moi), stabilite de întreprinderile de stat din subordinea Agenției „Moldsilva”</w:t>
      </w:r>
      <w:r w:rsidRPr="009E5B39">
        <w:rPr>
          <w:vertAlign w:val="superscript"/>
          <w:lang w:val="ro-MD"/>
        </w:rPr>
        <w:footnoteReference w:id="82"/>
      </w:r>
      <w:r w:rsidRPr="009E5B39">
        <w:rPr>
          <w:rFonts w:asciiTheme="majorHAnsi" w:hAnsiTheme="majorHAnsi" w:cstheme="majorHAnsi"/>
          <w:sz w:val="24"/>
          <w:szCs w:val="24"/>
          <w:lang w:val="ro-MD"/>
        </w:rPr>
        <w:t xml:space="preserve">, </w:t>
      </w:r>
      <w:r w:rsidR="00463872" w:rsidRPr="009E5B39">
        <w:rPr>
          <w:rFonts w:asciiTheme="majorHAnsi" w:hAnsiTheme="majorHAnsi" w:cstheme="majorHAnsi"/>
          <w:sz w:val="24"/>
          <w:szCs w:val="24"/>
          <w:lang w:val="ro-MD"/>
        </w:rPr>
        <w:t>a fost</w:t>
      </w:r>
      <w:r w:rsidRPr="009E5B39">
        <w:rPr>
          <w:rFonts w:asciiTheme="majorHAnsi" w:hAnsiTheme="majorHAnsi" w:cstheme="majorHAnsi"/>
          <w:sz w:val="24"/>
          <w:szCs w:val="24"/>
          <w:lang w:val="ro-MD"/>
        </w:rPr>
        <w:t xml:space="preserve"> diminuat semnificativ. În anul 2020, în urma lucrărilor executate</w:t>
      </w:r>
      <w:r w:rsidR="00463872"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s-a obținut un volum de </w:t>
      </w:r>
      <w:r w:rsidRPr="009E5B39">
        <w:rPr>
          <w:rFonts w:asciiTheme="majorHAnsi" w:hAnsiTheme="majorHAnsi" w:cstheme="majorHAnsi"/>
          <w:b/>
          <w:sz w:val="24"/>
          <w:szCs w:val="24"/>
          <w:lang w:val="ro-MD"/>
        </w:rPr>
        <w:t>25.401,25 m</w:t>
      </w:r>
      <w:r w:rsidRPr="009E5B39">
        <w:rPr>
          <w:rFonts w:asciiTheme="majorHAnsi" w:hAnsiTheme="majorHAnsi" w:cstheme="majorHAnsi"/>
          <w:b/>
          <w:sz w:val="24"/>
          <w:szCs w:val="24"/>
          <w:vertAlign w:val="superscript"/>
          <w:lang w:val="ro-MD"/>
        </w:rPr>
        <w:t>3</w:t>
      </w:r>
      <w:r w:rsidRPr="009E5B39">
        <w:rPr>
          <w:rFonts w:asciiTheme="majorHAnsi" w:hAnsiTheme="majorHAnsi" w:cstheme="majorHAnsi"/>
          <w:sz w:val="24"/>
          <w:szCs w:val="24"/>
          <w:lang w:val="ro-MD"/>
        </w:rPr>
        <w:t xml:space="preserve"> </w:t>
      </w:r>
      <w:r w:rsidR="00463872"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 xml:space="preserve">masă lemnoasă, fiind înregistrat în evidența contabilă în valoare de </w:t>
      </w:r>
      <w:r w:rsidR="003E2996" w:rsidRPr="009E5B39">
        <w:rPr>
          <w:rFonts w:asciiTheme="majorHAnsi" w:hAnsiTheme="majorHAnsi" w:cstheme="majorHAnsi"/>
          <w:b/>
          <w:sz w:val="24"/>
          <w:szCs w:val="24"/>
          <w:lang w:val="ro-MD"/>
        </w:rPr>
        <w:t>0,</w:t>
      </w:r>
      <w:r w:rsidRPr="009E5B39">
        <w:rPr>
          <w:rFonts w:asciiTheme="majorHAnsi" w:hAnsiTheme="majorHAnsi" w:cstheme="majorHAnsi"/>
          <w:b/>
          <w:sz w:val="24"/>
          <w:szCs w:val="24"/>
          <w:lang w:val="ro-MD"/>
        </w:rPr>
        <w:t>97 mi</w:t>
      </w:r>
      <w:r w:rsidR="003E2996" w:rsidRPr="009E5B39">
        <w:rPr>
          <w:rFonts w:asciiTheme="majorHAnsi" w:hAnsiTheme="majorHAnsi" w:cstheme="majorHAnsi"/>
          <w:b/>
          <w:sz w:val="24"/>
          <w:szCs w:val="24"/>
          <w:lang w:val="ro-MD"/>
        </w:rPr>
        <w:t>l</w:t>
      </w:r>
      <w:r w:rsidR="00463872"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b/>
          <w:vertAlign w:val="superscript"/>
          <w:lang w:val="ro-MD"/>
        </w:rPr>
        <w:footnoteReference w:id="83"/>
      </w:r>
      <w:r w:rsidRPr="009E5B39">
        <w:rPr>
          <w:rFonts w:asciiTheme="majorHAnsi" w:hAnsiTheme="majorHAnsi" w:cstheme="majorHAnsi"/>
          <w:sz w:val="24"/>
          <w:szCs w:val="24"/>
          <w:lang w:val="ro-MD"/>
        </w:rPr>
        <w:t xml:space="preserve">. </w:t>
      </w:r>
    </w:p>
    <w:p w14:paraId="0E62EF35" w14:textId="7030586F" w:rsidR="00E35985" w:rsidRPr="009E5B39" w:rsidRDefault="00E35985" w:rsidP="004762C3">
      <w:pPr>
        <w:pStyle w:val="ListParagraph"/>
        <w:numPr>
          <w:ilvl w:val="0"/>
          <w:numId w:val="4"/>
        </w:numPr>
        <w:spacing w:after="0" w:line="276" w:lineRule="auto"/>
        <w:ind w:left="0"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În lipsa unor reglementări interne/externe, conducerea ÎM AGSV</w:t>
      </w:r>
      <w:r w:rsidR="008329EB"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 comun acord cu reprezentantul </w:t>
      </w:r>
      <w:r w:rsidR="008329EB" w:rsidRPr="009E5B39">
        <w:rPr>
          <w:rFonts w:asciiTheme="majorHAnsi" w:hAnsiTheme="majorHAnsi" w:cstheme="majorHAnsi"/>
          <w:sz w:val="24"/>
          <w:szCs w:val="24"/>
          <w:lang w:val="ro-MD"/>
        </w:rPr>
        <w:t>C</w:t>
      </w:r>
      <w:r w:rsidRPr="009E5B39">
        <w:rPr>
          <w:rFonts w:asciiTheme="majorHAnsi" w:hAnsiTheme="majorHAnsi" w:cstheme="majorHAnsi"/>
          <w:sz w:val="24"/>
          <w:szCs w:val="24"/>
          <w:lang w:val="ro-MD"/>
        </w:rPr>
        <w:t>omitetului sindical, au decis eliberarea, pentru angajații ÎM AGSV</w:t>
      </w:r>
      <w:r w:rsidR="008329EB" w:rsidRPr="009E5B39">
        <w:rPr>
          <w:rFonts w:asciiTheme="majorHAnsi" w:hAnsiTheme="majorHAnsi" w:cstheme="majorHAnsi"/>
          <w:sz w:val="24"/>
          <w:szCs w:val="24"/>
          <w:lang w:val="ro-MD"/>
        </w:rPr>
        <w:t>, de</w:t>
      </w:r>
      <w:r w:rsidRPr="009E5B39">
        <w:rPr>
          <w:rFonts w:asciiTheme="majorHAnsi" w:hAnsiTheme="majorHAnsi" w:cstheme="majorHAnsi"/>
          <w:sz w:val="24"/>
          <w:szCs w:val="24"/>
          <w:lang w:val="ro-MD"/>
        </w:rPr>
        <w:t xml:space="preserve"> masă lemnoasă în volum de nu mai mult de 15 m</w:t>
      </w:r>
      <w:r w:rsidRPr="009E5B39">
        <w:rPr>
          <w:rFonts w:asciiTheme="majorHAnsi" w:hAnsiTheme="majorHAnsi" w:cstheme="majorHAnsi"/>
          <w:sz w:val="24"/>
          <w:szCs w:val="24"/>
          <w:vertAlign w:val="superscript"/>
          <w:lang w:val="ro-MD"/>
        </w:rPr>
        <w:t>3</w:t>
      </w:r>
      <w:r w:rsidRPr="009E5B39">
        <w:rPr>
          <w:rFonts w:asciiTheme="majorHAnsi" w:hAnsiTheme="majorHAnsi" w:cstheme="majorHAnsi"/>
          <w:sz w:val="24"/>
          <w:szCs w:val="24"/>
          <w:lang w:val="ro-MD"/>
        </w:rPr>
        <w:t xml:space="preserve"> pe an</w:t>
      </w:r>
      <w:r w:rsidR="008329EB"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la prețul de bilanț al acesteia. Din volumul total de masă lemnoasă de 4.541,75 m</w:t>
      </w:r>
      <w:r w:rsidRPr="009E5B39">
        <w:rPr>
          <w:rFonts w:asciiTheme="majorHAnsi" w:hAnsiTheme="majorHAnsi" w:cstheme="majorHAnsi"/>
          <w:sz w:val="24"/>
          <w:szCs w:val="24"/>
          <w:vertAlign w:val="superscript"/>
          <w:lang w:val="ro-MD"/>
        </w:rPr>
        <w:t>3</w:t>
      </w:r>
      <w:r w:rsidRPr="009E5B39">
        <w:rPr>
          <w:rFonts w:asciiTheme="majorHAnsi" w:hAnsiTheme="majorHAnsi" w:cstheme="majorHAnsi"/>
          <w:sz w:val="24"/>
          <w:szCs w:val="24"/>
          <w:lang w:val="ro-MD"/>
        </w:rPr>
        <w:t>, realizată în anul 2020, volumul eliberat angajaților ÎM a constituit 2,836,1 m</w:t>
      </w:r>
      <w:r w:rsidRPr="009E5B39">
        <w:rPr>
          <w:rFonts w:asciiTheme="majorHAnsi" w:hAnsiTheme="majorHAnsi" w:cstheme="majorHAnsi"/>
          <w:sz w:val="24"/>
          <w:szCs w:val="24"/>
          <w:vertAlign w:val="superscript"/>
          <w:lang w:val="ro-MD"/>
        </w:rPr>
        <w:t>3</w:t>
      </w:r>
      <w:r w:rsidR="008329EB"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sau 62,4%. </w:t>
      </w:r>
      <w:r w:rsidR="00ED0CF5" w:rsidRPr="009E5B39">
        <w:rPr>
          <w:rFonts w:asciiTheme="majorHAnsi" w:hAnsiTheme="majorHAnsi" w:cstheme="majorHAnsi"/>
          <w:b/>
          <w:sz w:val="24"/>
          <w:szCs w:val="24"/>
          <w:lang w:val="ro-MD"/>
        </w:rPr>
        <w:t>E</w:t>
      </w:r>
      <w:r w:rsidRPr="009E5B39">
        <w:rPr>
          <w:rFonts w:asciiTheme="majorHAnsi" w:hAnsiTheme="majorHAnsi" w:cstheme="majorHAnsi"/>
          <w:b/>
          <w:sz w:val="24"/>
          <w:szCs w:val="24"/>
          <w:lang w:val="ro-MD"/>
        </w:rPr>
        <w:t>liberarea a câte 15 m</w:t>
      </w:r>
      <w:r w:rsidRPr="009E5B39">
        <w:rPr>
          <w:rFonts w:asciiTheme="majorHAnsi" w:hAnsiTheme="majorHAnsi" w:cstheme="majorHAnsi"/>
          <w:b/>
          <w:sz w:val="24"/>
          <w:szCs w:val="24"/>
          <w:vertAlign w:val="superscript"/>
          <w:lang w:val="ro-MD"/>
        </w:rPr>
        <w:t>3</w:t>
      </w:r>
      <w:r w:rsidRPr="009E5B39">
        <w:rPr>
          <w:rFonts w:asciiTheme="majorHAnsi" w:hAnsiTheme="majorHAnsi" w:cstheme="majorHAnsi"/>
          <w:b/>
          <w:sz w:val="24"/>
          <w:szCs w:val="24"/>
          <w:lang w:val="ro-MD"/>
        </w:rPr>
        <w:t xml:space="preserve"> anual de masă lemnoasă per angajat nu este fundamentată din punct de vedere social-economic, pe motiv că familiilor social-vulnerabile, ale căror locuințe se încălzesc cu lemne, li se eliberează, în baza dispoziției primarului general, ajutor pentru sezonul rece, sub formă de lemne de foc în volum a câte 3m</w:t>
      </w:r>
      <w:r w:rsidRPr="009E5B39">
        <w:rPr>
          <w:rFonts w:asciiTheme="majorHAnsi" w:hAnsiTheme="majorHAnsi" w:cstheme="majorHAnsi"/>
          <w:b/>
          <w:sz w:val="24"/>
          <w:szCs w:val="24"/>
          <w:vertAlign w:val="superscript"/>
          <w:lang w:val="ro-MD"/>
        </w:rPr>
        <w:t>3</w:t>
      </w:r>
      <w:r w:rsidRPr="009E5B39">
        <w:rPr>
          <w:rFonts w:asciiTheme="majorHAnsi" w:hAnsiTheme="majorHAnsi" w:cstheme="majorHAnsi"/>
          <w:b/>
          <w:sz w:val="24"/>
          <w:szCs w:val="24"/>
          <w:lang w:val="ro-MD"/>
        </w:rPr>
        <w:t xml:space="preserve"> per familie.</w:t>
      </w:r>
    </w:p>
    <w:p w14:paraId="45BCA126" w14:textId="09BD8A1F" w:rsidR="004762C3" w:rsidRPr="009E5B39" w:rsidRDefault="00B95582" w:rsidP="005F174F">
      <w:pPr>
        <w:tabs>
          <w:tab w:val="left" w:pos="0"/>
        </w:tabs>
        <w:spacing w:after="0" w:line="276" w:lineRule="auto"/>
        <w:jc w:val="both"/>
        <w:rPr>
          <w:rFonts w:asciiTheme="majorHAnsi" w:hAnsiTheme="majorHAnsi"/>
          <w:sz w:val="24"/>
          <w:szCs w:val="24"/>
          <w:lang w:val="ro-MD"/>
        </w:rPr>
      </w:pPr>
      <w:r w:rsidRPr="009E5B39">
        <w:rPr>
          <w:rFonts w:asciiTheme="majorHAnsi" w:hAnsiTheme="majorHAnsi"/>
          <w:b/>
          <w:i/>
          <w:sz w:val="24"/>
          <w:szCs w:val="24"/>
          <w:lang w:val="ro-MD"/>
        </w:rPr>
        <w:t>4.2.8.</w:t>
      </w:r>
      <w:r w:rsidRPr="009E5B39">
        <w:rPr>
          <w:rFonts w:asciiTheme="majorHAnsi" w:hAnsiTheme="majorHAnsi"/>
          <w:sz w:val="24"/>
          <w:szCs w:val="24"/>
          <w:lang w:val="ro-MD"/>
        </w:rPr>
        <w:t xml:space="preserve">  </w:t>
      </w:r>
      <w:r w:rsidR="00E35985" w:rsidRPr="009E5B39">
        <w:rPr>
          <w:rFonts w:asciiTheme="majorHAnsi" w:hAnsiTheme="majorHAnsi"/>
          <w:b/>
          <w:i/>
          <w:sz w:val="24"/>
          <w:szCs w:val="24"/>
          <w:lang w:val="ro-MD"/>
        </w:rPr>
        <w:t>DGLCA nu dispune de reglementări interne cu privire la modalitatea de procurare, eliberare și</w:t>
      </w:r>
      <w:r w:rsidR="00E35985" w:rsidRPr="009E5B39">
        <w:rPr>
          <w:b/>
          <w:i/>
          <w:lang w:val="ro-MD"/>
        </w:rPr>
        <w:t xml:space="preserve"> </w:t>
      </w:r>
      <w:r w:rsidR="00E35985" w:rsidRPr="009E5B39">
        <w:rPr>
          <w:rFonts w:asciiTheme="majorHAnsi" w:hAnsiTheme="majorHAnsi"/>
          <w:b/>
          <w:i/>
          <w:sz w:val="24"/>
          <w:szCs w:val="24"/>
          <w:lang w:val="ro-MD"/>
        </w:rPr>
        <w:t xml:space="preserve">casare a materialelor transmise cu titlu gratuit ÎM fondate pentru prestarea serviciilor publice de către acestea, ceea ce creează riscul de fraudă ori </w:t>
      </w:r>
      <w:r w:rsidR="008329EB" w:rsidRPr="009E5B39">
        <w:rPr>
          <w:rFonts w:asciiTheme="majorHAnsi" w:hAnsiTheme="majorHAnsi"/>
          <w:b/>
          <w:i/>
          <w:sz w:val="24"/>
          <w:szCs w:val="24"/>
          <w:lang w:val="ro-MD"/>
        </w:rPr>
        <w:t xml:space="preserve">de </w:t>
      </w:r>
      <w:r w:rsidR="00E35985" w:rsidRPr="009E5B39">
        <w:rPr>
          <w:rFonts w:asciiTheme="majorHAnsi" w:hAnsiTheme="majorHAnsi"/>
          <w:b/>
          <w:i/>
          <w:sz w:val="24"/>
          <w:szCs w:val="24"/>
          <w:lang w:val="ro-MD"/>
        </w:rPr>
        <w:t>utilizare de către ÎM a materialelor primite cu titlu gratuit și în alte scopuri.</w:t>
      </w:r>
      <w:r w:rsidR="00E35985" w:rsidRPr="009E5B39">
        <w:rPr>
          <w:rFonts w:asciiTheme="majorHAnsi" w:hAnsiTheme="majorHAnsi"/>
          <w:sz w:val="24"/>
          <w:szCs w:val="24"/>
          <w:lang w:val="ro-MD"/>
        </w:rPr>
        <w:t xml:space="preserve"> De exemplu, în anul 2020, DGLCA a achiziționat carburanți în sumă totală de 4</w:t>
      </w:r>
      <w:r w:rsidR="003E2996" w:rsidRPr="009E5B39">
        <w:rPr>
          <w:rFonts w:asciiTheme="majorHAnsi" w:hAnsiTheme="majorHAnsi"/>
          <w:sz w:val="24"/>
          <w:szCs w:val="24"/>
          <w:lang w:val="ro-MD"/>
        </w:rPr>
        <w:t>,</w:t>
      </w:r>
      <w:r w:rsidR="00E35985" w:rsidRPr="009E5B39">
        <w:rPr>
          <w:rFonts w:asciiTheme="majorHAnsi" w:hAnsiTheme="majorHAnsi"/>
          <w:sz w:val="24"/>
          <w:szCs w:val="24"/>
          <w:lang w:val="ro-MD"/>
        </w:rPr>
        <w:t>74 mi</w:t>
      </w:r>
      <w:r w:rsidR="003E2996" w:rsidRPr="009E5B39">
        <w:rPr>
          <w:rFonts w:asciiTheme="majorHAnsi" w:hAnsiTheme="majorHAnsi"/>
          <w:sz w:val="24"/>
          <w:szCs w:val="24"/>
          <w:lang w:val="ro-MD"/>
        </w:rPr>
        <w:t>l</w:t>
      </w:r>
      <w:r w:rsidR="008329EB" w:rsidRPr="009E5B39">
        <w:rPr>
          <w:rFonts w:asciiTheme="majorHAnsi" w:hAnsiTheme="majorHAnsi"/>
          <w:sz w:val="24"/>
          <w:szCs w:val="24"/>
          <w:lang w:val="ro-MD"/>
        </w:rPr>
        <w:t>.</w:t>
      </w:r>
      <w:r w:rsidR="00E35985" w:rsidRPr="009E5B39">
        <w:rPr>
          <w:rFonts w:asciiTheme="majorHAnsi" w:hAnsiTheme="majorHAnsi"/>
          <w:sz w:val="24"/>
          <w:szCs w:val="24"/>
          <w:lang w:val="ro-MD"/>
        </w:rPr>
        <w:t xml:space="preserve"> lei</w:t>
      </w:r>
      <w:r w:rsidR="00E35985" w:rsidRPr="009E5B39">
        <w:rPr>
          <w:vertAlign w:val="superscript"/>
          <w:lang w:val="ro-MD"/>
        </w:rPr>
        <w:footnoteReference w:id="84"/>
      </w:r>
      <w:r w:rsidR="00E35985" w:rsidRPr="009E5B39">
        <w:rPr>
          <w:rFonts w:asciiTheme="majorHAnsi" w:hAnsiTheme="majorHAnsi"/>
          <w:sz w:val="24"/>
          <w:szCs w:val="24"/>
          <w:lang w:val="ro-MD"/>
        </w:rPr>
        <w:t>, care ulterior au fost transmiși cu titlu gratuit către ÎMSL din subordine. Casarea carburanților s-a efectuat în lipsa documentării/confirmării utilizării acestora, fiind întocmite numai dări de seamă lunare cu privire la mișcarea materialelor. ÎM nu includ în procesele</w:t>
      </w:r>
      <w:r w:rsidR="00462242" w:rsidRPr="009E5B39">
        <w:rPr>
          <w:rFonts w:asciiTheme="majorHAnsi" w:hAnsiTheme="majorHAnsi"/>
          <w:sz w:val="24"/>
          <w:szCs w:val="24"/>
          <w:lang w:val="ro-MD"/>
        </w:rPr>
        <w:t>-</w:t>
      </w:r>
      <w:r w:rsidR="00E35985" w:rsidRPr="009E5B39">
        <w:rPr>
          <w:rFonts w:asciiTheme="majorHAnsi" w:hAnsiTheme="majorHAnsi"/>
          <w:sz w:val="24"/>
          <w:szCs w:val="24"/>
          <w:lang w:val="ro-MD"/>
        </w:rPr>
        <w:t xml:space="preserve">verbale </w:t>
      </w:r>
      <w:r w:rsidR="00462242" w:rsidRPr="009E5B39">
        <w:rPr>
          <w:rFonts w:asciiTheme="majorHAnsi" w:hAnsiTheme="majorHAnsi"/>
          <w:sz w:val="24"/>
          <w:szCs w:val="24"/>
          <w:lang w:val="ro-MD"/>
        </w:rPr>
        <w:t xml:space="preserve">de executare a </w:t>
      </w:r>
      <w:r w:rsidR="00E35985" w:rsidRPr="009E5B39">
        <w:rPr>
          <w:rFonts w:asciiTheme="majorHAnsi" w:hAnsiTheme="majorHAnsi"/>
          <w:sz w:val="24"/>
          <w:szCs w:val="24"/>
          <w:lang w:val="ro-MD"/>
        </w:rPr>
        <w:t xml:space="preserve">lucrărilor cantitatea și valoarea materialelor primite cu titlu gratuit utilizate, ceea ce </w:t>
      </w:r>
      <w:r w:rsidR="00462242" w:rsidRPr="009E5B39">
        <w:rPr>
          <w:rFonts w:asciiTheme="majorHAnsi" w:hAnsiTheme="majorHAnsi"/>
          <w:sz w:val="24"/>
          <w:szCs w:val="24"/>
          <w:lang w:val="ro-MD"/>
        </w:rPr>
        <w:t>face im</w:t>
      </w:r>
      <w:r w:rsidR="00E35985" w:rsidRPr="009E5B39">
        <w:rPr>
          <w:rFonts w:asciiTheme="majorHAnsi" w:hAnsiTheme="majorHAnsi"/>
          <w:sz w:val="24"/>
          <w:szCs w:val="24"/>
          <w:lang w:val="ro-MD"/>
        </w:rPr>
        <w:t>posibil</w:t>
      </w:r>
      <w:r w:rsidR="00462242" w:rsidRPr="009E5B39">
        <w:rPr>
          <w:rFonts w:asciiTheme="majorHAnsi" w:hAnsiTheme="majorHAnsi"/>
          <w:sz w:val="24"/>
          <w:szCs w:val="24"/>
          <w:lang w:val="ro-MD"/>
        </w:rPr>
        <w:t>ă</w:t>
      </w:r>
      <w:r w:rsidR="00E35985" w:rsidRPr="009E5B39">
        <w:rPr>
          <w:rFonts w:asciiTheme="majorHAnsi" w:hAnsiTheme="majorHAnsi"/>
          <w:sz w:val="24"/>
          <w:szCs w:val="24"/>
          <w:lang w:val="ro-MD"/>
        </w:rPr>
        <w:t xml:space="preserve"> verifica</w:t>
      </w:r>
      <w:r w:rsidR="00462242" w:rsidRPr="009E5B39">
        <w:rPr>
          <w:rFonts w:asciiTheme="majorHAnsi" w:hAnsiTheme="majorHAnsi"/>
          <w:sz w:val="24"/>
          <w:szCs w:val="24"/>
          <w:lang w:val="ro-MD"/>
        </w:rPr>
        <w:t>rea</w:t>
      </w:r>
      <w:r w:rsidR="00E35985" w:rsidRPr="009E5B39">
        <w:rPr>
          <w:rFonts w:asciiTheme="majorHAnsi" w:hAnsiTheme="majorHAnsi"/>
          <w:sz w:val="24"/>
          <w:szCs w:val="24"/>
          <w:lang w:val="ro-MD"/>
        </w:rPr>
        <w:t xml:space="preserve"> respect</w:t>
      </w:r>
      <w:r w:rsidR="00462242" w:rsidRPr="009E5B39">
        <w:rPr>
          <w:rFonts w:asciiTheme="majorHAnsi" w:hAnsiTheme="majorHAnsi"/>
          <w:sz w:val="24"/>
          <w:szCs w:val="24"/>
          <w:lang w:val="ro-MD"/>
        </w:rPr>
        <w:t>ării</w:t>
      </w:r>
      <w:r w:rsidR="00E35985" w:rsidRPr="009E5B39">
        <w:rPr>
          <w:rFonts w:asciiTheme="majorHAnsi" w:hAnsiTheme="majorHAnsi"/>
          <w:sz w:val="24"/>
          <w:szCs w:val="24"/>
          <w:lang w:val="ro-MD"/>
        </w:rPr>
        <w:t xml:space="preserve"> normelor de consum aprobate.</w:t>
      </w:r>
    </w:p>
    <w:p w14:paraId="27CB01FF" w14:textId="47687B09" w:rsidR="00E35985" w:rsidRPr="009E5B39" w:rsidRDefault="00B95582" w:rsidP="00B95582">
      <w:pPr>
        <w:tabs>
          <w:tab w:val="left" w:pos="567"/>
        </w:tabs>
        <w:spacing w:after="0" w:line="276" w:lineRule="auto"/>
        <w:jc w:val="both"/>
        <w:rPr>
          <w:rFonts w:asciiTheme="majorHAnsi" w:hAnsiTheme="majorHAnsi" w:cstheme="majorHAnsi"/>
          <w:sz w:val="24"/>
          <w:szCs w:val="24"/>
          <w:lang w:val="ro-MD"/>
        </w:rPr>
      </w:pPr>
      <w:r w:rsidRPr="009E5B39">
        <w:rPr>
          <w:rFonts w:asciiTheme="majorHAnsi" w:hAnsiTheme="majorHAnsi"/>
          <w:b/>
          <w:i/>
          <w:sz w:val="24"/>
          <w:szCs w:val="24"/>
          <w:lang w:val="ro-MD" w:bidi="bo-CN"/>
        </w:rPr>
        <w:t>4.2.9.</w:t>
      </w:r>
      <w:r w:rsidRPr="009E5B39">
        <w:rPr>
          <w:rFonts w:asciiTheme="majorHAnsi" w:hAnsiTheme="majorHAnsi"/>
          <w:sz w:val="24"/>
          <w:szCs w:val="24"/>
          <w:lang w:val="ro-MD" w:bidi="bo-CN"/>
        </w:rPr>
        <w:t xml:space="preserve">  </w:t>
      </w:r>
      <w:r w:rsidR="00E35985" w:rsidRPr="009E5B39">
        <w:rPr>
          <w:rFonts w:asciiTheme="majorHAnsi" w:hAnsiTheme="majorHAnsi"/>
          <w:sz w:val="24"/>
          <w:szCs w:val="24"/>
          <w:lang w:val="ro-MD" w:bidi="bo-CN"/>
        </w:rPr>
        <w:t>În lipsa unor reglementări clare, care ar explica modalitatea de selectare a obiectivelor privatizate la care urmează a fi executate lucrări de reparație curentă/capitală/renovare, din sursele bugetului municipal; criteriile de selectare a beneficiarilor; cuantumul maximal al cheltuielilor suportate din bugetul municipal și calificarea conformă a cheltuielilor executate (reparații curente, reparații capitale, ajutor social, etc.), DGLCA contractează și achită servicii de reparație curentă și capital</w:t>
      </w:r>
      <w:r w:rsidR="00462242" w:rsidRPr="009E5B39">
        <w:rPr>
          <w:rFonts w:asciiTheme="majorHAnsi" w:hAnsiTheme="majorHAnsi"/>
          <w:sz w:val="24"/>
          <w:szCs w:val="24"/>
          <w:lang w:val="ro-MD" w:bidi="bo-CN"/>
        </w:rPr>
        <w:t>ă</w:t>
      </w:r>
      <w:r w:rsidR="00E35985" w:rsidRPr="009E5B39">
        <w:rPr>
          <w:rFonts w:asciiTheme="majorHAnsi" w:hAnsiTheme="majorHAnsi"/>
          <w:sz w:val="24"/>
          <w:szCs w:val="24"/>
          <w:lang w:val="ro-MD" w:bidi="bo-CN"/>
        </w:rPr>
        <w:t xml:space="preserve"> a bunurilor imobile, care nu constituie proprietate publică sau privată a UAT mun. Chișinău. Numai în anul 2020 aceste cheltuieli au constituit 2</w:t>
      </w:r>
      <w:r w:rsidR="003E2996" w:rsidRPr="009E5B39">
        <w:rPr>
          <w:rFonts w:asciiTheme="majorHAnsi" w:hAnsiTheme="majorHAnsi"/>
          <w:sz w:val="24"/>
          <w:szCs w:val="24"/>
          <w:lang w:val="ro-MD" w:bidi="bo-CN"/>
        </w:rPr>
        <w:t>,</w:t>
      </w:r>
      <w:r w:rsidR="00E35985" w:rsidRPr="009E5B39">
        <w:rPr>
          <w:rFonts w:asciiTheme="majorHAnsi" w:hAnsiTheme="majorHAnsi"/>
          <w:sz w:val="24"/>
          <w:szCs w:val="24"/>
          <w:lang w:val="ro-MD" w:bidi="bo-CN"/>
        </w:rPr>
        <w:t>29 mi</w:t>
      </w:r>
      <w:r w:rsidR="003E2996" w:rsidRPr="009E5B39">
        <w:rPr>
          <w:rFonts w:asciiTheme="majorHAnsi" w:hAnsiTheme="majorHAnsi"/>
          <w:sz w:val="24"/>
          <w:szCs w:val="24"/>
          <w:lang w:val="ro-MD" w:bidi="bo-CN"/>
        </w:rPr>
        <w:t>l</w:t>
      </w:r>
      <w:r w:rsidR="00462242" w:rsidRPr="009E5B39">
        <w:rPr>
          <w:rFonts w:asciiTheme="majorHAnsi" w:hAnsiTheme="majorHAnsi"/>
          <w:sz w:val="24"/>
          <w:szCs w:val="24"/>
          <w:lang w:val="ro-MD" w:bidi="bo-CN"/>
        </w:rPr>
        <w:t>.</w:t>
      </w:r>
      <w:r w:rsidR="00E35985" w:rsidRPr="009E5B39">
        <w:rPr>
          <w:rFonts w:asciiTheme="majorHAnsi" w:hAnsiTheme="majorHAnsi"/>
          <w:sz w:val="24"/>
          <w:szCs w:val="24"/>
          <w:lang w:val="ro-MD" w:bidi="bo-CN"/>
        </w:rPr>
        <w:t xml:space="preserve"> lei. La finisarea lucrărilor executate </w:t>
      </w:r>
      <w:r w:rsidR="00E35985" w:rsidRPr="009E5B39">
        <w:rPr>
          <w:rFonts w:asciiTheme="majorHAnsi" w:hAnsiTheme="majorHAnsi"/>
          <w:b/>
          <w:i/>
          <w:sz w:val="24"/>
          <w:szCs w:val="24"/>
          <w:lang w:val="ro-MD" w:bidi="bo-CN"/>
        </w:rPr>
        <w:t xml:space="preserve">nu </w:t>
      </w:r>
      <w:r w:rsidR="00E35985" w:rsidRPr="009E5B39">
        <w:rPr>
          <w:rFonts w:asciiTheme="majorHAnsi" w:eastAsia="Times New Roman" w:hAnsiTheme="majorHAnsi" w:cstheme="majorHAnsi"/>
          <w:b/>
          <w:i/>
          <w:sz w:val="24"/>
          <w:szCs w:val="24"/>
          <w:lang w:val="ro-MD" w:bidi="bo-CN"/>
        </w:rPr>
        <w:t>sunt întocmite acte de transmitere a lucrărilor executate beneficiarului (proprietarului apartamentului reparat, administratorului blocului de locuit, etc.), astfel necunosc</w:t>
      </w:r>
      <w:r w:rsidR="00462242" w:rsidRPr="009E5B39">
        <w:rPr>
          <w:rFonts w:asciiTheme="majorHAnsi" w:eastAsia="Times New Roman" w:hAnsiTheme="majorHAnsi" w:cstheme="majorHAnsi"/>
          <w:b/>
          <w:i/>
          <w:sz w:val="24"/>
          <w:szCs w:val="24"/>
          <w:lang w:val="ro-MD" w:bidi="bo-CN"/>
        </w:rPr>
        <w:t>ându-se</w:t>
      </w:r>
      <w:r w:rsidR="00E35985" w:rsidRPr="009E5B39">
        <w:rPr>
          <w:rFonts w:asciiTheme="majorHAnsi" w:eastAsia="Times New Roman" w:hAnsiTheme="majorHAnsi" w:cstheme="majorHAnsi"/>
          <w:b/>
          <w:i/>
          <w:sz w:val="24"/>
          <w:szCs w:val="24"/>
          <w:lang w:val="ro-MD" w:bidi="bo-CN"/>
        </w:rPr>
        <w:t xml:space="preserve"> cui i s-au prestat serviciile menționate și din ce categorie de beneficiari face parte (în cazul persoanelor defavorizate). Totodată, nu este clar care sunt obligațiunile ÎMGFL-urilor referitor la reparațiile în blocurile locative. Toate acestea creează riscul de utilizare neregulamentară a surselor din bugetul municipal. </w:t>
      </w:r>
      <w:r w:rsidR="00E35985" w:rsidRPr="009E5B39">
        <w:rPr>
          <w:rFonts w:asciiTheme="majorHAnsi" w:eastAsia="Times New Roman" w:hAnsiTheme="majorHAnsi" w:cstheme="majorHAnsi"/>
          <w:sz w:val="24"/>
          <w:szCs w:val="24"/>
          <w:lang w:val="ro-MD" w:bidi="bo-CN"/>
        </w:rPr>
        <w:t>Ca exemplu: în anul 2020 au fost contractate și achitate din bugetul municipal lucrări de renovare a unui apartament din str. M</w:t>
      </w:r>
      <w:r w:rsidR="004C5972" w:rsidRPr="009E5B39">
        <w:rPr>
          <w:rFonts w:asciiTheme="majorHAnsi" w:eastAsia="Times New Roman" w:hAnsiTheme="majorHAnsi" w:cstheme="majorHAnsi"/>
          <w:sz w:val="24"/>
          <w:szCs w:val="24"/>
          <w:lang w:val="ro-MD" w:bidi="bo-CN"/>
        </w:rPr>
        <w:t>iron</w:t>
      </w:r>
      <w:r w:rsidR="00E35985" w:rsidRPr="009E5B39">
        <w:rPr>
          <w:rFonts w:asciiTheme="majorHAnsi" w:eastAsia="Times New Roman" w:hAnsiTheme="majorHAnsi" w:cstheme="majorHAnsi"/>
          <w:sz w:val="24"/>
          <w:szCs w:val="24"/>
          <w:lang w:val="ro-MD" w:bidi="bo-CN"/>
        </w:rPr>
        <w:t xml:space="preserve"> Costin 19/4</w:t>
      </w:r>
      <w:r w:rsidR="00FF04BD" w:rsidRPr="009E5B39">
        <w:rPr>
          <w:rFonts w:asciiTheme="majorHAnsi" w:eastAsia="Times New Roman" w:hAnsiTheme="majorHAnsi" w:cstheme="majorHAnsi"/>
          <w:sz w:val="24"/>
          <w:szCs w:val="24"/>
          <w:lang w:val="ro-MD" w:bidi="bo-CN"/>
        </w:rPr>
        <w:t>,</w:t>
      </w:r>
      <w:r w:rsidR="00E35985" w:rsidRPr="009E5B39">
        <w:rPr>
          <w:rFonts w:asciiTheme="majorHAnsi" w:eastAsia="Times New Roman" w:hAnsiTheme="majorHAnsi" w:cstheme="majorHAnsi"/>
          <w:sz w:val="24"/>
          <w:szCs w:val="24"/>
          <w:lang w:val="ro-MD" w:bidi="bo-CN"/>
        </w:rPr>
        <w:t xml:space="preserve"> cu suprafața totală de 67,3 m</w:t>
      </w:r>
      <w:r w:rsidR="00E35985" w:rsidRPr="009E5B39">
        <w:rPr>
          <w:rFonts w:asciiTheme="majorHAnsi" w:eastAsia="Times New Roman" w:hAnsiTheme="majorHAnsi" w:cstheme="majorHAnsi"/>
          <w:sz w:val="24"/>
          <w:szCs w:val="24"/>
          <w:vertAlign w:val="superscript"/>
          <w:lang w:val="ro-MD" w:bidi="bo-CN"/>
        </w:rPr>
        <w:t>2</w:t>
      </w:r>
      <w:r w:rsidR="004C5972" w:rsidRPr="009E5B39">
        <w:rPr>
          <w:rFonts w:asciiTheme="majorHAnsi" w:eastAsia="Times New Roman" w:hAnsiTheme="majorHAnsi" w:cstheme="majorHAnsi"/>
          <w:sz w:val="24"/>
          <w:szCs w:val="24"/>
          <w:lang w:val="ro-MD" w:bidi="bo-CN"/>
        </w:rPr>
        <w:t xml:space="preserve">, </w:t>
      </w:r>
      <w:r w:rsidR="00E35985" w:rsidRPr="009E5B39">
        <w:rPr>
          <w:rFonts w:asciiTheme="majorHAnsi" w:eastAsia="Times New Roman" w:hAnsiTheme="majorHAnsi" w:cstheme="majorHAnsi"/>
          <w:sz w:val="24"/>
          <w:szCs w:val="24"/>
          <w:lang w:val="ro-MD" w:bidi="bo-CN"/>
        </w:rPr>
        <w:t xml:space="preserve">în valoare de </w:t>
      </w:r>
      <w:r w:rsidR="003E2996" w:rsidRPr="009E5B39">
        <w:rPr>
          <w:rFonts w:asciiTheme="majorHAnsi" w:eastAsia="Times New Roman" w:hAnsiTheme="majorHAnsi" w:cstheme="majorHAnsi"/>
          <w:sz w:val="24"/>
          <w:szCs w:val="24"/>
          <w:lang w:val="ro-MD" w:bidi="bo-CN"/>
        </w:rPr>
        <w:t>0,</w:t>
      </w:r>
      <w:r w:rsidR="00E35985" w:rsidRPr="009E5B39">
        <w:rPr>
          <w:rFonts w:asciiTheme="majorHAnsi" w:eastAsia="Times New Roman" w:hAnsiTheme="majorHAnsi" w:cstheme="majorHAnsi"/>
          <w:sz w:val="24"/>
          <w:szCs w:val="24"/>
          <w:lang w:val="ro-MD" w:bidi="bo-CN"/>
        </w:rPr>
        <w:t>22 mi</w:t>
      </w:r>
      <w:r w:rsidR="003E2996" w:rsidRPr="009E5B39">
        <w:rPr>
          <w:rFonts w:asciiTheme="majorHAnsi" w:eastAsia="Times New Roman" w:hAnsiTheme="majorHAnsi" w:cstheme="majorHAnsi"/>
          <w:sz w:val="24"/>
          <w:szCs w:val="24"/>
          <w:lang w:val="ro-MD" w:bidi="bo-CN"/>
        </w:rPr>
        <w:t>l</w:t>
      </w:r>
      <w:r w:rsidR="004C5972" w:rsidRPr="009E5B39">
        <w:rPr>
          <w:rFonts w:asciiTheme="majorHAnsi" w:eastAsia="Times New Roman" w:hAnsiTheme="majorHAnsi" w:cstheme="majorHAnsi"/>
          <w:sz w:val="24"/>
          <w:szCs w:val="24"/>
          <w:lang w:val="ro-MD" w:bidi="bo-CN"/>
        </w:rPr>
        <w:t>.</w:t>
      </w:r>
      <w:r w:rsidR="00E35985" w:rsidRPr="009E5B39">
        <w:rPr>
          <w:rFonts w:asciiTheme="majorHAnsi" w:eastAsia="Times New Roman" w:hAnsiTheme="majorHAnsi" w:cstheme="majorHAnsi"/>
          <w:sz w:val="24"/>
          <w:szCs w:val="24"/>
          <w:lang w:val="ro-MD" w:bidi="bo-CN"/>
        </w:rPr>
        <w:t xml:space="preserve"> lei. Potrivit înscrierilor din RBI</w:t>
      </w:r>
      <w:r w:rsidR="004C5972" w:rsidRPr="009E5B39">
        <w:rPr>
          <w:rFonts w:asciiTheme="majorHAnsi" w:eastAsia="Times New Roman" w:hAnsiTheme="majorHAnsi" w:cstheme="majorHAnsi"/>
          <w:sz w:val="24"/>
          <w:szCs w:val="24"/>
          <w:lang w:val="ro-MD" w:bidi="bo-CN"/>
        </w:rPr>
        <w:t>,</w:t>
      </w:r>
      <w:r w:rsidR="00E35985" w:rsidRPr="009E5B39">
        <w:rPr>
          <w:rFonts w:asciiTheme="majorHAnsi" w:eastAsia="Times New Roman" w:hAnsiTheme="majorHAnsi" w:cstheme="majorHAnsi"/>
          <w:sz w:val="24"/>
          <w:szCs w:val="24"/>
          <w:lang w:val="ro-MD" w:bidi="bo-CN"/>
        </w:rPr>
        <w:t xml:space="preserve"> înregistrarea dreptului de proprietate asupra acestuia nu a fost solicitată (înscriere din 02.02.2011), dar există interdicția executorului judecătoresc (din 09.02.2011) asupra acestuia. DGLCA nu a prezentat auditului informații/decizii privind cauza efectuării acestor cheltuieli, categoria persoanei defavorizate din care face parte și nici criteriile de selectare a beneficiarului</w:t>
      </w:r>
      <w:r w:rsidR="004C5972" w:rsidRPr="009E5B39">
        <w:rPr>
          <w:rFonts w:asciiTheme="majorHAnsi" w:eastAsia="Times New Roman" w:hAnsiTheme="majorHAnsi" w:cstheme="majorHAnsi"/>
          <w:sz w:val="24"/>
          <w:szCs w:val="24"/>
          <w:lang w:val="ro-MD" w:bidi="bo-CN"/>
        </w:rPr>
        <w:t>,</w:t>
      </w:r>
      <w:r w:rsidR="00E35985" w:rsidRPr="009E5B39">
        <w:rPr>
          <w:rFonts w:asciiTheme="majorHAnsi" w:eastAsia="Times New Roman" w:hAnsiTheme="majorHAnsi" w:cstheme="majorHAnsi"/>
          <w:sz w:val="24"/>
          <w:szCs w:val="24"/>
          <w:lang w:val="ro-MD" w:bidi="bo-CN"/>
        </w:rPr>
        <w:t xml:space="preserve"> de care s-a condus.   </w:t>
      </w:r>
    </w:p>
    <w:p w14:paraId="321864B6" w14:textId="0E44F5D1" w:rsidR="00E35985" w:rsidRPr="009E5B39" w:rsidRDefault="009B37B3" w:rsidP="009B37B3">
      <w:pPr>
        <w:tabs>
          <w:tab w:val="left" w:pos="567"/>
        </w:tabs>
        <w:spacing w:after="0" w:line="276" w:lineRule="auto"/>
        <w:contextualSpacing/>
        <w:jc w:val="both"/>
        <w:rPr>
          <w:rFonts w:asciiTheme="majorHAnsi" w:hAnsiTheme="majorHAnsi" w:cstheme="majorHAnsi"/>
          <w:b/>
          <w:sz w:val="24"/>
          <w:szCs w:val="24"/>
          <w:lang w:val="ro-MD"/>
        </w:rPr>
      </w:pPr>
      <w:r w:rsidRPr="009E5B39">
        <w:rPr>
          <w:rFonts w:asciiTheme="majorHAnsi" w:hAnsiTheme="majorHAnsi" w:cstheme="majorHAnsi"/>
          <w:b/>
          <w:i/>
          <w:sz w:val="24"/>
          <w:szCs w:val="24"/>
          <w:lang w:val="ro-MD"/>
        </w:rPr>
        <w:t>4.2.10.</w:t>
      </w:r>
      <w:r w:rsidRPr="009E5B39">
        <w:rPr>
          <w:rFonts w:asciiTheme="majorHAnsi" w:hAnsiTheme="majorHAnsi" w:cstheme="majorHAnsi"/>
          <w:sz w:val="24"/>
          <w:szCs w:val="24"/>
          <w:lang w:val="ro-MD"/>
        </w:rPr>
        <w:t xml:space="preserve"> </w:t>
      </w:r>
      <w:r w:rsidR="00E35985" w:rsidRPr="009E5B39">
        <w:rPr>
          <w:rFonts w:asciiTheme="majorHAnsi" w:hAnsiTheme="majorHAnsi" w:cstheme="majorHAnsi"/>
          <w:sz w:val="24"/>
          <w:szCs w:val="24"/>
          <w:lang w:val="ro-MD"/>
        </w:rPr>
        <w:t xml:space="preserve">În perioada </w:t>
      </w:r>
      <w:r w:rsidR="004C5972" w:rsidRPr="009E5B39">
        <w:rPr>
          <w:rFonts w:asciiTheme="majorHAnsi" w:hAnsiTheme="majorHAnsi" w:cstheme="majorHAnsi"/>
          <w:sz w:val="24"/>
          <w:szCs w:val="24"/>
          <w:lang w:val="ro-MD"/>
        </w:rPr>
        <w:t xml:space="preserve">anilor </w:t>
      </w:r>
      <w:r w:rsidR="00E35985" w:rsidRPr="009E5B39">
        <w:rPr>
          <w:rFonts w:asciiTheme="majorHAnsi" w:hAnsiTheme="majorHAnsi" w:cstheme="majorHAnsi"/>
          <w:sz w:val="24"/>
          <w:szCs w:val="24"/>
          <w:lang w:val="ro-MD"/>
        </w:rPr>
        <w:t xml:space="preserve">2018-2020, UAT </w:t>
      </w:r>
      <w:r w:rsidR="004C5972" w:rsidRPr="009E5B39">
        <w:rPr>
          <w:rFonts w:asciiTheme="majorHAnsi" w:hAnsiTheme="majorHAnsi" w:cstheme="majorHAnsi"/>
          <w:sz w:val="24"/>
          <w:szCs w:val="24"/>
          <w:lang w:val="ro-MD"/>
        </w:rPr>
        <w:t xml:space="preserve">mun. </w:t>
      </w:r>
      <w:r w:rsidR="00E35985" w:rsidRPr="009E5B39">
        <w:rPr>
          <w:rFonts w:asciiTheme="majorHAnsi" w:hAnsiTheme="majorHAnsi" w:cstheme="majorHAnsi"/>
          <w:sz w:val="24"/>
          <w:szCs w:val="24"/>
          <w:lang w:val="ro-MD"/>
        </w:rPr>
        <w:t xml:space="preserve">Chișinău a contractat de la băncile comerciale din țară împrumuturi bănești în sumă totală de </w:t>
      </w:r>
      <w:r w:rsidR="00E35985" w:rsidRPr="009E5B39">
        <w:rPr>
          <w:rFonts w:asciiTheme="majorHAnsi" w:hAnsiTheme="majorHAnsi" w:cstheme="majorHAnsi"/>
          <w:b/>
          <w:sz w:val="24"/>
          <w:szCs w:val="24"/>
          <w:lang w:val="ro-MD"/>
        </w:rPr>
        <w:t>417</w:t>
      </w:r>
      <w:r w:rsidR="003E2996" w:rsidRPr="009E5B39">
        <w:rPr>
          <w:rFonts w:asciiTheme="majorHAnsi" w:hAnsiTheme="majorHAnsi" w:cstheme="majorHAnsi"/>
          <w:b/>
          <w:sz w:val="24"/>
          <w:szCs w:val="24"/>
          <w:lang w:val="ro-MD"/>
        </w:rPr>
        <w:t>,</w:t>
      </w:r>
      <w:r w:rsidR="00E35985" w:rsidRPr="009E5B39">
        <w:rPr>
          <w:rFonts w:asciiTheme="majorHAnsi" w:hAnsiTheme="majorHAnsi" w:cstheme="majorHAnsi"/>
          <w:b/>
          <w:sz w:val="24"/>
          <w:szCs w:val="24"/>
          <w:lang w:val="ro-MD"/>
        </w:rPr>
        <w:t>73 mi</w:t>
      </w:r>
      <w:r w:rsidR="003E2996" w:rsidRPr="009E5B39">
        <w:rPr>
          <w:rFonts w:asciiTheme="majorHAnsi" w:hAnsiTheme="majorHAnsi" w:cstheme="majorHAnsi"/>
          <w:b/>
          <w:sz w:val="24"/>
          <w:szCs w:val="24"/>
          <w:lang w:val="ro-MD"/>
        </w:rPr>
        <w:t>l</w:t>
      </w:r>
      <w:r w:rsidR="004C5972" w:rsidRPr="009E5B39">
        <w:rPr>
          <w:rFonts w:asciiTheme="majorHAnsi" w:hAnsiTheme="majorHAnsi" w:cstheme="majorHAnsi"/>
          <w:b/>
          <w:sz w:val="24"/>
          <w:szCs w:val="24"/>
          <w:lang w:val="ro-MD"/>
        </w:rPr>
        <w:t>.</w:t>
      </w:r>
      <w:r w:rsidR="00E35985" w:rsidRPr="009E5B39">
        <w:rPr>
          <w:rFonts w:asciiTheme="majorHAnsi" w:hAnsiTheme="majorHAnsi" w:cstheme="majorHAnsi"/>
          <w:b/>
          <w:sz w:val="24"/>
          <w:szCs w:val="24"/>
          <w:lang w:val="ro-MD"/>
        </w:rPr>
        <w:t xml:space="preserve"> lei</w:t>
      </w:r>
      <w:r w:rsidR="00E35985" w:rsidRPr="009E5B39">
        <w:rPr>
          <w:rFonts w:asciiTheme="majorHAnsi" w:hAnsiTheme="majorHAnsi" w:cstheme="majorHAnsi"/>
          <w:sz w:val="24"/>
          <w:szCs w:val="24"/>
          <w:lang w:val="ro-MD"/>
        </w:rPr>
        <w:t xml:space="preserve">, din care: </w:t>
      </w:r>
      <w:r w:rsidR="00E35985" w:rsidRPr="009E5B39">
        <w:rPr>
          <w:rFonts w:asciiTheme="majorHAnsi" w:hAnsiTheme="majorHAnsi" w:cstheme="majorHAnsi"/>
          <w:b/>
          <w:i/>
          <w:sz w:val="24"/>
          <w:szCs w:val="24"/>
          <w:lang w:val="ro-MD"/>
        </w:rPr>
        <w:t>i)</w:t>
      </w:r>
      <w:r w:rsidR="00E35985" w:rsidRPr="009E5B39">
        <w:rPr>
          <w:rFonts w:asciiTheme="majorHAnsi" w:hAnsiTheme="majorHAnsi" w:cstheme="majorHAnsi"/>
          <w:sz w:val="24"/>
          <w:szCs w:val="24"/>
          <w:lang w:val="ro-MD"/>
        </w:rPr>
        <w:t xml:space="preserve"> </w:t>
      </w:r>
      <w:r w:rsidR="00E35985" w:rsidRPr="009E5B39">
        <w:rPr>
          <w:rFonts w:asciiTheme="majorHAnsi" w:hAnsiTheme="majorHAnsi" w:cstheme="majorHAnsi"/>
          <w:i/>
          <w:sz w:val="24"/>
          <w:szCs w:val="24"/>
          <w:lang w:val="ro-MD"/>
        </w:rPr>
        <w:t>pe termen scurt</w:t>
      </w:r>
      <w:r w:rsidR="00E35985" w:rsidRPr="009E5B39">
        <w:rPr>
          <w:rFonts w:asciiTheme="majorHAnsi" w:hAnsiTheme="majorHAnsi" w:cstheme="majorHAnsi"/>
          <w:sz w:val="24"/>
          <w:szCs w:val="24"/>
          <w:lang w:val="ro-MD"/>
        </w:rPr>
        <w:t xml:space="preserve"> – pentru acoperirea decalajului temporar de casă – în sumă totală de </w:t>
      </w:r>
      <w:r w:rsidR="00E35985" w:rsidRPr="009E5B39">
        <w:rPr>
          <w:rFonts w:asciiTheme="majorHAnsi" w:hAnsiTheme="majorHAnsi" w:cstheme="majorHAnsi"/>
          <w:b/>
          <w:i/>
          <w:sz w:val="24"/>
          <w:szCs w:val="24"/>
          <w:lang w:val="ro-MD"/>
        </w:rPr>
        <w:t>165</w:t>
      </w:r>
      <w:r w:rsidR="003E2996"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70 mi</w:t>
      </w:r>
      <w:r w:rsidR="003E2996" w:rsidRPr="009E5B39">
        <w:rPr>
          <w:rFonts w:asciiTheme="majorHAnsi" w:hAnsiTheme="majorHAnsi" w:cstheme="majorHAnsi"/>
          <w:b/>
          <w:i/>
          <w:sz w:val="24"/>
          <w:szCs w:val="24"/>
          <w:lang w:val="ro-MD"/>
        </w:rPr>
        <w:t>l</w:t>
      </w:r>
      <w:r w:rsidR="004C5972"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 xml:space="preserve"> lei</w:t>
      </w:r>
      <w:r w:rsidR="00E35985" w:rsidRPr="009E5B39">
        <w:rPr>
          <w:rFonts w:asciiTheme="majorHAnsi" w:hAnsiTheme="majorHAnsi" w:cstheme="majorHAnsi"/>
          <w:b/>
          <w:i/>
          <w:sz w:val="24"/>
          <w:szCs w:val="24"/>
          <w:vertAlign w:val="superscript"/>
          <w:lang w:val="ro-MD"/>
        </w:rPr>
        <w:footnoteReference w:id="85"/>
      </w:r>
      <w:r w:rsidR="00E35985" w:rsidRPr="009E5B39">
        <w:rPr>
          <w:rFonts w:asciiTheme="majorHAnsi" w:hAnsiTheme="majorHAnsi" w:cstheme="majorHAnsi"/>
          <w:sz w:val="24"/>
          <w:szCs w:val="24"/>
          <w:lang w:val="ro-MD"/>
        </w:rPr>
        <w:t xml:space="preserve"> ; </w:t>
      </w:r>
      <w:r w:rsidR="00E35985" w:rsidRPr="009E5B39">
        <w:rPr>
          <w:rFonts w:asciiTheme="majorHAnsi" w:hAnsiTheme="majorHAnsi" w:cstheme="majorHAnsi"/>
          <w:b/>
          <w:i/>
          <w:sz w:val="24"/>
          <w:szCs w:val="24"/>
          <w:lang w:val="ro-MD"/>
        </w:rPr>
        <w:t>ii)</w:t>
      </w:r>
      <w:r w:rsidR="00E35985" w:rsidRPr="009E5B39">
        <w:rPr>
          <w:rFonts w:asciiTheme="majorHAnsi" w:hAnsiTheme="majorHAnsi" w:cstheme="majorHAnsi"/>
          <w:sz w:val="24"/>
          <w:szCs w:val="24"/>
          <w:lang w:val="ro-MD"/>
        </w:rPr>
        <w:t xml:space="preserve"> în </w:t>
      </w:r>
      <w:r w:rsidR="004C5972" w:rsidRPr="009E5B39">
        <w:rPr>
          <w:rFonts w:asciiTheme="majorHAnsi" w:hAnsiTheme="majorHAnsi" w:cstheme="majorHAnsi"/>
          <w:sz w:val="24"/>
          <w:szCs w:val="24"/>
          <w:lang w:val="ro-MD"/>
        </w:rPr>
        <w:t xml:space="preserve">anul </w:t>
      </w:r>
      <w:r w:rsidR="00E35985" w:rsidRPr="009E5B39">
        <w:rPr>
          <w:rFonts w:asciiTheme="majorHAnsi" w:hAnsiTheme="majorHAnsi" w:cstheme="majorHAnsi"/>
          <w:sz w:val="24"/>
          <w:szCs w:val="24"/>
          <w:lang w:val="ro-MD"/>
        </w:rPr>
        <w:t xml:space="preserve">2020 - </w:t>
      </w:r>
      <w:r w:rsidR="00E35985" w:rsidRPr="009E5B39">
        <w:rPr>
          <w:rFonts w:asciiTheme="majorHAnsi" w:hAnsiTheme="majorHAnsi" w:cstheme="majorHAnsi"/>
          <w:i/>
          <w:sz w:val="24"/>
          <w:szCs w:val="24"/>
          <w:lang w:val="ro-MD"/>
        </w:rPr>
        <w:t>pe termen lung</w:t>
      </w:r>
      <w:r w:rsidR="00E35985" w:rsidRPr="009E5B39">
        <w:rPr>
          <w:rFonts w:asciiTheme="majorHAnsi" w:hAnsiTheme="majorHAnsi" w:cstheme="majorHAnsi"/>
          <w:sz w:val="24"/>
          <w:szCs w:val="24"/>
          <w:lang w:val="ro-MD"/>
        </w:rPr>
        <w:t xml:space="preserve">, pentru cheltuieli capitale în sumă totală de </w:t>
      </w:r>
      <w:r w:rsidR="00E35985" w:rsidRPr="009E5B39">
        <w:rPr>
          <w:rFonts w:asciiTheme="majorHAnsi" w:hAnsiTheme="majorHAnsi" w:cstheme="majorHAnsi"/>
          <w:b/>
          <w:i/>
          <w:sz w:val="24"/>
          <w:szCs w:val="24"/>
          <w:lang w:val="ro-MD"/>
        </w:rPr>
        <w:t>252</w:t>
      </w:r>
      <w:r w:rsidR="003E2996"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03 mi</w:t>
      </w:r>
      <w:r w:rsidR="003E2996" w:rsidRPr="009E5B39">
        <w:rPr>
          <w:rFonts w:asciiTheme="majorHAnsi" w:hAnsiTheme="majorHAnsi" w:cstheme="majorHAnsi"/>
          <w:b/>
          <w:i/>
          <w:sz w:val="24"/>
          <w:szCs w:val="24"/>
          <w:lang w:val="ro-MD"/>
        </w:rPr>
        <w:t>l</w:t>
      </w:r>
      <w:r w:rsidR="004C5972"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 xml:space="preserve"> lei</w:t>
      </w:r>
      <w:r w:rsidR="00E35985" w:rsidRPr="009E5B39">
        <w:rPr>
          <w:rFonts w:asciiTheme="majorHAnsi" w:hAnsiTheme="majorHAnsi" w:cstheme="majorHAnsi"/>
          <w:sz w:val="24"/>
          <w:szCs w:val="24"/>
          <w:lang w:val="ro-MD"/>
        </w:rPr>
        <w:t>, pentru implementarea a două proiecte: „Obiective investiționale aprobate pe anul 2021” – în valoare de 135</w:t>
      </w:r>
      <w:r w:rsidR="003E2996"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43 mi</w:t>
      </w:r>
      <w:r w:rsidR="003E2996" w:rsidRPr="009E5B39">
        <w:rPr>
          <w:rFonts w:asciiTheme="majorHAnsi" w:hAnsiTheme="majorHAnsi" w:cstheme="majorHAnsi"/>
          <w:sz w:val="24"/>
          <w:szCs w:val="24"/>
          <w:lang w:val="ro-MD"/>
        </w:rPr>
        <w:t>l</w:t>
      </w:r>
      <w:r w:rsidR="004C5972"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lei</w:t>
      </w:r>
      <w:r w:rsidR="004C5972"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și „Asamblarea troleibuzelor” – în valoare de 116</w:t>
      </w:r>
      <w:r w:rsidR="003E2996"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59 mi</w:t>
      </w:r>
      <w:r w:rsidR="003E2996" w:rsidRPr="009E5B39">
        <w:rPr>
          <w:rFonts w:asciiTheme="majorHAnsi" w:hAnsiTheme="majorHAnsi" w:cstheme="majorHAnsi"/>
          <w:sz w:val="24"/>
          <w:szCs w:val="24"/>
          <w:lang w:val="ro-MD"/>
        </w:rPr>
        <w:t>l</w:t>
      </w:r>
      <w:r w:rsidR="004C5972"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lei. Împrumuturile rambursate în perioada </w:t>
      </w:r>
      <w:r w:rsidR="004C5972" w:rsidRPr="009E5B39">
        <w:rPr>
          <w:rFonts w:asciiTheme="majorHAnsi" w:hAnsiTheme="majorHAnsi" w:cstheme="majorHAnsi"/>
          <w:sz w:val="24"/>
          <w:szCs w:val="24"/>
          <w:lang w:val="ro-MD"/>
        </w:rPr>
        <w:t xml:space="preserve">anilor </w:t>
      </w:r>
      <w:r w:rsidR="00E35985" w:rsidRPr="009E5B39">
        <w:rPr>
          <w:rFonts w:asciiTheme="majorHAnsi" w:hAnsiTheme="majorHAnsi" w:cstheme="majorHAnsi"/>
          <w:sz w:val="24"/>
          <w:szCs w:val="24"/>
          <w:lang w:val="ro-MD"/>
        </w:rPr>
        <w:t xml:space="preserve">2018-2020 au însumat </w:t>
      </w:r>
      <w:r w:rsidR="00E35985" w:rsidRPr="009E5B39">
        <w:rPr>
          <w:rFonts w:asciiTheme="majorHAnsi" w:hAnsiTheme="majorHAnsi" w:cstheme="majorHAnsi"/>
          <w:b/>
          <w:i/>
          <w:sz w:val="24"/>
          <w:szCs w:val="24"/>
          <w:lang w:val="ro-MD"/>
        </w:rPr>
        <w:t>330</w:t>
      </w:r>
      <w:r w:rsidR="003E2996"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33 mi</w:t>
      </w:r>
      <w:r w:rsidR="003E2996" w:rsidRPr="009E5B39">
        <w:rPr>
          <w:rFonts w:asciiTheme="majorHAnsi" w:hAnsiTheme="majorHAnsi" w:cstheme="majorHAnsi"/>
          <w:b/>
          <w:i/>
          <w:sz w:val="24"/>
          <w:szCs w:val="24"/>
          <w:lang w:val="ro-MD"/>
        </w:rPr>
        <w:t>l</w:t>
      </w:r>
      <w:r w:rsidR="004C5972" w:rsidRPr="009E5B39">
        <w:rPr>
          <w:rFonts w:asciiTheme="majorHAnsi" w:hAnsiTheme="majorHAnsi" w:cstheme="majorHAnsi"/>
          <w:b/>
          <w:i/>
          <w:sz w:val="24"/>
          <w:szCs w:val="24"/>
          <w:lang w:val="ro-MD"/>
        </w:rPr>
        <w:t>.</w:t>
      </w:r>
      <w:r w:rsidR="00E35985" w:rsidRPr="009E5B39">
        <w:rPr>
          <w:rFonts w:asciiTheme="majorHAnsi" w:hAnsiTheme="majorHAnsi" w:cstheme="majorHAnsi"/>
          <w:b/>
          <w:i/>
          <w:sz w:val="24"/>
          <w:szCs w:val="24"/>
          <w:lang w:val="ro-MD"/>
        </w:rPr>
        <w:t xml:space="preserve"> lei</w:t>
      </w:r>
      <w:r w:rsidR="00E35985" w:rsidRPr="009E5B39">
        <w:rPr>
          <w:rFonts w:asciiTheme="majorHAnsi" w:hAnsiTheme="majorHAnsi" w:cstheme="majorHAnsi"/>
          <w:sz w:val="24"/>
          <w:szCs w:val="24"/>
          <w:lang w:val="ro-MD"/>
        </w:rPr>
        <w:t>, inclusiv 165</w:t>
      </w:r>
      <w:r w:rsidR="00D87E23"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70 mi</w:t>
      </w:r>
      <w:r w:rsidR="00D87E23" w:rsidRPr="009E5B39">
        <w:rPr>
          <w:rFonts w:asciiTheme="majorHAnsi" w:hAnsiTheme="majorHAnsi" w:cstheme="majorHAnsi"/>
          <w:sz w:val="24"/>
          <w:szCs w:val="24"/>
          <w:lang w:val="ro-MD"/>
        </w:rPr>
        <w:t>l</w:t>
      </w:r>
      <w:r w:rsidR="004C5972" w:rsidRPr="009E5B39">
        <w:rPr>
          <w:rFonts w:asciiTheme="majorHAnsi" w:hAnsiTheme="majorHAnsi" w:cstheme="majorHAnsi"/>
          <w:sz w:val="24"/>
          <w:szCs w:val="24"/>
          <w:lang w:val="ro-MD"/>
        </w:rPr>
        <w:t>.</w:t>
      </w:r>
      <w:r w:rsidR="00E35985" w:rsidRPr="009E5B39">
        <w:rPr>
          <w:rFonts w:asciiTheme="majorHAnsi" w:hAnsiTheme="majorHAnsi" w:cstheme="majorHAnsi"/>
          <w:sz w:val="24"/>
          <w:szCs w:val="24"/>
          <w:lang w:val="ro-MD"/>
        </w:rPr>
        <w:t xml:space="preserve"> lei </w:t>
      </w:r>
      <w:r w:rsidR="004C5972" w:rsidRPr="009E5B39">
        <w:rPr>
          <w:rFonts w:asciiTheme="majorHAnsi" w:hAnsiTheme="majorHAnsi" w:cstheme="majorHAnsi"/>
          <w:sz w:val="24"/>
          <w:szCs w:val="24"/>
          <w:lang w:val="ro-MD"/>
        </w:rPr>
        <w:t xml:space="preserve">- </w:t>
      </w:r>
      <w:r w:rsidR="00E35985" w:rsidRPr="009E5B39">
        <w:rPr>
          <w:rFonts w:asciiTheme="majorHAnsi" w:hAnsiTheme="majorHAnsi" w:cstheme="majorHAnsi"/>
          <w:sz w:val="24"/>
          <w:szCs w:val="24"/>
          <w:lang w:val="ro-MD"/>
        </w:rPr>
        <w:t xml:space="preserve">contractate în </w:t>
      </w:r>
      <w:r w:rsidR="004C5972" w:rsidRPr="009E5B39">
        <w:rPr>
          <w:rFonts w:asciiTheme="majorHAnsi" w:hAnsiTheme="majorHAnsi" w:cstheme="majorHAnsi"/>
          <w:sz w:val="24"/>
          <w:szCs w:val="24"/>
          <w:lang w:val="ro-MD"/>
        </w:rPr>
        <w:t xml:space="preserve">anii </w:t>
      </w:r>
      <w:r w:rsidR="00E35985" w:rsidRPr="009E5B39">
        <w:rPr>
          <w:rFonts w:asciiTheme="majorHAnsi" w:hAnsiTheme="majorHAnsi" w:cstheme="majorHAnsi"/>
          <w:sz w:val="24"/>
          <w:szCs w:val="24"/>
          <w:lang w:val="ro-MD"/>
        </w:rPr>
        <w:t>2018-2020. La situația din 31.12.2020, UAT are acordate garanții a</w:t>
      </w:r>
      <w:r w:rsidR="004C5972" w:rsidRPr="009E5B39">
        <w:rPr>
          <w:rFonts w:asciiTheme="majorHAnsi" w:hAnsiTheme="majorHAnsi" w:cstheme="majorHAnsi"/>
          <w:sz w:val="24"/>
          <w:szCs w:val="24"/>
          <w:lang w:val="ro-MD"/>
        </w:rPr>
        <w:t>le</w:t>
      </w:r>
      <w:r w:rsidR="00E35985" w:rsidRPr="009E5B39">
        <w:rPr>
          <w:rFonts w:asciiTheme="majorHAnsi" w:hAnsiTheme="majorHAnsi" w:cstheme="majorHAnsi"/>
          <w:sz w:val="24"/>
          <w:szCs w:val="24"/>
          <w:lang w:val="ro-MD"/>
        </w:rPr>
        <w:t xml:space="preserve"> împrumuturilor, în sumă totală de </w:t>
      </w:r>
      <w:r w:rsidR="00E35985" w:rsidRPr="009E5B39">
        <w:rPr>
          <w:rFonts w:asciiTheme="majorHAnsi" w:hAnsiTheme="majorHAnsi" w:cstheme="majorHAnsi"/>
          <w:b/>
          <w:sz w:val="24"/>
          <w:szCs w:val="24"/>
          <w:lang w:val="ro-MD"/>
        </w:rPr>
        <w:t>533</w:t>
      </w:r>
      <w:r w:rsidR="00D87E23" w:rsidRPr="009E5B39">
        <w:rPr>
          <w:rFonts w:asciiTheme="majorHAnsi" w:hAnsiTheme="majorHAnsi" w:cstheme="majorHAnsi"/>
          <w:b/>
          <w:sz w:val="24"/>
          <w:szCs w:val="24"/>
          <w:lang w:val="ro-MD"/>
        </w:rPr>
        <w:t>,</w:t>
      </w:r>
      <w:r w:rsidR="00E35985" w:rsidRPr="009E5B39">
        <w:rPr>
          <w:rFonts w:asciiTheme="majorHAnsi" w:hAnsiTheme="majorHAnsi" w:cstheme="majorHAnsi"/>
          <w:b/>
          <w:sz w:val="24"/>
          <w:szCs w:val="24"/>
          <w:lang w:val="ro-MD"/>
        </w:rPr>
        <w:t>92 mi</w:t>
      </w:r>
      <w:r w:rsidR="00D87E23" w:rsidRPr="009E5B39">
        <w:rPr>
          <w:rFonts w:asciiTheme="majorHAnsi" w:hAnsiTheme="majorHAnsi" w:cstheme="majorHAnsi"/>
          <w:b/>
          <w:sz w:val="24"/>
          <w:szCs w:val="24"/>
          <w:lang w:val="ro-MD"/>
        </w:rPr>
        <w:t>l</w:t>
      </w:r>
      <w:r w:rsidR="004C5972" w:rsidRPr="009E5B39">
        <w:rPr>
          <w:rFonts w:asciiTheme="majorHAnsi" w:hAnsiTheme="majorHAnsi" w:cstheme="majorHAnsi"/>
          <w:b/>
          <w:sz w:val="24"/>
          <w:szCs w:val="24"/>
          <w:lang w:val="ro-MD"/>
        </w:rPr>
        <w:t>.</w:t>
      </w:r>
      <w:r w:rsidR="00E35985" w:rsidRPr="009E5B39">
        <w:rPr>
          <w:rFonts w:asciiTheme="majorHAnsi" w:hAnsiTheme="majorHAnsi" w:cstheme="majorHAnsi"/>
          <w:b/>
          <w:sz w:val="24"/>
          <w:szCs w:val="24"/>
          <w:lang w:val="ro-MD"/>
        </w:rPr>
        <w:t xml:space="preserve"> lei</w:t>
      </w:r>
      <w:r w:rsidR="00E35985" w:rsidRPr="009E5B39">
        <w:rPr>
          <w:rFonts w:asciiTheme="majorHAnsi" w:hAnsiTheme="majorHAnsi" w:cstheme="majorHAnsi"/>
          <w:sz w:val="24"/>
          <w:szCs w:val="24"/>
          <w:lang w:val="ro-MD"/>
        </w:rPr>
        <w:t>, contractate de către SA „Apă-Canal” din surse externe (BERD și BEI).</w:t>
      </w:r>
    </w:p>
    <w:p w14:paraId="6CDC621F" w14:textId="173DD470" w:rsidR="00E35985" w:rsidRPr="009E5B39" w:rsidRDefault="00E163FD" w:rsidP="003C5073">
      <w:pPr>
        <w:spacing w:after="0" w:line="276" w:lineRule="auto"/>
        <w:ind w:firstLine="720"/>
        <w:contextualSpacing/>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Deși Direcția juridică a Primărie</w:t>
      </w:r>
      <w:r w:rsidR="00DE6604" w:rsidRPr="009E5B39">
        <w:rPr>
          <w:rFonts w:asciiTheme="majorHAnsi" w:hAnsiTheme="majorHAnsi" w:cstheme="majorHAnsi"/>
          <w:b/>
          <w:sz w:val="24"/>
          <w:szCs w:val="24"/>
          <w:lang w:val="ro-MD"/>
        </w:rPr>
        <w:t>i</w:t>
      </w:r>
      <w:r w:rsidRPr="009E5B39">
        <w:rPr>
          <w:rFonts w:asciiTheme="majorHAnsi" w:hAnsiTheme="majorHAnsi" w:cstheme="majorHAnsi"/>
          <w:b/>
          <w:sz w:val="24"/>
          <w:szCs w:val="24"/>
          <w:lang w:val="ro-MD"/>
        </w:rPr>
        <w:t xml:space="preserve"> </w:t>
      </w:r>
      <w:r w:rsidR="00E35985" w:rsidRPr="009E5B39">
        <w:rPr>
          <w:rFonts w:asciiTheme="majorHAnsi" w:hAnsiTheme="majorHAnsi" w:cstheme="majorHAnsi"/>
          <w:b/>
          <w:sz w:val="24"/>
          <w:szCs w:val="24"/>
          <w:lang w:val="ro-MD"/>
        </w:rPr>
        <w:t xml:space="preserve">mun. Chișinău a întreprins măsuri </w:t>
      </w:r>
      <w:r w:rsidRPr="009E5B39">
        <w:rPr>
          <w:rFonts w:asciiTheme="majorHAnsi" w:hAnsiTheme="majorHAnsi" w:cstheme="majorHAnsi"/>
          <w:b/>
          <w:sz w:val="24"/>
          <w:szCs w:val="24"/>
          <w:lang w:val="ro-MD"/>
        </w:rPr>
        <w:t>pentru</w:t>
      </w:r>
      <w:r w:rsidR="00E35985" w:rsidRPr="009E5B39">
        <w:rPr>
          <w:rFonts w:asciiTheme="majorHAnsi" w:hAnsiTheme="majorHAnsi" w:cstheme="majorHAnsi"/>
          <w:b/>
          <w:sz w:val="24"/>
          <w:szCs w:val="24"/>
          <w:lang w:val="ro-MD"/>
        </w:rPr>
        <w:t xml:space="preserve"> recu</w:t>
      </w:r>
      <w:r w:rsidRPr="009E5B39">
        <w:rPr>
          <w:rFonts w:asciiTheme="majorHAnsi" w:hAnsiTheme="majorHAnsi" w:cstheme="majorHAnsi"/>
          <w:b/>
          <w:sz w:val="24"/>
          <w:szCs w:val="24"/>
          <w:lang w:val="ro-MD"/>
        </w:rPr>
        <w:t>noașterea creanțelor</w:t>
      </w:r>
      <w:r w:rsidR="009B37B3" w:rsidRPr="009E5B39">
        <w:rPr>
          <w:rFonts w:asciiTheme="majorHAnsi" w:hAnsiTheme="majorHAnsi" w:cstheme="majorHAnsi"/>
          <w:b/>
          <w:sz w:val="24"/>
          <w:szCs w:val="24"/>
          <w:lang w:val="ro-MD"/>
        </w:rPr>
        <w:t xml:space="preserve"> ÎMGFL-urilor declarate insolvabile </w:t>
      </w:r>
      <w:r w:rsidRPr="009E5B39">
        <w:rPr>
          <w:rFonts w:asciiTheme="majorHAnsi" w:hAnsiTheme="majorHAnsi" w:cstheme="majorHAnsi"/>
          <w:b/>
          <w:sz w:val="24"/>
          <w:szCs w:val="24"/>
          <w:lang w:val="ro-MD"/>
        </w:rPr>
        <w:t>în sumă totală de 10,54 mil.lei</w:t>
      </w:r>
      <w:r w:rsidR="004C5972" w:rsidRPr="009E5B39">
        <w:rPr>
          <w:rFonts w:asciiTheme="majorHAnsi" w:hAnsiTheme="majorHAnsi" w:cstheme="majorHAnsi"/>
          <w:b/>
          <w:sz w:val="24"/>
          <w:szCs w:val="24"/>
          <w:lang w:val="ro-MD"/>
        </w:rPr>
        <w:t>,</w:t>
      </w:r>
      <w:r w:rsidR="00E35985" w:rsidRPr="009E5B39">
        <w:rPr>
          <w:rFonts w:asciiTheme="majorHAnsi" w:hAnsiTheme="majorHAnsi" w:cstheme="majorHAnsi"/>
          <w:b/>
          <w:sz w:val="24"/>
          <w:szCs w:val="24"/>
          <w:lang w:val="ro-MD"/>
        </w:rPr>
        <w:t xml:space="preserve"> a</w:t>
      </w:r>
      <w:r w:rsidRPr="009E5B39">
        <w:rPr>
          <w:rFonts w:asciiTheme="majorHAnsi" w:hAnsiTheme="majorHAnsi" w:cstheme="majorHAnsi"/>
          <w:b/>
          <w:sz w:val="24"/>
          <w:szCs w:val="24"/>
          <w:lang w:val="ro-MD"/>
        </w:rPr>
        <w:t xml:space="preserve">cestea nu au fost înregistrate în evidența contabilă. </w:t>
      </w:r>
      <w:r w:rsidRPr="009E5B39">
        <w:rPr>
          <w:rFonts w:asciiTheme="majorHAnsi" w:hAnsiTheme="majorHAnsi" w:cstheme="majorHAnsi"/>
          <w:sz w:val="24"/>
          <w:szCs w:val="24"/>
          <w:lang w:val="ro-MD"/>
        </w:rPr>
        <w:t xml:space="preserve">Aceste </w:t>
      </w:r>
      <w:r w:rsidR="004E7B31" w:rsidRPr="009E5B39">
        <w:rPr>
          <w:rFonts w:asciiTheme="majorHAnsi" w:hAnsiTheme="majorHAnsi" w:cstheme="majorHAnsi"/>
          <w:sz w:val="24"/>
          <w:szCs w:val="24"/>
          <w:lang w:val="ro-MD"/>
        </w:rPr>
        <w:t xml:space="preserve">creanțe </w:t>
      </w:r>
      <w:r w:rsidRPr="009E5B39">
        <w:rPr>
          <w:rFonts w:asciiTheme="majorHAnsi" w:hAnsiTheme="majorHAnsi" w:cstheme="majorHAnsi"/>
          <w:sz w:val="24"/>
          <w:szCs w:val="24"/>
          <w:lang w:val="ro-MD"/>
        </w:rPr>
        <w:t>s-au format</w:t>
      </w:r>
      <w:r w:rsidR="00E35985" w:rsidRPr="009E5B39">
        <w:rPr>
          <w:rFonts w:asciiTheme="majorHAnsi" w:hAnsiTheme="majorHAnsi" w:cstheme="majorHAnsi"/>
          <w:sz w:val="24"/>
          <w:szCs w:val="24"/>
          <w:lang w:val="ro-MD"/>
        </w:rPr>
        <w:t xml:space="preserve"> în baza garanției acordate acestora </w:t>
      </w:r>
      <w:r w:rsidR="00DE6604" w:rsidRPr="009E5B39">
        <w:rPr>
          <w:rFonts w:asciiTheme="majorHAnsi" w:hAnsiTheme="majorHAnsi" w:cstheme="majorHAnsi"/>
          <w:sz w:val="24"/>
          <w:szCs w:val="24"/>
          <w:lang w:val="ro-MD"/>
        </w:rPr>
        <w:t>la</w:t>
      </w:r>
      <w:r w:rsidR="00E35985" w:rsidRPr="009E5B39">
        <w:rPr>
          <w:rFonts w:asciiTheme="majorHAnsi" w:hAnsiTheme="majorHAnsi" w:cstheme="majorHAnsi"/>
          <w:sz w:val="24"/>
          <w:szCs w:val="24"/>
          <w:lang w:val="ro-MD"/>
        </w:rPr>
        <w:t xml:space="preserve"> împrumuturile contractate în anul 2014 din resursele MoREEFF (88,0 mil. lei) pentru înlocuirea ferestrelor din scările blocurilor de locuit din gestiunea acestora. Misiunea anterioară de audit</w:t>
      </w:r>
      <w:r w:rsidR="00E35985" w:rsidRPr="009E5B39">
        <w:rPr>
          <w:rFonts w:asciiTheme="majorHAnsi" w:hAnsiTheme="majorHAnsi" w:cstheme="majorHAnsi"/>
          <w:sz w:val="24"/>
          <w:szCs w:val="24"/>
          <w:vertAlign w:val="superscript"/>
          <w:lang w:val="ro-MD"/>
        </w:rPr>
        <w:footnoteReference w:id="86"/>
      </w:r>
      <w:r w:rsidR="00E35985" w:rsidRPr="009E5B39">
        <w:rPr>
          <w:rFonts w:asciiTheme="majorHAnsi" w:hAnsiTheme="majorHAnsi" w:cstheme="majorHAnsi"/>
          <w:sz w:val="24"/>
          <w:szCs w:val="24"/>
          <w:lang w:val="ro-MD"/>
        </w:rPr>
        <w:t xml:space="preserve"> a </w:t>
      </w:r>
      <w:r w:rsidR="00DE6604" w:rsidRPr="009E5B39">
        <w:rPr>
          <w:rFonts w:asciiTheme="majorHAnsi" w:hAnsiTheme="majorHAnsi" w:cstheme="majorHAnsi"/>
          <w:sz w:val="24"/>
          <w:szCs w:val="24"/>
          <w:lang w:val="ro-MD"/>
        </w:rPr>
        <w:t>constatat</w:t>
      </w:r>
      <w:r w:rsidR="00E35985" w:rsidRPr="009E5B39">
        <w:rPr>
          <w:rFonts w:asciiTheme="majorHAnsi" w:hAnsiTheme="majorHAnsi" w:cstheme="majorHAnsi"/>
          <w:sz w:val="24"/>
          <w:szCs w:val="24"/>
          <w:lang w:val="ro-MD"/>
        </w:rPr>
        <w:t xml:space="preserve"> divergențe </w:t>
      </w:r>
      <w:r w:rsidR="00DE6604" w:rsidRPr="009E5B39">
        <w:rPr>
          <w:rFonts w:asciiTheme="majorHAnsi" w:hAnsiTheme="majorHAnsi" w:cstheme="majorHAnsi"/>
          <w:sz w:val="24"/>
          <w:szCs w:val="24"/>
          <w:lang w:val="ro-MD"/>
        </w:rPr>
        <w:t>privind</w:t>
      </w:r>
      <w:r w:rsidR="00E35985" w:rsidRPr="009E5B39">
        <w:rPr>
          <w:rFonts w:asciiTheme="majorHAnsi" w:hAnsiTheme="majorHAnsi" w:cstheme="majorHAnsi"/>
          <w:sz w:val="24"/>
          <w:szCs w:val="24"/>
          <w:lang w:val="ro-MD"/>
        </w:rPr>
        <w:t xml:space="preserve"> suprafața ferestrelor instalate în unele blocuri de locuit, </w:t>
      </w:r>
      <w:r w:rsidR="00CD24B9" w:rsidRPr="009E5B39">
        <w:rPr>
          <w:rFonts w:asciiTheme="majorHAnsi" w:hAnsiTheme="majorHAnsi" w:cstheme="majorHAnsi"/>
          <w:sz w:val="24"/>
          <w:szCs w:val="24"/>
          <w:lang w:val="ro-MD"/>
        </w:rPr>
        <w:t>existând</w:t>
      </w:r>
      <w:r w:rsidR="00E35985" w:rsidRPr="009E5B39">
        <w:rPr>
          <w:rFonts w:asciiTheme="majorHAnsi" w:hAnsiTheme="majorHAnsi" w:cstheme="majorHAnsi"/>
          <w:sz w:val="24"/>
          <w:szCs w:val="24"/>
          <w:lang w:val="ro-MD"/>
        </w:rPr>
        <w:t xml:space="preserve"> riscuri de majorare neregulamentară a valorii lucrărilor executate.  </w:t>
      </w:r>
    </w:p>
    <w:p w14:paraId="5DAD2E74" w14:textId="6B528CEA" w:rsidR="00E35985" w:rsidRPr="009E5B39" w:rsidRDefault="004E7B31" w:rsidP="003C5073">
      <w:pPr>
        <w:spacing w:after="0" w:line="276" w:lineRule="auto"/>
        <w:ind w:firstLine="720"/>
        <w:contextualSpacing/>
        <w:jc w:val="both"/>
        <w:rPr>
          <w:rFonts w:asciiTheme="majorHAnsi" w:hAnsiTheme="majorHAnsi" w:cstheme="majorHAnsi"/>
          <w:sz w:val="24"/>
          <w:szCs w:val="24"/>
          <w:lang w:val="ro-MD"/>
        </w:rPr>
      </w:pPr>
      <w:r w:rsidRPr="009E5B39">
        <w:rPr>
          <w:rFonts w:asciiTheme="majorHAnsi" w:hAnsiTheme="majorHAnsi" w:cstheme="majorHAnsi"/>
          <w:b/>
          <w:bCs/>
          <w:sz w:val="24"/>
          <w:szCs w:val="24"/>
          <w:shd w:val="clear" w:color="auto" w:fill="FFFFFF"/>
          <w:lang w:val="ro-MD"/>
        </w:rPr>
        <w:t>Î</w:t>
      </w:r>
      <w:r w:rsidR="00E35985" w:rsidRPr="009E5B39">
        <w:rPr>
          <w:rFonts w:asciiTheme="majorHAnsi" w:hAnsiTheme="majorHAnsi" w:cstheme="majorHAnsi"/>
          <w:b/>
          <w:bCs/>
          <w:sz w:val="24"/>
          <w:szCs w:val="24"/>
          <w:shd w:val="clear" w:color="auto" w:fill="FFFFFF"/>
          <w:lang w:val="ro-MD"/>
        </w:rPr>
        <w:t>n perioada auditată, Primăria mun. Chișinău a suportat cheltuieli ineficiente în sumă totală de 5</w:t>
      </w:r>
      <w:r w:rsidR="00D87E23" w:rsidRPr="009E5B39">
        <w:rPr>
          <w:rFonts w:asciiTheme="majorHAnsi" w:hAnsiTheme="majorHAnsi" w:cstheme="majorHAnsi"/>
          <w:b/>
          <w:bCs/>
          <w:sz w:val="24"/>
          <w:szCs w:val="24"/>
          <w:shd w:val="clear" w:color="auto" w:fill="FFFFFF"/>
          <w:lang w:val="ro-MD"/>
        </w:rPr>
        <w:t>,</w:t>
      </w:r>
      <w:r w:rsidR="00E35985" w:rsidRPr="009E5B39">
        <w:rPr>
          <w:rFonts w:asciiTheme="majorHAnsi" w:hAnsiTheme="majorHAnsi" w:cstheme="majorHAnsi"/>
          <w:b/>
          <w:bCs/>
          <w:sz w:val="24"/>
          <w:szCs w:val="24"/>
          <w:shd w:val="clear" w:color="auto" w:fill="FFFFFF"/>
          <w:lang w:val="ro-MD"/>
        </w:rPr>
        <w:t>67 mi</w:t>
      </w:r>
      <w:r w:rsidR="00D87E23" w:rsidRPr="009E5B39">
        <w:rPr>
          <w:rFonts w:asciiTheme="majorHAnsi" w:hAnsiTheme="majorHAnsi" w:cstheme="majorHAnsi"/>
          <w:b/>
          <w:bCs/>
          <w:sz w:val="24"/>
          <w:szCs w:val="24"/>
          <w:shd w:val="clear" w:color="auto" w:fill="FFFFFF"/>
          <w:lang w:val="ro-MD"/>
        </w:rPr>
        <w:t>l</w:t>
      </w:r>
      <w:r w:rsidR="00DE6604" w:rsidRPr="009E5B39">
        <w:rPr>
          <w:rFonts w:asciiTheme="majorHAnsi" w:hAnsiTheme="majorHAnsi" w:cstheme="majorHAnsi"/>
          <w:b/>
          <w:bCs/>
          <w:sz w:val="24"/>
          <w:szCs w:val="24"/>
          <w:shd w:val="clear" w:color="auto" w:fill="FFFFFF"/>
          <w:lang w:val="ro-MD"/>
        </w:rPr>
        <w:t>.</w:t>
      </w:r>
      <w:r w:rsidR="00E35985" w:rsidRPr="009E5B39">
        <w:rPr>
          <w:rFonts w:asciiTheme="majorHAnsi" w:hAnsiTheme="majorHAnsi" w:cstheme="majorHAnsi"/>
          <w:b/>
          <w:bCs/>
          <w:sz w:val="24"/>
          <w:szCs w:val="24"/>
          <w:shd w:val="clear" w:color="auto" w:fill="FFFFFF"/>
          <w:lang w:val="ro-MD"/>
        </w:rPr>
        <w:t xml:space="preserve"> lei (sau 287,40 mii </w:t>
      </w:r>
      <w:r w:rsidR="00FB3E2D" w:rsidRPr="009E5B39">
        <w:rPr>
          <w:rFonts w:asciiTheme="majorHAnsi" w:hAnsiTheme="majorHAnsi" w:cstheme="majorHAnsi"/>
          <w:b/>
          <w:bCs/>
          <w:sz w:val="24"/>
          <w:szCs w:val="24"/>
          <w:shd w:val="clear" w:color="auto" w:fill="FFFFFF"/>
          <w:lang w:val="ro-MD"/>
        </w:rPr>
        <w:t>e</w:t>
      </w:r>
      <w:r w:rsidR="00E35985" w:rsidRPr="009E5B39">
        <w:rPr>
          <w:rFonts w:asciiTheme="majorHAnsi" w:hAnsiTheme="majorHAnsi" w:cstheme="majorHAnsi"/>
          <w:b/>
          <w:bCs/>
          <w:sz w:val="24"/>
          <w:szCs w:val="24"/>
          <w:shd w:val="clear" w:color="auto" w:fill="FFFFFF"/>
          <w:lang w:val="ro-MD"/>
        </w:rPr>
        <w:t>uro), echivalentul comisioanelor achitate pentru nedebursarea</w:t>
      </w:r>
      <w:r w:rsidR="00DE6604" w:rsidRPr="009E5B39">
        <w:rPr>
          <w:rFonts w:asciiTheme="majorHAnsi" w:hAnsiTheme="majorHAnsi" w:cstheme="majorHAnsi"/>
          <w:b/>
          <w:bCs/>
          <w:sz w:val="24"/>
          <w:szCs w:val="24"/>
          <w:shd w:val="clear" w:color="auto" w:fill="FFFFFF"/>
          <w:lang w:val="ro-MD"/>
        </w:rPr>
        <w:t xml:space="preserve"> în termenul prevăzut în contract a </w:t>
      </w:r>
      <w:r w:rsidR="00E35985" w:rsidRPr="009E5B39">
        <w:rPr>
          <w:rFonts w:asciiTheme="majorHAnsi" w:hAnsiTheme="majorHAnsi" w:cstheme="majorHAnsi"/>
          <w:b/>
          <w:bCs/>
          <w:sz w:val="24"/>
          <w:szCs w:val="24"/>
          <w:shd w:val="clear" w:color="auto" w:fill="FFFFFF"/>
          <w:lang w:val="ro-MD"/>
        </w:rPr>
        <w:t xml:space="preserve">sumei creditelor </w:t>
      </w:r>
      <w:r w:rsidR="00DE6604" w:rsidRPr="009E5B39">
        <w:rPr>
          <w:rFonts w:asciiTheme="majorHAnsi" w:hAnsiTheme="majorHAnsi" w:cstheme="majorHAnsi"/>
          <w:b/>
          <w:bCs/>
          <w:sz w:val="24"/>
          <w:szCs w:val="24"/>
          <w:shd w:val="clear" w:color="auto" w:fill="FFFFFF"/>
          <w:lang w:val="ro-MD"/>
        </w:rPr>
        <w:t xml:space="preserve">contractate de la </w:t>
      </w:r>
      <w:r w:rsidR="00E35985" w:rsidRPr="009E5B39">
        <w:rPr>
          <w:rFonts w:asciiTheme="majorHAnsi" w:hAnsiTheme="majorHAnsi" w:cstheme="majorHAnsi"/>
          <w:b/>
          <w:bCs/>
          <w:sz w:val="24"/>
          <w:szCs w:val="24"/>
          <w:shd w:val="clear" w:color="auto" w:fill="FFFFFF"/>
          <w:lang w:val="ro-MD"/>
        </w:rPr>
        <w:t xml:space="preserve">BEI și BERD pentru </w:t>
      </w:r>
      <w:r w:rsidR="00E35985" w:rsidRPr="009E5B39">
        <w:rPr>
          <w:rFonts w:asciiTheme="majorHAnsi" w:hAnsiTheme="majorHAnsi" w:cstheme="majorHAnsi"/>
          <w:b/>
          <w:sz w:val="24"/>
          <w:szCs w:val="24"/>
          <w:shd w:val="clear" w:color="auto" w:fill="FFFFFF"/>
          <w:lang w:val="ro-MD"/>
        </w:rPr>
        <w:t xml:space="preserve">implementarea </w:t>
      </w:r>
      <w:r w:rsidR="00DE6604" w:rsidRPr="009E5B39">
        <w:rPr>
          <w:rFonts w:asciiTheme="majorHAnsi" w:hAnsiTheme="majorHAnsi" w:cstheme="majorHAnsi"/>
          <w:b/>
          <w:sz w:val="24"/>
          <w:szCs w:val="24"/>
          <w:shd w:val="clear" w:color="auto" w:fill="FFFFFF"/>
          <w:lang w:val="ro-MD"/>
        </w:rPr>
        <w:t>P</w:t>
      </w:r>
      <w:r w:rsidR="00E35985" w:rsidRPr="009E5B39">
        <w:rPr>
          <w:rFonts w:asciiTheme="majorHAnsi" w:hAnsiTheme="majorHAnsi" w:cstheme="majorHAnsi"/>
          <w:b/>
          <w:sz w:val="24"/>
          <w:szCs w:val="24"/>
          <w:shd w:val="clear" w:color="auto" w:fill="FFFFFF"/>
          <w:lang w:val="ro-MD"/>
        </w:rPr>
        <w:t>roiectului de eficiență energetică și izolare termică a clădirilor publice și a blocurilor locative din mun. Chișinău</w:t>
      </w:r>
      <w:r w:rsidR="00E35985" w:rsidRPr="009E5B39">
        <w:rPr>
          <w:rFonts w:asciiTheme="majorHAnsi" w:hAnsiTheme="majorHAnsi" w:cstheme="majorHAnsi"/>
          <w:sz w:val="24"/>
          <w:szCs w:val="24"/>
          <w:shd w:val="clear" w:color="auto" w:fill="FFFFFF"/>
          <w:lang w:val="ro-MD"/>
        </w:rPr>
        <w:t xml:space="preserve">, </w:t>
      </w:r>
      <w:r w:rsidR="002F7912" w:rsidRPr="009E5B39">
        <w:rPr>
          <w:rFonts w:asciiTheme="majorHAnsi" w:hAnsiTheme="majorHAnsi" w:cstheme="majorHAnsi"/>
          <w:b/>
          <w:sz w:val="24"/>
          <w:szCs w:val="24"/>
          <w:shd w:val="clear" w:color="auto" w:fill="FFFFFF"/>
          <w:lang w:val="ro-MD"/>
        </w:rPr>
        <w:t xml:space="preserve">al cărui </w:t>
      </w:r>
      <w:r w:rsidR="00E35985" w:rsidRPr="009E5B39">
        <w:rPr>
          <w:rFonts w:asciiTheme="majorHAnsi" w:hAnsiTheme="majorHAnsi" w:cstheme="majorHAnsi"/>
          <w:b/>
          <w:sz w:val="24"/>
          <w:szCs w:val="24"/>
          <w:shd w:val="clear" w:color="auto" w:fill="FFFFFF"/>
          <w:lang w:val="ro-MD"/>
        </w:rPr>
        <w:t>beneficiar</w:t>
      </w:r>
      <w:r w:rsidR="002F7912" w:rsidRPr="009E5B39">
        <w:rPr>
          <w:rFonts w:asciiTheme="majorHAnsi" w:hAnsiTheme="majorHAnsi" w:cstheme="majorHAnsi"/>
          <w:b/>
          <w:sz w:val="24"/>
          <w:szCs w:val="24"/>
          <w:shd w:val="clear" w:color="auto" w:fill="FFFFFF"/>
          <w:lang w:val="ro-MD"/>
        </w:rPr>
        <w:t xml:space="preserve"> </w:t>
      </w:r>
      <w:r w:rsidR="00E35985" w:rsidRPr="009E5B39">
        <w:rPr>
          <w:rFonts w:asciiTheme="majorHAnsi" w:hAnsiTheme="majorHAnsi" w:cstheme="majorHAnsi"/>
          <w:b/>
          <w:sz w:val="24"/>
          <w:szCs w:val="24"/>
          <w:shd w:val="clear" w:color="auto" w:fill="FFFFFF"/>
          <w:lang w:val="ro-MD"/>
        </w:rPr>
        <w:t>este DGLCA</w:t>
      </w:r>
      <w:r w:rsidR="00E35985" w:rsidRPr="009E5B39">
        <w:rPr>
          <w:rFonts w:asciiTheme="majorHAnsi" w:hAnsiTheme="majorHAnsi" w:cstheme="majorHAnsi"/>
          <w:sz w:val="24"/>
          <w:szCs w:val="24"/>
          <w:shd w:val="clear" w:color="auto" w:fill="FFFFFF"/>
          <w:lang w:val="ro-MD"/>
        </w:rPr>
        <w:t>. Valoarea totală a proiectului constituie 25</w:t>
      </w:r>
      <w:r w:rsidR="00D87E23" w:rsidRPr="009E5B39">
        <w:rPr>
          <w:rFonts w:asciiTheme="majorHAnsi" w:hAnsiTheme="majorHAnsi" w:cstheme="majorHAnsi"/>
          <w:sz w:val="24"/>
          <w:szCs w:val="24"/>
          <w:shd w:val="clear" w:color="auto" w:fill="FFFFFF"/>
          <w:lang w:val="ro-MD"/>
        </w:rPr>
        <w:t>,</w:t>
      </w:r>
      <w:r w:rsidR="00E35985" w:rsidRPr="009E5B39">
        <w:rPr>
          <w:rFonts w:asciiTheme="majorHAnsi" w:hAnsiTheme="majorHAnsi" w:cstheme="majorHAnsi"/>
          <w:sz w:val="24"/>
          <w:szCs w:val="24"/>
          <w:shd w:val="clear" w:color="auto" w:fill="FFFFFF"/>
          <w:lang w:val="ro-MD"/>
        </w:rPr>
        <w:t>00 mi</w:t>
      </w:r>
      <w:r w:rsidR="00D87E23" w:rsidRPr="009E5B39">
        <w:rPr>
          <w:rFonts w:asciiTheme="majorHAnsi" w:hAnsiTheme="majorHAnsi" w:cstheme="majorHAnsi"/>
          <w:sz w:val="24"/>
          <w:szCs w:val="24"/>
          <w:shd w:val="clear" w:color="auto" w:fill="FFFFFF"/>
          <w:lang w:val="ro-MD"/>
        </w:rPr>
        <w:t>l</w:t>
      </w:r>
      <w:r w:rsidR="00373ED5" w:rsidRPr="009E5B39">
        <w:rPr>
          <w:rFonts w:asciiTheme="majorHAnsi" w:hAnsiTheme="majorHAnsi" w:cstheme="majorHAnsi"/>
          <w:sz w:val="24"/>
          <w:szCs w:val="24"/>
          <w:shd w:val="clear" w:color="auto" w:fill="FFFFFF"/>
          <w:lang w:val="ro-MD"/>
        </w:rPr>
        <w:t>.</w:t>
      </w:r>
      <w:r w:rsidR="00E35985" w:rsidRPr="009E5B39">
        <w:rPr>
          <w:rFonts w:asciiTheme="majorHAnsi" w:hAnsiTheme="majorHAnsi" w:cstheme="majorHAnsi"/>
          <w:sz w:val="24"/>
          <w:szCs w:val="24"/>
          <w:shd w:val="clear" w:color="auto" w:fill="FFFFFF"/>
          <w:lang w:val="ro-MD"/>
        </w:rPr>
        <w:t xml:space="preserve"> </w:t>
      </w:r>
      <w:r w:rsidR="00FB3E2D" w:rsidRPr="009E5B39">
        <w:rPr>
          <w:rFonts w:asciiTheme="majorHAnsi" w:hAnsiTheme="majorHAnsi" w:cstheme="majorHAnsi"/>
          <w:sz w:val="24"/>
          <w:szCs w:val="24"/>
          <w:shd w:val="clear" w:color="auto" w:fill="FFFFFF"/>
          <w:lang w:val="ro-MD"/>
        </w:rPr>
        <w:t>euro</w:t>
      </w:r>
      <w:r w:rsidR="00E35985" w:rsidRPr="009E5B39">
        <w:rPr>
          <w:rFonts w:asciiTheme="majorHAnsi" w:hAnsiTheme="majorHAnsi" w:cstheme="majorHAnsi"/>
          <w:sz w:val="24"/>
          <w:szCs w:val="24"/>
          <w:shd w:val="clear" w:color="auto" w:fill="FFFFFF"/>
          <w:lang w:val="ro-MD"/>
        </w:rPr>
        <w:t>, din care 5</w:t>
      </w:r>
      <w:r w:rsidR="00D87E23" w:rsidRPr="009E5B39">
        <w:rPr>
          <w:rFonts w:asciiTheme="majorHAnsi" w:hAnsiTheme="majorHAnsi" w:cstheme="majorHAnsi"/>
          <w:sz w:val="24"/>
          <w:szCs w:val="24"/>
          <w:shd w:val="clear" w:color="auto" w:fill="FFFFFF"/>
          <w:lang w:val="ro-MD"/>
        </w:rPr>
        <w:t>,</w:t>
      </w:r>
      <w:r w:rsidR="00E35985" w:rsidRPr="009E5B39">
        <w:rPr>
          <w:rFonts w:asciiTheme="majorHAnsi" w:hAnsiTheme="majorHAnsi" w:cstheme="majorHAnsi"/>
          <w:sz w:val="24"/>
          <w:szCs w:val="24"/>
          <w:shd w:val="clear" w:color="auto" w:fill="FFFFFF"/>
          <w:lang w:val="ro-MD"/>
        </w:rPr>
        <w:t>00 mi</w:t>
      </w:r>
      <w:r w:rsidR="00D87E23" w:rsidRPr="009E5B39">
        <w:rPr>
          <w:rFonts w:asciiTheme="majorHAnsi" w:hAnsiTheme="majorHAnsi" w:cstheme="majorHAnsi"/>
          <w:sz w:val="24"/>
          <w:szCs w:val="24"/>
          <w:shd w:val="clear" w:color="auto" w:fill="FFFFFF"/>
          <w:lang w:val="ro-MD"/>
        </w:rPr>
        <w:t>l</w:t>
      </w:r>
      <w:r w:rsidR="00373ED5" w:rsidRPr="009E5B39">
        <w:rPr>
          <w:rFonts w:asciiTheme="majorHAnsi" w:hAnsiTheme="majorHAnsi" w:cstheme="majorHAnsi"/>
          <w:sz w:val="24"/>
          <w:szCs w:val="24"/>
          <w:shd w:val="clear" w:color="auto" w:fill="FFFFFF"/>
          <w:lang w:val="ro-MD"/>
        </w:rPr>
        <w:t>.</w:t>
      </w:r>
      <w:r w:rsidR="00E35985" w:rsidRPr="009E5B39">
        <w:rPr>
          <w:rFonts w:asciiTheme="majorHAnsi" w:hAnsiTheme="majorHAnsi" w:cstheme="majorHAnsi"/>
          <w:sz w:val="24"/>
          <w:szCs w:val="24"/>
          <w:shd w:val="clear" w:color="auto" w:fill="FFFFFF"/>
          <w:lang w:val="ro-MD"/>
        </w:rPr>
        <w:t xml:space="preserve"> </w:t>
      </w:r>
      <w:r w:rsidR="00FB3E2D" w:rsidRPr="009E5B39">
        <w:rPr>
          <w:rFonts w:asciiTheme="majorHAnsi" w:hAnsiTheme="majorHAnsi" w:cstheme="majorHAnsi"/>
          <w:sz w:val="24"/>
          <w:szCs w:val="24"/>
          <w:shd w:val="clear" w:color="auto" w:fill="FFFFFF"/>
          <w:lang w:val="ro-MD"/>
        </w:rPr>
        <w:t>euro</w:t>
      </w:r>
      <w:r w:rsidR="00E35985" w:rsidRPr="009E5B39">
        <w:rPr>
          <w:rFonts w:asciiTheme="majorHAnsi" w:hAnsiTheme="majorHAnsi" w:cstheme="majorHAnsi"/>
          <w:sz w:val="24"/>
          <w:szCs w:val="24"/>
          <w:shd w:val="clear" w:color="auto" w:fill="FFFFFF"/>
          <w:lang w:val="ro-MD"/>
        </w:rPr>
        <w:t xml:space="preserve"> constituie grant</w:t>
      </w:r>
      <w:r w:rsidR="00373ED5" w:rsidRPr="009E5B39">
        <w:rPr>
          <w:rFonts w:asciiTheme="majorHAnsi" w:hAnsiTheme="majorHAnsi" w:cstheme="majorHAnsi"/>
          <w:sz w:val="24"/>
          <w:szCs w:val="24"/>
          <w:shd w:val="clear" w:color="auto" w:fill="FFFFFF"/>
          <w:lang w:val="ro-MD"/>
        </w:rPr>
        <w:t>ul</w:t>
      </w:r>
      <w:r w:rsidR="00E35985" w:rsidRPr="009E5B39">
        <w:rPr>
          <w:rFonts w:asciiTheme="majorHAnsi" w:hAnsiTheme="majorHAnsi" w:cstheme="majorHAnsi"/>
          <w:sz w:val="24"/>
          <w:szCs w:val="24"/>
          <w:shd w:val="clear" w:color="auto" w:fill="FFFFFF"/>
          <w:lang w:val="ro-MD"/>
        </w:rPr>
        <w:t xml:space="preserve"> acordat de BERD. Creditele în sumă totală de 20</w:t>
      </w:r>
      <w:r w:rsidR="00D87E23" w:rsidRPr="009E5B39">
        <w:rPr>
          <w:rFonts w:asciiTheme="majorHAnsi" w:hAnsiTheme="majorHAnsi" w:cstheme="majorHAnsi"/>
          <w:sz w:val="24"/>
          <w:szCs w:val="24"/>
          <w:shd w:val="clear" w:color="auto" w:fill="FFFFFF"/>
          <w:lang w:val="ro-MD"/>
        </w:rPr>
        <w:t>,</w:t>
      </w:r>
      <w:r w:rsidR="00E35985" w:rsidRPr="009E5B39">
        <w:rPr>
          <w:rFonts w:asciiTheme="majorHAnsi" w:hAnsiTheme="majorHAnsi" w:cstheme="majorHAnsi"/>
          <w:sz w:val="24"/>
          <w:szCs w:val="24"/>
          <w:shd w:val="clear" w:color="auto" w:fill="FFFFFF"/>
          <w:lang w:val="ro-MD"/>
        </w:rPr>
        <w:t>00 mi</w:t>
      </w:r>
      <w:r w:rsidR="00D87E23" w:rsidRPr="009E5B39">
        <w:rPr>
          <w:rFonts w:asciiTheme="majorHAnsi" w:hAnsiTheme="majorHAnsi" w:cstheme="majorHAnsi"/>
          <w:sz w:val="24"/>
          <w:szCs w:val="24"/>
          <w:shd w:val="clear" w:color="auto" w:fill="FFFFFF"/>
          <w:lang w:val="ro-MD"/>
        </w:rPr>
        <w:t>l</w:t>
      </w:r>
      <w:r w:rsidR="00373ED5" w:rsidRPr="009E5B39">
        <w:rPr>
          <w:rFonts w:asciiTheme="majorHAnsi" w:hAnsiTheme="majorHAnsi" w:cstheme="majorHAnsi"/>
          <w:sz w:val="24"/>
          <w:szCs w:val="24"/>
          <w:shd w:val="clear" w:color="auto" w:fill="FFFFFF"/>
          <w:lang w:val="ro-MD"/>
        </w:rPr>
        <w:t>.</w:t>
      </w:r>
      <w:r w:rsidR="00E35985" w:rsidRPr="009E5B39">
        <w:rPr>
          <w:rFonts w:asciiTheme="majorHAnsi" w:hAnsiTheme="majorHAnsi" w:cstheme="majorHAnsi"/>
          <w:sz w:val="24"/>
          <w:szCs w:val="24"/>
          <w:shd w:val="clear" w:color="auto" w:fill="FFFFFF"/>
          <w:lang w:val="ro-MD"/>
        </w:rPr>
        <w:t xml:space="preserve"> </w:t>
      </w:r>
      <w:r w:rsidR="00FB3E2D" w:rsidRPr="009E5B39">
        <w:rPr>
          <w:rFonts w:asciiTheme="majorHAnsi" w:hAnsiTheme="majorHAnsi" w:cstheme="majorHAnsi"/>
          <w:sz w:val="24"/>
          <w:szCs w:val="24"/>
          <w:shd w:val="clear" w:color="auto" w:fill="FFFFFF"/>
          <w:lang w:val="ro-MD"/>
        </w:rPr>
        <w:t>e</w:t>
      </w:r>
      <w:r w:rsidR="00E35985" w:rsidRPr="009E5B39">
        <w:rPr>
          <w:rFonts w:asciiTheme="majorHAnsi" w:hAnsiTheme="majorHAnsi" w:cstheme="majorHAnsi"/>
          <w:sz w:val="24"/>
          <w:szCs w:val="24"/>
          <w:shd w:val="clear" w:color="auto" w:fill="FFFFFF"/>
          <w:lang w:val="ro-MD"/>
        </w:rPr>
        <w:t>uro</w:t>
      </w:r>
      <w:r w:rsidR="00E35985" w:rsidRPr="009E5B39">
        <w:rPr>
          <w:rFonts w:asciiTheme="majorHAnsi" w:hAnsiTheme="majorHAnsi" w:cstheme="majorHAnsi"/>
          <w:sz w:val="24"/>
          <w:szCs w:val="24"/>
          <w:shd w:val="clear" w:color="auto" w:fill="FFFFFF"/>
          <w:vertAlign w:val="superscript"/>
          <w:lang w:val="ro-MD"/>
        </w:rPr>
        <w:footnoteReference w:id="87"/>
      </w:r>
      <w:r w:rsidR="00E35985" w:rsidRPr="009E5B39">
        <w:rPr>
          <w:rFonts w:asciiTheme="majorHAnsi" w:hAnsiTheme="majorHAnsi" w:cstheme="majorHAnsi"/>
          <w:sz w:val="24"/>
          <w:szCs w:val="24"/>
          <w:shd w:val="clear" w:color="auto" w:fill="FFFFFF"/>
          <w:lang w:val="ro-MD"/>
        </w:rPr>
        <w:t xml:space="preserve"> au fost contractate în anul 2017, </w:t>
      </w:r>
      <w:r w:rsidR="00373ED5" w:rsidRPr="009E5B39">
        <w:rPr>
          <w:rFonts w:asciiTheme="majorHAnsi" w:hAnsiTheme="majorHAnsi" w:cstheme="majorHAnsi"/>
          <w:sz w:val="24"/>
          <w:szCs w:val="24"/>
          <w:shd w:val="clear" w:color="auto" w:fill="FFFFFF"/>
          <w:lang w:val="ro-MD"/>
        </w:rPr>
        <w:t>dar</w:t>
      </w:r>
      <w:r w:rsidR="00E35985" w:rsidRPr="009E5B39">
        <w:rPr>
          <w:rFonts w:asciiTheme="majorHAnsi" w:hAnsiTheme="majorHAnsi" w:cstheme="majorHAnsi"/>
          <w:sz w:val="24"/>
          <w:szCs w:val="24"/>
          <w:shd w:val="clear" w:color="auto" w:fill="FFFFFF"/>
          <w:lang w:val="ro-MD"/>
        </w:rPr>
        <w:t xml:space="preserve"> realizarea efectivă a proiectului a început</w:t>
      </w:r>
      <w:r w:rsidR="00373ED5" w:rsidRPr="009E5B39">
        <w:rPr>
          <w:rFonts w:asciiTheme="majorHAnsi" w:hAnsiTheme="majorHAnsi" w:cstheme="majorHAnsi"/>
          <w:sz w:val="24"/>
          <w:szCs w:val="24"/>
          <w:shd w:val="clear" w:color="auto" w:fill="FFFFFF"/>
          <w:lang w:val="ro-MD"/>
        </w:rPr>
        <w:t xml:space="preserve"> abia</w:t>
      </w:r>
      <w:r w:rsidR="00E35985" w:rsidRPr="009E5B39">
        <w:rPr>
          <w:rFonts w:asciiTheme="majorHAnsi" w:hAnsiTheme="majorHAnsi" w:cstheme="majorHAnsi"/>
          <w:sz w:val="24"/>
          <w:szCs w:val="24"/>
          <w:shd w:val="clear" w:color="auto" w:fill="FFFFFF"/>
          <w:lang w:val="ro-MD"/>
        </w:rPr>
        <w:t xml:space="preserve"> în anul 2021. Valoarea totală a contractelor încheiate cu antreprenorii însumează 21,62 milioane </w:t>
      </w:r>
      <w:r w:rsidR="00FB3E2D" w:rsidRPr="009E5B39">
        <w:rPr>
          <w:rFonts w:asciiTheme="majorHAnsi" w:hAnsiTheme="majorHAnsi" w:cstheme="majorHAnsi"/>
          <w:sz w:val="24"/>
          <w:szCs w:val="24"/>
          <w:shd w:val="clear" w:color="auto" w:fill="FFFFFF"/>
          <w:lang w:val="ro-MD"/>
        </w:rPr>
        <w:t>e</w:t>
      </w:r>
      <w:r w:rsidR="00E35985" w:rsidRPr="009E5B39">
        <w:rPr>
          <w:rFonts w:asciiTheme="majorHAnsi" w:hAnsiTheme="majorHAnsi" w:cstheme="majorHAnsi"/>
          <w:sz w:val="24"/>
          <w:szCs w:val="24"/>
          <w:shd w:val="clear" w:color="auto" w:fill="FFFFFF"/>
          <w:lang w:val="ro-MD"/>
        </w:rPr>
        <w:t xml:space="preserve">uro, iar plățile efectuate pentru lucrările executate constituie 11,58 milioane </w:t>
      </w:r>
      <w:r w:rsidR="00FB3E2D" w:rsidRPr="009E5B39">
        <w:rPr>
          <w:rFonts w:asciiTheme="majorHAnsi" w:hAnsiTheme="majorHAnsi" w:cstheme="majorHAnsi"/>
          <w:sz w:val="24"/>
          <w:szCs w:val="24"/>
          <w:shd w:val="clear" w:color="auto" w:fill="FFFFFF"/>
          <w:lang w:val="ro-MD"/>
        </w:rPr>
        <w:t>e</w:t>
      </w:r>
      <w:r w:rsidR="00E35985" w:rsidRPr="009E5B39">
        <w:rPr>
          <w:rFonts w:asciiTheme="majorHAnsi" w:hAnsiTheme="majorHAnsi" w:cstheme="majorHAnsi"/>
          <w:sz w:val="24"/>
          <w:szCs w:val="24"/>
          <w:shd w:val="clear" w:color="auto" w:fill="FFFFFF"/>
          <w:lang w:val="ro-MD"/>
        </w:rPr>
        <w:t xml:space="preserve">uro, sau 53,56 % din valoarea contractelor încheiate.  </w:t>
      </w:r>
    </w:p>
    <w:p w14:paraId="57DC0742" w14:textId="45FDD4A6" w:rsidR="00E35985" w:rsidRPr="009E5B39" w:rsidRDefault="00E35985" w:rsidP="003C5073">
      <w:pPr>
        <w:spacing w:after="0" w:line="276" w:lineRule="auto"/>
        <w:jc w:val="both"/>
        <w:rPr>
          <w:rFonts w:asciiTheme="majorHAnsi" w:hAnsiTheme="majorHAnsi" w:cstheme="majorHAnsi"/>
          <w:b/>
          <w:sz w:val="24"/>
          <w:szCs w:val="24"/>
          <w:lang w:val="ro-MD"/>
        </w:rPr>
      </w:pPr>
      <w:r w:rsidRPr="009E5B39">
        <w:rPr>
          <w:rFonts w:asciiTheme="majorHAnsi" w:hAnsiTheme="majorHAnsi" w:cstheme="majorHAnsi"/>
          <w:b/>
          <w:i/>
          <w:sz w:val="24"/>
          <w:szCs w:val="24"/>
          <w:lang w:val="ro-MD"/>
        </w:rPr>
        <w:t>4.2.</w:t>
      </w:r>
      <w:r w:rsidR="009B37B3" w:rsidRPr="009E5B39">
        <w:rPr>
          <w:rFonts w:asciiTheme="majorHAnsi" w:hAnsiTheme="majorHAnsi" w:cstheme="majorHAnsi"/>
          <w:b/>
          <w:i/>
          <w:sz w:val="24"/>
          <w:szCs w:val="24"/>
          <w:lang w:val="ro-MD"/>
        </w:rPr>
        <w:t>11</w:t>
      </w:r>
      <w:r w:rsidR="009B37B3" w:rsidRPr="009E5B39">
        <w:rPr>
          <w:rFonts w:asciiTheme="majorHAnsi" w:hAnsiTheme="majorHAnsi" w:cstheme="majorHAnsi"/>
          <w:b/>
          <w:sz w:val="24"/>
          <w:szCs w:val="24"/>
          <w:lang w:val="ro-MD"/>
        </w:rPr>
        <w:t xml:space="preserve">. </w:t>
      </w:r>
      <w:r w:rsidRPr="009E5B39">
        <w:rPr>
          <w:rFonts w:asciiTheme="majorHAnsi" w:hAnsiTheme="majorHAnsi" w:cstheme="majorHAnsi"/>
          <w:b/>
          <w:sz w:val="24"/>
          <w:szCs w:val="24"/>
          <w:lang w:val="ro-MD"/>
        </w:rPr>
        <w:t xml:space="preserve"> Curtea de Conturi</w:t>
      </w:r>
      <w:r w:rsidR="00373ED5"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în Rapoartele</w:t>
      </w:r>
      <w:r w:rsidRPr="009E5B39">
        <w:rPr>
          <w:rFonts w:asciiTheme="majorHAnsi" w:hAnsiTheme="majorHAnsi" w:cstheme="majorHAnsi"/>
          <w:b/>
          <w:sz w:val="24"/>
          <w:szCs w:val="24"/>
          <w:vertAlign w:val="superscript"/>
          <w:lang w:val="ro-MD"/>
        </w:rPr>
        <w:footnoteReference w:id="88"/>
      </w:r>
      <w:r w:rsidRPr="009E5B39">
        <w:rPr>
          <w:rFonts w:asciiTheme="majorHAnsi" w:hAnsiTheme="majorHAnsi" w:cstheme="majorHAnsi"/>
          <w:b/>
          <w:sz w:val="24"/>
          <w:szCs w:val="24"/>
          <w:lang w:val="ro-MD"/>
        </w:rPr>
        <w:t xml:space="preserve"> sale anterioare</w:t>
      </w:r>
      <w:r w:rsidR="00373ED5"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a înaintat recomandări </w:t>
      </w:r>
      <w:r w:rsidR="00D36089" w:rsidRPr="009E5B39">
        <w:rPr>
          <w:rFonts w:asciiTheme="majorHAnsi" w:hAnsiTheme="majorHAnsi" w:cstheme="majorHAnsi"/>
          <w:b/>
          <w:sz w:val="24"/>
          <w:szCs w:val="24"/>
          <w:lang w:val="ro-MD"/>
        </w:rPr>
        <w:t>privind</w:t>
      </w:r>
      <w:r w:rsidRPr="009E5B39">
        <w:rPr>
          <w:rFonts w:asciiTheme="majorHAnsi" w:hAnsiTheme="majorHAnsi" w:cstheme="majorHAnsi"/>
          <w:b/>
          <w:sz w:val="24"/>
          <w:szCs w:val="24"/>
          <w:lang w:val="ro-MD"/>
        </w:rPr>
        <w:t xml:space="preserve"> revizui</w:t>
      </w:r>
      <w:r w:rsidR="00D36089" w:rsidRPr="009E5B39">
        <w:rPr>
          <w:rFonts w:asciiTheme="majorHAnsi" w:hAnsiTheme="majorHAnsi" w:cstheme="majorHAnsi"/>
          <w:b/>
          <w:sz w:val="24"/>
          <w:szCs w:val="24"/>
          <w:lang w:val="ro-MD"/>
        </w:rPr>
        <w:t>rea</w:t>
      </w:r>
      <w:r w:rsidRPr="009E5B39">
        <w:rPr>
          <w:rFonts w:asciiTheme="majorHAnsi" w:hAnsiTheme="majorHAnsi" w:cstheme="majorHAnsi"/>
          <w:b/>
          <w:sz w:val="24"/>
          <w:szCs w:val="24"/>
          <w:lang w:val="ro-MD"/>
        </w:rPr>
        <w:t xml:space="preserve"> organigram</w:t>
      </w:r>
      <w:r w:rsidR="00D36089" w:rsidRPr="009E5B39">
        <w:rPr>
          <w:rFonts w:asciiTheme="majorHAnsi" w:hAnsiTheme="majorHAnsi" w:cstheme="majorHAnsi"/>
          <w:b/>
          <w:sz w:val="24"/>
          <w:szCs w:val="24"/>
          <w:lang w:val="ro-MD"/>
        </w:rPr>
        <w:t>ei</w:t>
      </w:r>
      <w:r w:rsidRPr="009E5B39">
        <w:rPr>
          <w:rFonts w:asciiTheme="majorHAnsi" w:hAnsiTheme="majorHAnsi" w:cstheme="majorHAnsi"/>
          <w:b/>
          <w:sz w:val="24"/>
          <w:szCs w:val="24"/>
          <w:lang w:val="ro-MD"/>
        </w:rPr>
        <w:t>/structur</w:t>
      </w:r>
      <w:r w:rsidR="00D36089" w:rsidRPr="009E5B39">
        <w:rPr>
          <w:rFonts w:asciiTheme="majorHAnsi" w:hAnsiTheme="majorHAnsi" w:cstheme="majorHAnsi"/>
          <w:b/>
          <w:sz w:val="24"/>
          <w:szCs w:val="24"/>
          <w:lang w:val="ro-MD"/>
        </w:rPr>
        <w:t>ii</w:t>
      </w:r>
      <w:r w:rsidRPr="009E5B39">
        <w:rPr>
          <w:rFonts w:asciiTheme="majorHAnsi" w:hAnsiTheme="majorHAnsi" w:cstheme="majorHAnsi"/>
          <w:b/>
          <w:sz w:val="24"/>
          <w:szCs w:val="24"/>
          <w:lang w:val="ro-MD"/>
        </w:rPr>
        <w:t xml:space="preserve"> aparatului Primăriei și autorităților/entităților din subordine, optimizarea funcțiilor și raționalizarea statelor de personal, precum și eliminarea suprapunerii/dublărilor de competențe, fundamentarea, avizarea și înregistrarea statelor de personal conform cadrului legal și în corespundere cu sarcinile stabilite și volumul efectiv de lucru, însă până la moment nu a fost </w:t>
      </w:r>
      <w:r w:rsidR="006414BD" w:rsidRPr="009E5B39">
        <w:rPr>
          <w:rFonts w:asciiTheme="majorHAnsi" w:hAnsiTheme="majorHAnsi" w:cstheme="majorHAnsi"/>
          <w:b/>
          <w:sz w:val="24"/>
          <w:szCs w:val="24"/>
          <w:lang w:val="ro-MD"/>
        </w:rPr>
        <w:t xml:space="preserve">evaluat volumul efectiv de muncă, exclusă suprapunerea/dublările de competențe, și nici </w:t>
      </w:r>
      <w:r w:rsidRPr="009E5B39">
        <w:rPr>
          <w:rFonts w:asciiTheme="majorHAnsi" w:hAnsiTheme="majorHAnsi" w:cstheme="majorHAnsi"/>
          <w:b/>
          <w:sz w:val="24"/>
          <w:szCs w:val="24"/>
          <w:lang w:val="ro-MD"/>
        </w:rPr>
        <w:t xml:space="preserve">asigurată optimizarea funcțiilor. Mai mult </w:t>
      </w:r>
      <w:r w:rsidR="00D36089" w:rsidRPr="009E5B39">
        <w:rPr>
          <w:rFonts w:asciiTheme="majorHAnsi" w:hAnsiTheme="majorHAnsi" w:cstheme="majorHAnsi"/>
          <w:b/>
          <w:sz w:val="24"/>
          <w:szCs w:val="24"/>
          <w:lang w:val="ro-MD"/>
        </w:rPr>
        <w:t>decât</w:t>
      </w:r>
      <w:r w:rsidRPr="009E5B39">
        <w:rPr>
          <w:rFonts w:asciiTheme="majorHAnsi" w:hAnsiTheme="majorHAnsi" w:cstheme="majorHAnsi"/>
          <w:b/>
          <w:sz w:val="24"/>
          <w:szCs w:val="24"/>
          <w:lang w:val="ro-MD"/>
        </w:rPr>
        <w:t xml:space="preserve"> atât, în perioada </w:t>
      </w:r>
      <w:r w:rsidR="00D36089" w:rsidRPr="009E5B39">
        <w:rPr>
          <w:rFonts w:asciiTheme="majorHAnsi" w:hAnsiTheme="majorHAnsi" w:cstheme="majorHAnsi"/>
          <w:b/>
          <w:sz w:val="24"/>
          <w:szCs w:val="24"/>
          <w:lang w:val="ro-MD"/>
        </w:rPr>
        <w:t xml:space="preserve">anilor </w:t>
      </w:r>
      <w:r w:rsidRPr="009E5B39">
        <w:rPr>
          <w:rFonts w:asciiTheme="majorHAnsi" w:hAnsiTheme="majorHAnsi" w:cstheme="majorHAnsi"/>
          <w:b/>
          <w:sz w:val="24"/>
          <w:szCs w:val="24"/>
          <w:lang w:val="ro-MD"/>
        </w:rPr>
        <w:t>2019-2021</w:t>
      </w:r>
      <w:r w:rsidR="00D36089"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statele de personal ale APL au înregistrat o majorare.</w:t>
      </w:r>
    </w:p>
    <w:p w14:paraId="2F0F5721" w14:textId="133F757A" w:rsidR="00E35985" w:rsidRPr="009E5B39" w:rsidRDefault="00E35985" w:rsidP="003C5073">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Potrivit datelor raportate de către instituțiile din subordine</w:t>
      </w:r>
      <w:r w:rsidRPr="009E5B39">
        <w:rPr>
          <w:rFonts w:asciiTheme="majorHAnsi" w:hAnsiTheme="majorHAnsi" w:cstheme="majorHAnsi"/>
          <w:sz w:val="24"/>
          <w:szCs w:val="24"/>
          <w:vertAlign w:val="superscript"/>
          <w:lang w:val="ro-MD"/>
        </w:rPr>
        <w:footnoteReference w:id="89"/>
      </w:r>
      <w:r w:rsidRPr="009E5B39">
        <w:rPr>
          <w:rFonts w:asciiTheme="majorHAnsi" w:hAnsiTheme="majorHAnsi" w:cstheme="majorHAnsi"/>
          <w:sz w:val="24"/>
          <w:szCs w:val="24"/>
          <w:lang w:val="ro-MD"/>
        </w:rPr>
        <w:t>, în</w:t>
      </w:r>
      <w:r w:rsidR="00747535" w:rsidRPr="009E5B39">
        <w:rPr>
          <w:rFonts w:asciiTheme="majorHAnsi" w:hAnsiTheme="majorHAnsi" w:cstheme="majorHAnsi"/>
          <w:sz w:val="24"/>
          <w:szCs w:val="24"/>
          <w:lang w:val="ro-MD"/>
        </w:rPr>
        <w:t xml:space="preserve"> anul</w:t>
      </w:r>
      <w:r w:rsidRPr="009E5B39">
        <w:rPr>
          <w:rFonts w:asciiTheme="majorHAnsi" w:hAnsiTheme="majorHAnsi" w:cstheme="majorHAnsi"/>
          <w:sz w:val="24"/>
          <w:szCs w:val="24"/>
          <w:lang w:val="ro-MD"/>
        </w:rPr>
        <w:t xml:space="preserve"> 2018 statele de personal ale autorităților publice locale (aparatele </w:t>
      </w:r>
      <w:r w:rsidR="009542CB" w:rsidRPr="009E5B39">
        <w:rPr>
          <w:rFonts w:asciiTheme="majorHAnsi" w:hAnsiTheme="majorHAnsi" w:cstheme="majorHAnsi"/>
          <w:sz w:val="24"/>
          <w:szCs w:val="24"/>
          <w:lang w:val="ro-MD"/>
        </w:rPr>
        <w:t>D</w:t>
      </w:r>
      <w:r w:rsidRPr="009E5B39">
        <w:rPr>
          <w:rFonts w:asciiTheme="majorHAnsi" w:hAnsiTheme="majorHAnsi" w:cstheme="majorHAnsi"/>
          <w:sz w:val="24"/>
          <w:szCs w:val="24"/>
          <w:lang w:val="ro-MD"/>
        </w:rPr>
        <w:t xml:space="preserve">irecțiilor din subordine) nu au suportat careva modificări în comparație cu numărul acestora raportat pentru anul 2016. Deși la sfârșitul anului 2018 au fost lichidate trei Direcții (cu 27,5 unități), în </w:t>
      </w:r>
      <w:r w:rsidR="009542CB"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2019 statel</w:t>
      </w:r>
      <w:r w:rsidR="009542CB"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de personal au fost majorate cu 17,5 unități. </w:t>
      </w:r>
      <w:r w:rsidR="00E113B5" w:rsidRPr="009E5B39">
        <w:rPr>
          <w:rFonts w:asciiTheme="majorHAnsi" w:hAnsiTheme="majorHAnsi" w:cstheme="majorHAnsi"/>
          <w:sz w:val="24"/>
          <w:szCs w:val="24"/>
          <w:lang w:val="ro-MD"/>
        </w:rPr>
        <w:t>Î</w:t>
      </w:r>
      <w:r w:rsidRPr="009E5B39">
        <w:rPr>
          <w:rFonts w:asciiTheme="majorHAnsi" w:hAnsiTheme="majorHAnsi" w:cstheme="majorHAnsi"/>
          <w:sz w:val="24"/>
          <w:szCs w:val="24"/>
          <w:lang w:val="ro-MD"/>
        </w:rPr>
        <w:t>ncepând cu anul 2019</w:t>
      </w:r>
      <w:r w:rsidR="009542CB"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UAT mun. Chișinău majorează anual statele de personal, la finele anului 2020 constituind cu 149 </w:t>
      </w:r>
      <w:r w:rsidR="00E113B5"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unități mai mult față de ace</w:t>
      </w:r>
      <w:r w:rsidR="009542CB"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ași perioadă a anului 2018, fără a ține cont de funcțiile vacante, care în ultimii 6 ani sunt într-o continuă creștere. Astfel, la finele anului 2016 erau vacante 202 unități, din care 132  (sau 65%) funcții publice, iar la finele anului 2020 acestea constituiau 357 unități, din care 266 (sau 74,5%) unități - funcționari publici. Din 33 </w:t>
      </w:r>
      <w:r w:rsidR="00E113B5"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 xml:space="preserve">unități cu care au fost majorate statele de personal în anul 2020, 22 </w:t>
      </w:r>
      <w:r w:rsidR="00E113B5"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 xml:space="preserve">unități sunt la Preturile de sector. În anul 2021, statele de personal ale Preturilor de sector au fost majorate cu încă 21 </w:t>
      </w:r>
      <w:r w:rsidR="00E113B5"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 xml:space="preserve">unități. </w:t>
      </w:r>
      <w:r w:rsidRPr="009E5B39">
        <w:rPr>
          <w:rFonts w:asciiTheme="majorHAnsi" w:hAnsiTheme="majorHAnsi" w:cstheme="majorHAnsi"/>
          <w:i/>
          <w:sz w:val="24"/>
          <w:szCs w:val="24"/>
          <w:lang w:val="ro-MD"/>
        </w:rPr>
        <w:t>Analiza det</w:t>
      </w:r>
      <w:r w:rsidR="00521256" w:rsidRPr="009E5B39">
        <w:rPr>
          <w:rFonts w:asciiTheme="majorHAnsi" w:hAnsiTheme="majorHAnsi" w:cstheme="majorHAnsi"/>
          <w:i/>
          <w:sz w:val="24"/>
          <w:szCs w:val="24"/>
          <w:lang w:val="ro-MD"/>
        </w:rPr>
        <w:t xml:space="preserve">aliată </w:t>
      </w:r>
      <w:r w:rsidR="00E113B5" w:rsidRPr="009E5B39">
        <w:rPr>
          <w:rFonts w:asciiTheme="majorHAnsi" w:hAnsiTheme="majorHAnsi" w:cstheme="majorHAnsi"/>
          <w:i/>
          <w:sz w:val="24"/>
          <w:szCs w:val="24"/>
          <w:lang w:val="ro-MD"/>
        </w:rPr>
        <w:t xml:space="preserve">în acest sens </w:t>
      </w:r>
      <w:r w:rsidR="00521256" w:rsidRPr="009E5B39">
        <w:rPr>
          <w:rFonts w:asciiTheme="majorHAnsi" w:hAnsiTheme="majorHAnsi" w:cstheme="majorHAnsi"/>
          <w:i/>
          <w:sz w:val="24"/>
          <w:szCs w:val="24"/>
          <w:lang w:val="ro-MD"/>
        </w:rPr>
        <w:t xml:space="preserve">se prezintă în Anexa nr. </w:t>
      </w:r>
      <w:r w:rsidR="00930FE2" w:rsidRPr="009E5B39">
        <w:rPr>
          <w:rFonts w:asciiTheme="majorHAnsi" w:hAnsiTheme="majorHAnsi" w:cstheme="majorHAnsi"/>
          <w:i/>
          <w:sz w:val="24"/>
          <w:szCs w:val="24"/>
          <w:lang w:val="ro-MD"/>
        </w:rPr>
        <w:t>6</w:t>
      </w:r>
      <w:r w:rsidR="00521256" w:rsidRPr="009E5B39">
        <w:rPr>
          <w:rFonts w:asciiTheme="majorHAnsi" w:hAnsiTheme="majorHAnsi" w:cstheme="majorHAnsi"/>
          <w:i/>
          <w:sz w:val="24"/>
          <w:szCs w:val="24"/>
          <w:lang w:val="ro-MD"/>
        </w:rPr>
        <w:t xml:space="preserve"> </w:t>
      </w:r>
      <w:r w:rsidRPr="009E5B39">
        <w:rPr>
          <w:rFonts w:asciiTheme="majorHAnsi" w:hAnsiTheme="majorHAnsi" w:cstheme="majorHAnsi"/>
          <w:i/>
          <w:sz w:val="24"/>
          <w:szCs w:val="24"/>
          <w:lang w:val="ro-MD"/>
        </w:rPr>
        <w:t>la Raport</w:t>
      </w:r>
      <w:r w:rsidR="00E113B5" w:rsidRPr="009E5B39">
        <w:rPr>
          <w:rFonts w:asciiTheme="majorHAnsi" w:hAnsiTheme="majorHAnsi" w:cstheme="majorHAnsi"/>
          <w:i/>
          <w:sz w:val="24"/>
          <w:szCs w:val="24"/>
          <w:lang w:val="ro-MD"/>
        </w:rPr>
        <w:t>ul de audit.</w:t>
      </w:r>
      <w:r w:rsidRPr="009E5B39">
        <w:rPr>
          <w:rFonts w:asciiTheme="majorHAnsi" w:hAnsiTheme="majorHAnsi" w:cstheme="majorHAnsi"/>
          <w:i/>
          <w:sz w:val="24"/>
          <w:szCs w:val="24"/>
          <w:lang w:val="ro-MD"/>
        </w:rPr>
        <w:t xml:space="preserve"> </w:t>
      </w:r>
    </w:p>
    <w:p w14:paraId="53CA4D21" w14:textId="02C84141" w:rsidR="004E41D0" w:rsidRPr="009E5B39" w:rsidRDefault="00E113B5" w:rsidP="006A0901">
      <w:pPr>
        <w:spacing w:after="0" w:line="276" w:lineRule="auto"/>
        <w:jc w:val="both"/>
        <w:rPr>
          <w:rFonts w:asciiTheme="majorHAnsi" w:hAnsiTheme="majorHAnsi" w:cstheme="majorHAnsi"/>
          <w:bCs/>
          <w:iCs/>
          <w:sz w:val="24"/>
          <w:szCs w:val="24"/>
          <w:lang w:val="ro-MD"/>
        </w:rPr>
      </w:pPr>
      <w:r w:rsidRPr="009E5B39">
        <w:rPr>
          <w:rFonts w:asciiTheme="majorHAnsi" w:hAnsiTheme="majorHAnsi"/>
          <w:sz w:val="24"/>
          <w:szCs w:val="24"/>
          <w:lang w:val="ro-MD"/>
        </w:rPr>
        <w:t xml:space="preserve">        </w:t>
      </w:r>
      <w:r w:rsidR="006414BD" w:rsidRPr="009E5B39">
        <w:rPr>
          <w:rFonts w:asciiTheme="majorHAnsi" w:hAnsiTheme="majorHAnsi"/>
          <w:sz w:val="24"/>
          <w:szCs w:val="24"/>
          <w:lang w:val="ro-MD"/>
        </w:rPr>
        <w:tab/>
      </w:r>
      <w:r w:rsidR="00E35985" w:rsidRPr="009E5B39">
        <w:rPr>
          <w:rFonts w:asciiTheme="majorHAnsi" w:hAnsiTheme="majorHAnsi"/>
          <w:sz w:val="24"/>
          <w:szCs w:val="24"/>
          <w:lang w:val="ro-MD"/>
        </w:rPr>
        <w:t xml:space="preserve">APL </w:t>
      </w:r>
      <w:r w:rsidRPr="009E5B39">
        <w:rPr>
          <w:rFonts w:asciiTheme="majorHAnsi" w:hAnsiTheme="majorHAnsi"/>
          <w:sz w:val="24"/>
          <w:szCs w:val="24"/>
          <w:lang w:val="ro-MD"/>
        </w:rPr>
        <w:t xml:space="preserve">a </w:t>
      </w:r>
      <w:r w:rsidR="00E35985" w:rsidRPr="009E5B39">
        <w:rPr>
          <w:rFonts w:asciiTheme="majorHAnsi" w:hAnsiTheme="majorHAnsi"/>
          <w:sz w:val="24"/>
          <w:szCs w:val="24"/>
          <w:lang w:val="ro-MD"/>
        </w:rPr>
        <w:t>mun. Chișinău nu asigură eliminarea dublărilor de competențe la aprobarea regulamentelor de activitate a</w:t>
      </w:r>
      <w:r w:rsidRPr="009E5B39">
        <w:rPr>
          <w:rFonts w:asciiTheme="majorHAnsi" w:hAnsiTheme="majorHAnsi"/>
          <w:sz w:val="24"/>
          <w:szCs w:val="24"/>
          <w:lang w:val="ro-MD"/>
        </w:rPr>
        <w:t>le</w:t>
      </w:r>
      <w:r w:rsidR="00E35985" w:rsidRPr="009E5B39">
        <w:rPr>
          <w:rFonts w:asciiTheme="majorHAnsi" w:hAnsiTheme="majorHAnsi"/>
          <w:sz w:val="24"/>
          <w:szCs w:val="24"/>
          <w:lang w:val="ro-MD"/>
        </w:rPr>
        <w:t xml:space="preserve"> </w:t>
      </w:r>
      <w:r w:rsidRPr="009E5B39">
        <w:rPr>
          <w:rFonts w:asciiTheme="majorHAnsi" w:hAnsiTheme="majorHAnsi"/>
          <w:sz w:val="24"/>
          <w:szCs w:val="24"/>
          <w:lang w:val="ro-MD"/>
        </w:rPr>
        <w:t>D</w:t>
      </w:r>
      <w:r w:rsidR="00E35985" w:rsidRPr="009E5B39">
        <w:rPr>
          <w:rFonts w:asciiTheme="majorHAnsi" w:hAnsiTheme="majorHAnsi"/>
          <w:sz w:val="24"/>
          <w:szCs w:val="24"/>
          <w:lang w:val="ro-MD"/>
        </w:rPr>
        <w:t>irecțiilor din subordine. Astfel</w:t>
      </w:r>
      <w:r w:rsidRPr="009E5B39">
        <w:rPr>
          <w:rFonts w:asciiTheme="majorHAnsi" w:hAnsiTheme="majorHAnsi"/>
          <w:sz w:val="24"/>
          <w:szCs w:val="24"/>
          <w:lang w:val="ro-MD"/>
        </w:rPr>
        <w:t>,</w:t>
      </w:r>
      <w:r w:rsidR="00E35985" w:rsidRPr="009E5B39">
        <w:rPr>
          <w:rFonts w:asciiTheme="majorHAnsi" w:hAnsiTheme="majorHAnsi"/>
          <w:sz w:val="24"/>
          <w:szCs w:val="24"/>
          <w:lang w:val="ro-MD"/>
        </w:rPr>
        <w:t xml:space="preserve"> în anul 2020 a fost aprobat</w:t>
      </w:r>
      <w:r w:rsidR="00E35985" w:rsidRPr="009E5B39">
        <w:rPr>
          <w:rFonts w:asciiTheme="majorHAnsi" w:hAnsiTheme="majorHAnsi" w:cstheme="majorHAnsi"/>
          <w:sz w:val="24"/>
          <w:szCs w:val="24"/>
          <w:lang w:val="ro-MD"/>
        </w:rPr>
        <w:t xml:space="preserve"> </w:t>
      </w:r>
      <w:r w:rsidR="00E35985" w:rsidRPr="009E5B39">
        <w:rPr>
          <w:rFonts w:asciiTheme="majorHAnsi" w:hAnsiTheme="majorHAnsi" w:cstheme="majorHAnsi"/>
          <w:bCs/>
          <w:iCs/>
          <w:sz w:val="24"/>
          <w:szCs w:val="24"/>
          <w:lang w:val="ro-MD"/>
        </w:rPr>
        <w:t>Regulamentul de organizare și funcționare a DGECT</w:t>
      </w:r>
      <w:r w:rsidR="00E35985" w:rsidRPr="009E5B39">
        <w:rPr>
          <w:rFonts w:asciiTheme="majorHAnsi" w:hAnsiTheme="majorHAnsi"/>
          <w:sz w:val="24"/>
          <w:szCs w:val="24"/>
          <w:vertAlign w:val="superscript"/>
          <w:lang w:val="ro-MD"/>
        </w:rPr>
        <w:footnoteReference w:id="90"/>
      </w:r>
      <w:r w:rsidR="00E35985" w:rsidRPr="009E5B39">
        <w:rPr>
          <w:rFonts w:asciiTheme="majorHAnsi" w:hAnsiTheme="majorHAnsi" w:cstheme="majorHAnsi"/>
          <w:bCs/>
          <w:iCs/>
          <w:sz w:val="24"/>
          <w:szCs w:val="24"/>
          <w:lang w:val="ro-MD"/>
        </w:rPr>
        <w:t>, una din</w:t>
      </w:r>
      <w:r w:rsidRPr="009E5B39">
        <w:rPr>
          <w:rFonts w:asciiTheme="majorHAnsi" w:hAnsiTheme="majorHAnsi" w:cstheme="majorHAnsi"/>
          <w:bCs/>
          <w:iCs/>
          <w:sz w:val="24"/>
          <w:szCs w:val="24"/>
          <w:lang w:val="ro-MD"/>
        </w:rPr>
        <w:t>tre</w:t>
      </w:r>
      <w:r w:rsidR="00E35985" w:rsidRPr="009E5B39">
        <w:rPr>
          <w:rFonts w:asciiTheme="majorHAnsi" w:hAnsiTheme="majorHAnsi" w:cstheme="majorHAnsi"/>
          <w:bCs/>
          <w:iCs/>
          <w:sz w:val="24"/>
          <w:szCs w:val="24"/>
          <w:lang w:val="ro-MD"/>
        </w:rPr>
        <w:t xml:space="preserve"> funcțiile de bază a</w:t>
      </w:r>
      <w:r w:rsidRPr="009E5B39">
        <w:rPr>
          <w:rFonts w:asciiTheme="majorHAnsi" w:hAnsiTheme="majorHAnsi" w:cstheme="majorHAnsi"/>
          <w:bCs/>
          <w:iCs/>
          <w:sz w:val="24"/>
          <w:szCs w:val="24"/>
          <w:lang w:val="ro-MD"/>
        </w:rPr>
        <w:t>le</w:t>
      </w:r>
      <w:r w:rsidR="00E35985" w:rsidRPr="009E5B39">
        <w:rPr>
          <w:rFonts w:asciiTheme="majorHAnsi" w:hAnsiTheme="majorHAnsi" w:cstheme="majorHAnsi"/>
          <w:bCs/>
          <w:iCs/>
          <w:sz w:val="24"/>
          <w:szCs w:val="24"/>
          <w:lang w:val="ro-MD"/>
        </w:rPr>
        <w:t xml:space="preserve"> acesteia </w:t>
      </w:r>
      <w:r w:rsidRPr="009E5B39">
        <w:rPr>
          <w:rFonts w:asciiTheme="majorHAnsi" w:hAnsiTheme="majorHAnsi" w:cstheme="majorHAnsi"/>
          <w:bCs/>
          <w:iCs/>
          <w:sz w:val="24"/>
          <w:szCs w:val="24"/>
          <w:lang w:val="ro-MD"/>
        </w:rPr>
        <w:t>fiind</w:t>
      </w:r>
      <w:r w:rsidR="00E35985" w:rsidRPr="009E5B39">
        <w:rPr>
          <w:rFonts w:asciiTheme="majorHAnsi" w:hAnsiTheme="majorHAnsi" w:cstheme="majorHAnsi"/>
          <w:bCs/>
          <w:iCs/>
          <w:sz w:val="24"/>
          <w:szCs w:val="24"/>
          <w:lang w:val="ro-MD"/>
        </w:rPr>
        <w:t xml:space="preserve"> </w:t>
      </w:r>
      <w:r w:rsidR="00E35985" w:rsidRPr="009E5B39">
        <w:rPr>
          <w:rFonts w:asciiTheme="majorHAnsi" w:hAnsiTheme="majorHAnsi" w:cstheme="majorHAnsi"/>
          <w:bCs/>
          <w:i/>
          <w:iCs/>
          <w:sz w:val="24"/>
          <w:szCs w:val="24"/>
          <w:lang w:val="ro-MD"/>
        </w:rPr>
        <w:t>„efectuarea monitoring-ului financiar și corporativ al întreprinderilor municipale și societăților comerciale cu cota de participare a CMC în capitalul social, precum și coordonarea și sistematizarea informațiilor privind activitatea consiliilor de administrație ale întreprinderilor municipale și societăților comerciale cu cota de participare a CMC în capitalul social”.</w:t>
      </w:r>
      <w:r w:rsidR="00E35985" w:rsidRPr="009E5B39">
        <w:rPr>
          <w:rFonts w:asciiTheme="majorHAnsi" w:hAnsiTheme="majorHAnsi" w:cstheme="majorHAnsi"/>
          <w:bCs/>
          <w:iCs/>
          <w:sz w:val="24"/>
          <w:szCs w:val="24"/>
          <w:lang w:val="ro-MD"/>
        </w:rPr>
        <w:t xml:space="preserve"> Totodată, și Direcția management financiar din cadrul Primăriei, potrivit Regulamentului de activitate, </w:t>
      </w:r>
      <w:r w:rsidR="00E35985" w:rsidRPr="009E5B39">
        <w:rPr>
          <w:rFonts w:asciiTheme="majorHAnsi" w:hAnsiTheme="majorHAnsi" w:cstheme="majorHAnsi"/>
          <w:bCs/>
          <w:i/>
          <w:iCs/>
          <w:sz w:val="24"/>
          <w:szCs w:val="24"/>
          <w:lang w:val="ro-MD"/>
        </w:rPr>
        <w:t>conlucrează cu reprezentanții municipiului în entitățile economice privind rezultatele activității economic</w:t>
      </w:r>
      <w:r w:rsidRPr="009E5B39">
        <w:rPr>
          <w:rFonts w:asciiTheme="majorHAnsi" w:hAnsiTheme="majorHAnsi" w:cstheme="majorHAnsi"/>
          <w:bCs/>
          <w:i/>
          <w:iCs/>
          <w:sz w:val="24"/>
          <w:szCs w:val="24"/>
          <w:lang w:val="ro-MD"/>
        </w:rPr>
        <w:t>o</w:t>
      </w:r>
      <w:r w:rsidR="00E35985" w:rsidRPr="009E5B39">
        <w:rPr>
          <w:rFonts w:asciiTheme="majorHAnsi" w:hAnsiTheme="majorHAnsi" w:cstheme="majorHAnsi"/>
          <w:bCs/>
          <w:i/>
          <w:iCs/>
          <w:sz w:val="24"/>
          <w:szCs w:val="24"/>
          <w:lang w:val="ro-MD"/>
        </w:rPr>
        <w:t xml:space="preserve">-financiare a acestora, precum și sistematizează rapoartele privind activitatea reprezentanților APL în societățile comerciale cu capital integral sau parțial ce aparține CMC. </w:t>
      </w:r>
      <w:r w:rsidR="004E41D0" w:rsidRPr="009E5B39">
        <w:rPr>
          <w:rFonts w:asciiTheme="majorHAnsi" w:hAnsiTheme="majorHAnsi" w:cstheme="majorHAnsi"/>
          <w:bCs/>
          <w:iCs/>
          <w:sz w:val="24"/>
          <w:szCs w:val="24"/>
          <w:lang w:val="ro-MD"/>
        </w:rPr>
        <w:t>DGECT afirmă că acest aspect ține doar de competența sa. Prin urmare, auditul atestă că Regulamentul de activitate a</w:t>
      </w:r>
      <w:r w:rsidR="00582FA0" w:rsidRPr="009E5B39">
        <w:rPr>
          <w:rFonts w:asciiTheme="majorHAnsi" w:hAnsiTheme="majorHAnsi" w:cstheme="majorHAnsi"/>
          <w:bCs/>
          <w:iCs/>
          <w:sz w:val="24"/>
          <w:szCs w:val="24"/>
          <w:lang w:val="ro-MD"/>
        </w:rPr>
        <w:t>l</w:t>
      </w:r>
      <w:r w:rsidR="004E41D0" w:rsidRPr="009E5B39">
        <w:rPr>
          <w:rFonts w:asciiTheme="majorHAnsi" w:hAnsiTheme="majorHAnsi" w:cstheme="majorHAnsi"/>
          <w:bCs/>
          <w:iCs/>
          <w:sz w:val="24"/>
          <w:szCs w:val="24"/>
          <w:lang w:val="ro-MD"/>
        </w:rPr>
        <w:t xml:space="preserve"> DMF prevede atribuții în materie de monitorizare a activității ÎM și SC cu cota de participare a CMC în capitalul social</w:t>
      </w:r>
      <w:r w:rsidR="00582FA0" w:rsidRPr="009E5B39">
        <w:rPr>
          <w:rFonts w:asciiTheme="majorHAnsi" w:hAnsiTheme="majorHAnsi" w:cstheme="majorHAnsi"/>
          <w:bCs/>
          <w:iCs/>
          <w:sz w:val="24"/>
          <w:szCs w:val="24"/>
          <w:lang w:val="ro-MD"/>
        </w:rPr>
        <w:t>,</w:t>
      </w:r>
      <w:r w:rsidR="004E41D0" w:rsidRPr="009E5B39">
        <w:rPr>
          <w:rFonts w:asciiTheme="majorHAnsi" w:hAnsiTheme="majorHAnsi" w:cstheme="majorHAnsi"/>
          <w:bCs/>
          <w:iCs/>
          <w:sz w:val="24"/>
          <w:szCs w:val="24"/>
          <w:lang w:val="ro-MD"/>
        </w:rPr>
        <w:t xml:space="preserve"> care de facto sunt realizate de DGECT.</w:t>
      </w:r>
    </w:p>
    <w:p w14:paraId="04D47E25" w14:textId="20DDDD40" w:rsidR="0020152D" w:rsidRPr="009E5B39" w:rsidRDefault="0020152D" w:rsidP="003C5073">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DGAURF activează în baza Regulamentului aprobat prin decizia CMC nr.54/14 din 03</w:t>
      </w:r>
      <w:r w:rsidR="00D87E2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08.2006</w:t>
      </w:r>
      <w:r w:rsidRPr="009E5B39">
        <w:rPr>
          <w:rStyle w:val="FootnoteReference"/>
          <w:rFonts w:asciiTheme="majorHAnsi" w:hAnsiTheme="majorHAnsi" w:cstheme="majorHAnsi"/>
          <w:sz w:val="24"/>
          <w:szCs w:val="24"/>
          <w:lang w:val="ro-MD"/>
        </w:rPr>
        <w:footnoteReference w:id="91"/>
      </w:r>
      <w:r w:rsidRPr="009E5B39">
        <w:rPr>
          <w:rFonts w:asciiTheme="majorHAnsi" w:hAnsiTheme="majorHAnsi" w:cstheme="majorHAnsi"/>
          <w:sz w:val="24"/>
          <w:szCs w:val="24"/>
          <w:lang w:val="ro-MD"/>
        </w:rPr>
        <w:t xml:space="preserve">, ajustat conform Deciziei CMC nr.4/10 din 30.04.2013. Până în prezent regulamentul Direcției  n-a fost revizuit, </w:t>
      </w:r>
      <w:r w:rsidR="00582FA0" w:rsidRPr="009E5B39">
        <w:rPr>
          <w:rFonts w:asciiTheme="majorHAnsi" w:hAnsiTheme="majorHAnsi" w:cstheme="majorHAnsi"/>
          <w:sz w:val="24"/>
          <w:szCs w:val="24"/>
          <w:lang w:val="ro-MD"/>
        </w:rPr>
        <w:t>cu toate</w:t>
      </w:r>
      <w:r w:rsidRPr="009E5B39">
        <w:rPr>
          <w:rFonts w:asciiTheme="majorHAnsi" w:hAnsiTheme="majorHAnsi" w:cstheme="majorHAnsi"/>
          <w:sz w:val="24"/>
          <w:szCs w:val="24"/>
          <w:lang w:val="ro-MD"/>
        </w:rPr>
        <w:t xml:space="preserve"> că în mun. Chișinău au avut loc schimbări mari în domeniul construcțiilor. De asemenea, Regulamentul DGAURF nu prevede delimitarea clară a atribuțiilor fiecărei subdiviziuni din cadrul direcțiilor/serviciilor, fapt care admite situații de suprapunere a competențelor, unele și aceleași funcții fiind exercitate de câteva secții. Conform </w:t>
      </w:r>
      <w:r w:rsidR="00E8231C" w:rsidRPr="009E5B39">
        <w:rPr>
          <w:rFonts w:asciiTheme="majorHAnsi" w:hAnsiTheme="majorHAnsi" w:cstheme="majorHAnsi"/>
          <w:sz w:val="24"/>
          <w:szCs w:val="24"/>
          <w:lang w:val="ro-MD"/>
        </w:rPr>
        <w:t>Schemei de încadrare pentru anul 2020</w:t>
      </w:r>
      <w:r w:rsidR="00582FA0" w:rsidRPr="009E5B39">
        <w:rPr>
          <w:rFonts w:asciiTheme="majorHAnsi" w:hAnsiTheme="majorHAnsi" w:cstheme="majorHAnsi"/>
          <w:sz w:val="24"/>
          <w:szCs w:val="24"/>
          <w:lang w:val="ro-MD"/>
        </w:rPr>
        <w:t>,</w:t>
      </w:r>
      <w:r w:rsidR="00E8231C"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DGAURF este formată din 128 unități</w:t>
      </w:r>
      <w:r w:rsidR="00E8231C" w:rsidRPr="009E5B39">
        <w:rPr>
          <w:rFonts w:asciiTheme="majorHAnsi" w:hAnsiTheme="majorHAnsi" w:cstheme="majorHAnsi"/>
          <w:sz w:val="24"/>
          <w:szCs w:val="24"/>
          <w:lang w:val="ro-MD"/>
        </w:rPr>
        <w:t xml:space="preserve"> de personal</w:t>
      </w:r>
      <w:r w:rsidRPr="009E5B39">
        <w:rPr>
          <w:rFonts w:asciiTheme="majorHAnsi" w:hAnsiTheme="majorHAnsi" w:cstheme="majorHAnsi"/>
          <w:sz w:val="24"/>
          <w:szCs w:val="24"/>
          <w:lang w:val="ro-MD"/>
        </w:rPr>
        <w:t>.</w:t>
      </w:r>
    </w:p>
    <w:p w14:paraId="1EC7073D" w14:textId="7468E4E2" w:rsidR="00917A07" w:rsidRPr="009E5B39" w:rsidRDefault="001F0141" w:rsidP="00A67D6F">
      <w:pPr>
        <w:tabs>
          <w:tab w:val="left" w:pos="567"/>
        </w:tabs>
        <w:spacing w:after="0" w:line="276" w:lineRule="auto"/>
        <w:jc w:val="both"/>
        <w:rPr>
          <w:rFonts w:asciiTheme="majorHAnsi" w:hAnsiTheme="majorHAnsi" w:cstheme="majorHAnsi"/>
          <w:b/>
          <w:bCs/>
          <w:i/>
          <w:sz w:val="24"/>
          <w:szCs w:val="24"/>
          <w:lang w:val="ro-MD" w:eastAsia="ro-RO"/>
        </w:rPr>
      </w:pPr>
      <w:r w:rsidRPr="009E5B39">
        <w:rPr>
          <w:rFonts w:asciiTheme="majorHAnsi" w:hAnsiTheme="majorHAnsi"/>
          <w:b/>
          <w:i/>
          <w:sz w:val="24"/>
          <w:szCs w:val="24"/>
          <w:lang w:val="ro-MD"/>
        </w:rPr>
        <w:t>4.2.12.</w:t>
      </w:r>
      <w:r w:rsidRPr="009E5B39">
        <w:rPr>
          <w:rFonts w:asciiTheme="majorHAnsi" w:hAnsiTheme="majorHAnsi"/>
          <w:sz w:val="24"/>
          <w:szCs w:val="24"/>
          <w:lang w:val="ro-MD"/>
        </w:rPr>
        <w:t xml:space="preserve"> </w:t>
      </w:r>
      <w:r w:rsidR="00E35985" w:rsidRPr="009E5B39">
        <w:rPr>
          <w:rFonts w:asciiTheme="majorHAnsi" w:hAnsiTheme="majorHAnsi"/>
          <w:b/>
          <w:i/>
          <w:sz w:val="24"/>
          <w:szCs w:val="24"/>
          <w:lang w:val="ro-MD"/>
        </w:rPr>
        <w:t>Auditul atestă aprobarea unor Decizii a</w:t>
      </w:r>
      <w:r w:rsidR="00582FA0" w:rsidRPr="009E5B39">
        <w:rPr>
          <w:rFonts w:asciiTheme="majorHAnsi" w:hAnsiTheme="majorHAnsi"/>
          <w:b/>
          <w:i/>
          <w:sz w:val="24"/>
          <w:szCs w:val="24"/>
          <w:lang w:val="ro-MD"/>
        </w:rPr>
        <w:t>le</w:t>
      </w:r>
      <w:r w:rsidR="00E35985" w:rsidRPr="009E5B39">
        <w:rPr>
          <w:rFonts w:asciiTheme="majorHAnsi" w:hAnsiTheme="majorHAnsi"/>
          <w:b/>
          <w:i/>
          <w:sz w:val="24"/>
          <w:szCs w:val="24"/>
          <w:lang w:val="ro-MD"/>
        </w:rPr>
        <w:t xml:space="preserve"> CMC care nu corespund cadrului legal existent, nu pot fi aplicate și nici nu au fost notificate de O</w:t>
      </w:r>
      <w:r w:rsidR="00582FA0" w:rsidRPr="009E5B39">
        <w:rPr>
          <w:rFonts w:asciiTheme="majorHAnsi" w:hAnsiTheme="majorHAnsi"/>
          <w:b/>
          <w:i/>
          <w:sz w:val="24"/>
          <w:szCs w:val="24"/>
          <w:lang w:val="ro-MD"/>
        </w:rPr>
        <w:t>ficiul teritorial Chișinău</w:t>
      </w:r>
      <w:r w:rsidR="00E35985" w:rsidRPr="009E5B39">
        <w:rPr>
          <w:rFonts w:asciiTheme="majorHAnsi" w:hAnsiTheme="majorHAnsi"/>
          <w:b/>
          <w:i/>
          <w:sz w:val="24"/>
          <w:szCs w:val="24"/>
          <w:lang w:val="ro-MD"/>
        </w:rPr>
        <w:t xml:space="preserve"> al Cancelariei de Stat.</w:t>
      </w:r>
      <w:r w:rsidR="00E35985" w:rsidRPr="009E5B39">
        <w:rPr>
          <w:rFonts w:asciiTheme="majorHAnsi" w:eastAsia="Calibri" w:hAnsiTheme="majorHAnsi" w:cstheme="majorHAnsi"/>
          <w:b/>
          <w:i/>
          <w:sz w:val="24"/>
          <w:szCs w:val="24"/>
          <w:lang w:val="ro-MD"/>
        </w:rPr>
        <w:t xml:space="preserve"> </w:t>
      </w:r>
      <w:r w:rsidR="00E35985" w:rsidRPr="009E5B39">
        <w:rPr>
          <w:rFonts w:asciiTheme="majorHAnsi" w:eastAsia="Calibri" w:hAnsiTheme="majorHAnsi" w:cstheme="majorHAnsi"/>
          <w:sz w:val="24"/>
          <w:szCs w:val="24"/>
          <w:lang w:val="ro-MD"/>
        </w:rPr>
        <w:t>Astfel, în anul 2020, CMC</w:t>
      </w:r>
      <w:r w:rsidR="00E35985" w:rsidRPr="009E5B39">
        <w:rPr>
          <w:vertAlign w:val="superscript"/>
          <w:lang w:val="ro-MD"/>
        </w:rPr>
        <w:footnoteReference w:id="92"/>
      </w:r>
      <w:r w:rsidR="00E35985" w:rsidRPr="009E5B39">
        <w:rPr>
          <w:rFonts w:asciiTheme="majorHAnsi" w:eastAsia="Calibri" w:hAnsiTheme="majorHAnsi" w:cstheme="majorHAnsi"/>
          <w:sz w:val="24"/>
          <w:szCs w:val="24"/>
          <w:lang w:val="ro-MD"/>
        </w:rPr>
        <w:t xml:space="preserve"> a decis stabilirea </w:t>
      </w:r>
      <w:r w:rsidR="00582FA0" w:rsidRPr="009E5B39">
        <w:rPr>
          <w:rFonts w:asciiTheme="majorHAnsi" w:eastAsia="Calibri" w:hAnsiTheme="majorHAnsi" w:cstheme="majorHAnsi"/>
          <w:sz w:val="24"/>
          <w:szCs w:val="24"/>
          <w:lang w:val="ro-MD"/>
        </w:rPr>
        <w:t xml:space="preserve">pentru aleșii locali a </w:t>
      </w:r>
      <w:r w:rsidR="00E35985" w:rsidRPr="009E5B39">
        <w:rPr>
          <w:rFonts w:asciiTheme="majorHAnsi" w:eastAsia="Calibri" w:hAnsiTheme="majorHAnsi" w:cstheme="majorHAnsi"/>
          <w:sz w:val="24"/>
          <w:szCs w:val="24"/>
          <w:lang w:val="ro-MD"/>
        </w:rPr>
        <w:t>indemnizației</w:t>
      </w:r>
      <w:r w:rsidR="000745A1" w:rsidRPr="009E5B39">
        <w:rPr>
          <w:rFonts w:asciiTheme="majorHAnsi" w:eastAsia="Calibri" w:hAnsiTheme="majorHAnsi" w:cstheme="majorHAnsi"/>
          <w:sz w:val="24"/>
          <w:szCs w:val="24"/>
          <w:lang w:val="ro-MD"/>
        </w:rPr>
        <w:t xml:space="preserve"> de</w:t>
      </w:r>
      <w:r w:rsidR="00E35985" w:rsidRPr="009E5B39">
        <w:rPr>
          <w:rFonts w:asciiTheme="majorHAnsi" w:eastAsia="Calibri" w:hAnsiTheme="majorHAnsi" w:cstheme="majorHAnsi"/>
          <w:sz w:val="24"/>
          <w:szCs w:val="24"/>
          <w:lang w:val="ro-MD"/>
        </w:rPr>
        <w:t xml:space="preserve"> participare la ședințele ordinare/extraordinare în </w:t>
      </w:r>
      <w:r w:rsidR="00E35985" w:rsidRPr="009E5B39">
        <w:rPr>
          <w:rFonts w:asciiTheme="majorHAnsi" w:eastAsia="Calibri" w:hAnsiTheme="majorHAnsi" w:cstheme="majorHAnsi"/>
          <w:i/>
          <w:sz w:val="24"/>
          <w:szCs w:val="24"/>
          <w:lang w:val="ro-MD"/>
        </w:rPr>
        <w:t xml:space="preserve">cuantum de două salarii minime pentru fiecare zi de ședință, </w:t>
      </w:r>
      <w:r w:rsidR="00E35985" w:rsidRPr="009E5B39">
        <w:rPr>
          <w:rFonts w:asciiTheme="majorHAnsi" w:eastAsia="Calibri" w:hAnsiTheme="majorHAnsi" w:cstheme="majorHAnsi"/>
          <w:sz w:val="24"/>
          <w:szCs w:val="24"/>
          <w:lang w:val="ro-MD"/>
        </w:rPr>
        <w:t>fapt ce contravine prevederilor art.2 alin.(5) din Legea nr.1432-XIV din 28.12.2000</w:t>
      </w:r>
      <w:r w:rsidR="00E35985" w:rsidRPr="009E5B39">
        <w:rPr>
          <w:vertAlign w:val="superscript"/>
          <w:lang w:val="ro-MD"/>
        </w:rPr>
        <w:footnoteReference w:id="93"/>
      </w:r>
      <w:r w:rsidR="00582FA0" w:rsidRPr="009E5B39">
        <w:rPr>
          <w:rFonts w:asciiTheme="majorHAnsi" w:eastAsia="Calibri" w:hAnsiTheme="majorHAnsi" w:cstheme="majorHAnsi"/>
          <w:sz w:val="24"/>
          <w:szCs w:val="24"/>
          <w:lang w:val="ro-MD"/>
        </w:rPr>
        <w:t>,</w:t>
      </w:r>
      <w:r w:rsidR="00E35985" w:rsidRPr="009E5B39">
        <w:rPr>
          <w:rFonts w:asciiTheme="majorHAnsi" w:hAnsiTheme="majorHAnsi" w:cstheme="majorHAnsi"/>
          <w:i/>
          <w:iCs/>
          <w:sz w:val="24"/>
          <w:szCs w:val="24"/>
          <w:lang w:val="ro-MD"/>
        </w:rPr>
        <w:t xml:space="preserve"> precum că indemnizațiile se stabilesc în mărime neraportat</w:t>
      </w:r>
      <w:r w:rsidR="00582FA0" w:rsidRPr="009E5B39">
        <w:rPr>
          <w:rFonts w:asciiTheme="majorHAnsi" w:hAnsiTheme="majorHAnsi" w:cstheme="majorHAnsi"/>
          <w:i/>
          <w:iCs/>
          <w:sz w:val="24"/>
          <w:szCs w:val="24"/>
          <w:lang w:val="ro-MD"/>
        </w:rPr>
        <w:t>ă</w:t>
      </w:r>
      <w:r w:rsidR="00E35985" w:rsidRPr="009E5B39">
        <w:rPr>
          <w:rFonts w:asciiTheme="majorHAnsi" w:hAnsiTheme="majorHAnsi" w:cstheme="majorHAnsi"/>
          <w:i/>
          <w:iCs/>
          <w:sz w:val="24"/>
          <w:szCs w:val="24"/>
          <w:lang w:val="ro-MD"/>
        </w:rPr>
        <w:t xml:space="preserve"> la salariu</w:t>
      </w:r>
      <w:r w:rsidR="00582FA0" w:rsidRPr="009E5B39">
        <w:rPr>
          <w:rFonts w:asciiTheme="majorHAnsi" w:hAnsiTheme="majorHAnsi" w:cstheme="majorHAnsi"/>
          <w:i/>
          <w:iCs/>
          <w:sz w:val="24"/>
          <w:szCs w:val="24"/>
          <w:lang w:val="ro-MD"/>
        </w:rPr>
        <w:t>l</w:t>
      </w:r>
      <w:r w:rsidR="00E35985" w:rsidRPr="009E5B39">
        <w:rPr>
          <w:rFonts w:asciiTheme="majorHAnsi" w:hAnsiTheme="majorHAnsi" w:cstheme="majorHAnsi"/>
          <w:i/>
          <w:iCs/>
          <w:sz w:val="24"/>
          <w:szCs w:val="24"/>
          <w:lang w:val="ro-MD"/>
        </w:rPr>
        <w:t xml:space="preserve"> minim</w:t>
      </w:r>
      <w:r w:rsidR="00E35985" w:rsidRPr="009E5B39">
        <w:rPr>
          <w:rFonts w:asciiTheme="majorHAnsi" w:eastAsia="Calibri" w:hAnsiTheme="majorHAnsi" w:cstheme="majorHAnsi"/>
          <w:sz w:val="24"/>
          <w:szCs w:val="24"/>
          <w:lang w:val="ro-MD"/>
        </w:rPr>
        <w:t xml:space="preserve">. </w:t>
      </w:r>
      <w:r w:rsidR="00E35985" w:rsidRPr="009E5B39">
        <w:rPr>
          <w:rFonts w:asciiTheme="majorHAnsi" w:hAnsiTheme="majorHAnsi" w:cstheme="majorHAnsi"/>
          <w:i/>
          <w:iCs/>
          <w:sz w:val="24"/>
          <w:szCs w:val="24"/>
          <w:lang w:val="ro-MD"/>
        </w:rPr>
        <w:t>Nici O</w:t>
      </w:r>
      <w:r w:rsidR="00375A8D" w:rsidRPr="009E5B39">
        <w:rPr>
          <w:rFonts w:asciiTheme="majorHAnsi" w:hAnsiTheme="majorHAnsi" w:cstheme="majorHAnsi"/>
          <w:i/>
          <w:iCs/>
          <w:sz w:val="24"/>
          <w:szCs w:val="24"/>
          <w:lang w:val="ro-MD"/>
        </w:rPr>
        <w:t xml:space="preserve">ficiul teritorial Chișinău al </w:t>
      </w:r>
      <w:r w:rsidR="00E35985" w:rsidRPr="009E5B39">
        <w:rPr>
          <w:rFonts w:asciiTheme="majorHAnsi" w:hAnsiTheme="majorHAnsi" w:cstheme="majorHAnsi"/>
          <w:i/>
          <w:iCs/>
          <w:sz w:val="24"/>
          <w:szCs w:val="24"/>
          <w:lang w:val="ro-MD"/>
        </w:rPr>
        <w:t>C</w:t>
      </w:r>
      <w:r w:rsidR="00375A8D" w:rsidRPr="009E5B39">
        <w:rPr>
          <w:rFonts w:asciiTheme="majorHAnsi" w:hAnsiTheme="majorHAnsi" w:cstheme="majorHAnsi"/>
          <w:i/>
          <w:iCs/>
          <w:sz w:val="24"/>
          <w:szCs w:val="24"/>
          <w:lang w:val="ro-MD"/>
        </w:rPr>
        <w:t xml:space="preserve">ancelariei de </w:t>
      </w:r>
      <w:r w:rsidR="00E35985" w:rsidRPr="009E5B39">
        <w:rPr>
          <w:rFonts w:asciiTheme="majorHAnsi" w:hAnsiTheme="majorHAnsi" w:cstheme="majorHAnsi"/>
          <w:i/>
          <w:iCs/>
          <w:sz w:val="24"/>
          <w:szCs w:val="24"/>
          <w:lang w:val="ro-MD"/>
        </w:rPr>
        <w:t>S</w:t>
      </w:r>
      <w:r w:rsidR="00375A8D" w:rsidRPr="009E5B39">
        <w:rPr>
          <w:rFonts w:asciiTheme="majorHAnsi" w:hAnsiTheme="majorHAnsi" w:cstheme="majorHAnsi"/>
          <w:i/>
          <w:iCs/>
          <w:sz w:val="24"/>
          <w:szCs w:val="24"/>
          <w:lang w:val="ro-MD"/>
        </w:rPr>
        <w:t>tat</w:t>
      </w:r>
      <w:r w:rsidR="00E35985" w:rsidRPr="009E5B39">
        <w:rPr>
          <w:rFonts w:asciiTheme="majorHAnsi" w:hAnsiTheme="majorHAnsi" w:cstheme="majorHAnsi"/>
          <w:i/>
          <w:iCs/>
          <w:sz w:val="24"/>
          <w:szCs w:val="24"/>
          <w:lang w:val="ro-MD"/>
        </w:rPr>
        <w:t xml:space="preserve"> </w:t>
      </w:r>
      <w:r w:rsidR="00E35985" w:rsidRPr="009E5B39">
        <w:rPr>
          <w:rFonts w:asciiTheme="majorHAnsi" w:hAnsiTheme="majorHAnsi" w:cstheme="majorHAnsi"/>
          <w:i/>
          <w:iCs/>
          <w:sz w:val="24"/>
          <w:szCs w:val="24"/>
          <w:shd w:val="clear" w:color="auto" w:fill="FFFFFF"/>
          <w:lang w:val="ro-MD"/>
        </w:rPr>
        <w:t>nu a identificat abateri de la cadrul legal la aprobarea deciziei respective</w:t>
      </w:r>
      <w:r w:rsidR="002F0A2E" w:rsidRPr="009E5B39">
        <w:rPr>
          <w:rFonts w:asciiTheme="majorHAnsi" w:hAnsiTheme="majorHAnsi" w:cstheme="majorHAnsi"/>
          <w:i/>
          <w:iCs/>
          <w:sz w:val="24"/>
          <w:szCs w:val="24"/>
          <w:shd w:val="clear" w:color="auto" w:fill="FFFFFF"/>
          <w:lang w:val="ro-MD"/>
        </w:rPr>
        <w:t xml:space="preserve">, </w:t>
      </w:r>
      <w:r w:rsidR="00E35985" w:rsidRPr="009E5B39">
        <w:rPr>
          <w:rFonts w:asciiTheme="majorHAnsi" w:hAnsiTheme="majorHAnsi" w:cstheme="majorHAnsi"/>
          <w:i/>
          <w:iCs/>
          <w:sz w:val="24"/>
          <w:szCs w:val="24"/>
          <w:shd w:val="clear" w:color="auto" w:fill="FFFFFF"/>
          <w:lang w:val="ro-MD"/>
        </w:rPr>
        <w:t>urmare</w:t>
      </w:r>
      <w:r w:rsidR="002F0A2E" w:rsidRPr="009E5B39">
        <w:rPr>
          <w:rFonts w:asciiTheme="majorHAnsi" w:hAnsiTheme="majorHAnsi" w:cstheme="majorHAnsi"/>
          <w:i/>
          <w:iCs/>
          <w:sz w:val="24"/>
          <w:szCs w:val="24"/>
          <w:shd w:val="clear" w:color="auto" w:fill="FFFFFF"/>
          <w:lang w:val="ro-MD"/>
        </w:rPr>
        <w:t xml:space="preserve"> cărui fapt</w:t>
      </w:r>
      <w:r w:rsidR="00E35985" w:rsidRPr="009E5B39">
        <w:rPr>
          <w:rFonts w:asciiTheme="majorHAnsi" w:hAnsiTheme="majorHAnsi" w:cstheme="majorHAnsi"/>
          <w:i/>
          <w:iCs/>
          <w:sz w:val="24"/>
          <w:szCs w:val="24"/>
          <w:shd w:val="clear" w:color="auto" w:fill="FFFFFF"/>
          <w:lang w:val="ro-MD"/>
        </w:rPr>
        <w:t xml:space="preserve"> </w:t>
      </w:r>
      <w:r w:rsidR="002F0A2E" w:rsidRPr="009E5B39">
        <w:rPr>
          <w:rFonts w:asciiTheme="majorHAnsi" w:hAnsiTheme="majorHAnsi" w:cstheme="majorHAnsi"/>
          <w:i/>
          <w:iCs/>
          <w:sz w:val="24"/>
          <w:szCs w:val="24"/>
          <w:shd w:val="clear" w:color="auto" w:fill="FFFFFF"/>
          <w:lang w:val="ro-MD"/>
        </w:rPr>
        <w:t xml:space="preserve">acesta </w:t>
      </w:r>
      <w:r w:rsidR="00E35985" w:rsidRPr="009E5B39">
        <w:rPr>
          <w:rFonts w:asciiTheme="majorHAnsi" w:hAnsiTheme="majorHAnsi" w:cstheme="majorHAnsi"/>
          <w:i/>
          <w:iCs/>
          <w:sz w:val="24"/>
          <w:szCs w:val="24"/>
          <w:shd w:val="clear" w:color="auto" w:fill="FFFFFF"/>
          <w:lang w:val="ro-MD"/>
        </w:rPr>
        <w:t xml:space="preserve">nu a exercitat conform controlul </w:t>
      </w:r>
      <w:r w:rsidR="002F0A2E" w:rsidRPr="009E5B39">
        <w:rPr>
          <w:rFonts w:asciiTheme="majorHAnsi" w:hAnsiTheme="majorHAnsi" w:cstheme="majorHAnsi"/>
          <w:i/>
          <w:iCs/>
          <w:sz w:val="24"/>
          <w:szCs w:val="24"/>
          <w:shd w:val="clear" w:color="auto" w:fill="FFFFFF"/>
          <w:lang w:val="ro-MD"/>
        </w:rPr>
        <w:t>asupra</w:t>
      </w:r>
      <w:r w:rsidR="00E35985" w:rsidRPr="009E5B39">
        <w:rPr>
          <w:rFonts w:asciiTheme="majorHAnsi" w:hAnsiTheme="majorHAnsi" w:cstheme="majorHAnsi"/>
          <w:i/>
          <w:iCs/>
          <w:sz w:val="24"/>
          <w:szCs w:val="24"/>
          <w:shd w:val="clear" w:color="auto" w:fill="FFFFFF"/>
          <w:lang w:val="ro-MD"/>
        </w:rPr>
        <w:t xml:space="preserve"> legalit</w:t>
      </w:r>
      <w:r w:rsidR="002F0A2E" w:rsidRPr="009E5B39">
        <w:rPr>
          <w:rFonts w:asciiTheme="majorHAnsi" w:hAnsiTheme="majorHAnsi" w:cstheme="majorHAnsi"/>
          <w:i/>
          <w:iCs/>
          <w:sz w:val="24"/>
          <w:szCs w:val="24"/>
          <w:shd w:val="clear" w:color="auto" w:fill="FFFFFF"/>
          <w:lang w:val="ro-MD"/>
        </w:rPr>
        <w:t>ății</w:t>
      </w:r>
      <w:r w:rsidR="00E35985" w:rsidRPr="009E5B39">
        <w:rPr>
          <w:rFonts w:asciiTheme="majorHAnsi" w:hAnsiTheme="majorHAnsi" w:cstheme="majorHAnsi"/>
          <w:i/>
          <w:iCs/>
          <w:sz w:val="24"/>
          <w:szCs w:val="24"/>
          <w:shd w:val="clear" w:color="auto" w:fill="FFFFFF"/>
          <w:lang w:val="ro-MD"/>
        </w:rPr>
        <w:t xml:space="preserve"> deciziilor CMC. </w:t>
      </w:r>
      <w:r w:rsidR="00E35985" w:rsidRPr="009E5B39">
        <w:rPr>
          <w:rFonts w:asciiTheme="majorHAnsi" w:eastAsia="Calibri" w:hAnsiTheme="majorHAnsi" w:cstheme="majorHAnsi"/>
          <w:sz w:val="24"/>
          <w:szCs w:val="24"/>
          <w:lang w:val="ro-MD"/>
        </w:rPr>
        <w:t>Totodată</w:t>
      </w:r>
      <w:r w:rsidR="002F0A2E" w:rsidRPr="009E5B39">
        <w:rPr>
          <w:rFonts w:asciiTheme="majorHAnsi" w:eastAsia="Calibri" w:hAnsiTheme="majorHAnsi" w:cstheme="majorHAnsi"/>
          <w:sz w:val="24"/>
          <w:szCs w:val="24"/>
          <w:lang w:val="ro-MD"/>
        </w:rPr>
        <w:t>,</w:t>
      </w:r>
      <w:r w:rsidR="00E35985" w:rsidRPr="009E5B39">
        <w:rPr>
          <w:rFonts w:asciiTheme="majorHAnsi" w:eastAsia="Calibri" w:hAnsiTheme="majorHAnsi" w:cstheme="majorHAnsi"/>
          <w:sz w:val="24"/>
          <w:szCs w:val="24"/>
          <w:lang w:val="ro-MD"/>
        </w:rPr>
        <w:t xml:space="preserve"> nu este clar conform cărui salariu minim urmează a fi calculată îndemnizația, deoarece cadrul normativ include</w:t>
      </w:r>
      <w:r w:rsidR="00917A07" w:rsidRPr="009E5B39">
        <w:rPr>
          <w:rFonts w:asciiTheme="majorHAnsi" w:eastAsia="Calibri" w:hAnsiTheme="majorHAnsi" w:cstheme="majorHAnsi"/>
          <w:sz w:val="24"/>
          <w:szCs w:val="24"/>
          <w:lang w:val="ro-MD"/>
        </w:rPr>
        <w:t>a</w:t>
      </w:r>
      <w:r w:rsidR="00E35985" w:rsidRPr="009E5B39">
        <w:rPr>
          <w:rFonts w:asciiTheme="majorHAnsi" w:eastAsia="Calibri" w:hAnsiTheme="majorHAnsi" w:cstheme="majorHAnsi"/>
          <w:sz w:val="24"/>
          <w:szCs w:val="24"/>
          <w:lang w:val="ro-MD"/>
        </w:rPr>
        <w:t xml:space="preserve"> </w:t>
      </w:r>
      <w:r w:rsidR="00E35985" w:rsidRPr="009E5B39">
        <w:rPr>
          <w:rFonts w:asciiTheme="majorHAnsi" w:eastAsia="Calibri" w:hAnsiTheme="majorHAnsi" w:cstheme="majorHAnsi"/>
          <w:i/>
          <w:sz w:val="24"/>
          <w:szCs w:val="24"/>
          <w:lang w:val="ro-MD"/>
        </w:rPr>
        <w:t>„salariu</w:t>
      </w:r>
      <w:r w:rsidR="002F0A2E" w:rsidRPr="009E5B39">
        <w:rPr>
          <w:rFonts w:asciiTheme="majorHAnsi" w:eastAsia="Calibri" w:hAnsiTheme="majorHAnsi" w:cstheme="majorHAnsi"/>
          <w:i/>
          <w:sz w:val="24"/>
          <w:szCs w:val="24"/>
          <w:lang w:val="ro-MD"/>
        </w:rPr>
        <w:t>l</w:t>
      </w:r>
      <w:r w:rsidR="00E35985" w:rsidRPr="009E5B39">
        <w:rPr>
          <w:rFonts w:asciiTheme="majorHAnsi" w:eastAsia="Calibri" w:hAnsiTheme="majorHAnsi" w:cstheme="majorHAnsi"/>
          <w:i/>
          <w:sz w:val="24"/>
          <w:szCs w:val="24"/>
          <w:lang w:val="ro-MD"/>
        </w:rPr>
        <w:t xml:space="preserve"> minim pe țară”</w:t>
      </w:r>
      <w:r w:rsidR="00E35985" w:rsidRPr="009E5B39">
        <w:rPr>
          <w:rFonts w:asciiTheme="majorHAnsi" w:eastAsia="Calibri" w:hAnsiTheme="majorHAnsi" w:cstheme="majorHAnsi"/>
          <w:sz w:val="24"/>
          <w:szCs w:val="24"/>
          <w:lang w:val="ro-MD"/>
        </w:rPr>
        <w:t xml:space="preserve">, </w:t>
      </w:r>
      <w:r w:rsidR="002F0A2E" w:rsidRPr="009E5B39">
        <w:rPr>
          <w:rFonts w:asciiTheme="majorHAnsi" w:eastAsia="Calibri" w:hAnsiTheme="majorHAnsi" w:cstheme="majorHAnsi"/>
          <w:sz w:val="24"/>
          <w:szCs w:val="24"/>
          <w:lang w:val="ro-MD"/>
        </w:rPr>
        <w:t xml:space="preserve">al cărui </w:t>
      </w:r>
      <w:r w:rsidR="00E35985" w:rsidRPr="009E5B39">
        <w:rPr>
          <w:rFonts w:asciiTheme="majorHAnsi" w:eastAsia="Calibri" w:hAnsiTheme="majorHAnsi" w:cstheme="majorHAnsi"/>
          <w:sz w:val="24"/>
          <w:szCs w:val="24"/>
          <w:lang w:val="ro-MD"/>
        </w:rPr>
        <w:t>cuantum</w:t>
      </w:r>
      <w:r w:rsidR="002F0A2E" w:rsidRPr="009E5B39">
        <w:rPr>
          <w:rFonts w:asciiTheme="majorHAnsi" w:eastAsia="Calibri" w:hAnsiTheme="majorHAnsi" w:cstheme="majorHAnsi"/>
          <w:sz w:val="24"/>
          <w:szCs w:val="24"/>
          <w:lang w:val="ro-MD"/>
        </w:rPr>
        <w:t xml:space="preserve"> </w:t>
      </w:r>
      <w:r w:rsidR="00E35985" w:rsidRPr="009E5B39">
        <w:rPr>
          <w:rFonts w:asciiTheme="majorHAnsi" w:eastAsia="Calibri" w:hAnsiTheme="majorHAnsi" w:cstheme="majorHAnsi"/>
          <w:sz w:val="24"/>
          <w:szCs w:val="24"/>
          <w:lang w:val="ro-MD"/>
        </w:rPr>
        <w:t xml:space="preserve"> </w:t>
      </w:r>
      <w:r w:rsidR="00917A07" w:rsidRPr="009E5B39">
        <w:rPr>
          <w:rFonts w:asciiTheme="majorHAnsi" w:eastAsia="Calibri" w:hAnsiTheme="majorHAnsi" w:cstheme="majorHAnsi"/>
          <w:sz w:val="24"/>
          <w:szCs w:val="24"/>
          <w:lang w:val="ro-MD"/>
        </w:rPr>
        <w:t xml:space="preserve">constituia </w:t>
      </w:r>
      <w:r w:rsidR="00E35985" w:rsidRPr="009E5B39">
        <w:rPr>
          <w:rFonts w:asciiTheme="majorHAnsi" w:eastAsia="Calibri" w:hAnsiTheme="majorHAnsi" w:cstheme="majorHAnsi"/>
          <w:sz w:val="24"/>
          <w:szCs w:val="24"/>
          <w:lang w:val="ro-MD"/>
        </w:rPr>
        <w:t>1000 lei</w:t>
      </w:r>
      <w:r w:rsidR="00E35985" w:rsidRPr="009E5B39">
        <w:rPr>
          <w:vertAlign w:val="superscript"/>
          <w:lang w:val="ro-MD"/>
        </w:rPr>
        <w:footnoteReference w:id="94"/>
      </w:r>
      <w:r w:rsidR="002F0A2E" w:rsidRPr="009E5B39">
        <w:rPr>
          <w:rFonts w:asciiTheme="majorHAnsi" w:eastAsia="Calibri" w:hAnsiTheme="majorHAnsi" w:cstheme="majorHAnsi"/>
          <w:sz w:val="24"/>
          <w:szCs w:val="24"/>
          <w:lang w:val="ro-MD"/>
        </w:rPr>
        <w:t xml:space="preserve">, </w:t>
      </w:r>
      <w:r w:rsidR="00E35985" w:rsidRPr="009E5B39">
        <w:rPr>
          <w:rFonts w:asciiTheme="majorHAnsi" w:eastAsia="Calibri" w:hAnsiTheme="majorHAnsi" w:cstheme="majorHAnsi"/>
          <w:sz w:val="24"/>
          <w:szCs w:val="24"/>
          <w:lang w:val="ro-MD"/>
        </w:rPr>
        <w:t xml:space="preserve">și </w:t>
      </w:r>
      <w:r w:rsidR="00E35985" w:rsidRPr="009E5B39">
        <w:rPr>
          <w:rFonts w:asciiTheme="majorHAnsi" w:eastAsia="Calibri" w:hAnsiTheme="majorHAnsi" w:cstheme="majorHAnsi"/>
          <w:i/>
          <w:sz w:val="24"/>
          <w:szCs w:val="24"/>
          <w:lang w:val="ro-MD"/>
        </w:rPr>
        <w:t>„salariu</w:t>
      </w:r>
      <w:r w:rsidR="002F0A2E" w:rsidRPr="009E5B39">
        <w:rPr>
          <w:rFonts w:asciiTheme="majorHAnsi" w:eastAsia="Calibri" w:hAnsiTheme="majorHAnsi" w:cstheme="majorHAnsi"/>
          <w:i/>
          <w:sz w:val="24"/>
          <w:szCs w:val="24"/>
          <w:lang w:val="ro-MD"/>
        </w:rPr>
        <w:t>l</w:t>
      </w:r>
      <w:r w:rsidR="00E35985" w:rsidRPr="009E5B39">
        <w:rPr>
          <w:rFonts w:asciiTheme="majorHAnsi" w:eastAsia="Calibri" w:hAnsiTheme="majorHAnsi" w:cstheme="majorHAnsi"/>
          <w:i/>
          <w:sz w:val="24"/>
          <w:szCs w:val="24"/>
          <w:lang w:val="ro-MD"/>
        </w:rPr>
        <w:t xml:space="preserve"> minim garantat în sectorul real</w:t>
      </w:r>
      <w:r w:rsidR="00E35985" w:rsidRPr="009E5B39">
        <w:rPr>
          <w:rFonts w:asciiTheme="majorHAnsi" w:eastAsia="Calibri" w:hAnsiTheme="majorHAnsi" w:cstheme="majorHAnsi"/>
          <w:sz w:val="24"/>
          <w:szCs w:val="24"/>
          <w:lang w:val="ro-MD"/>
        </w:rPr>
        <w:t xml:space="preserve">”, </w:t>
      </w:r>
      <w:r w:rsidR="002F0A2E" w:rsidRPr="009E5B39">
        <w:rPr>
          <w:rFonts w:asciiTheme="majorHAnsi" w:eastAsia="Calibri" w:hAnsiTheme="majorHAnsi" w:cstheme="majorHAnsi"/>
          <w:sz w:val="24"/>
          <w:szCs w:val="24"/>
          <w:lang w:val="ro-MD"/>
        </w:rPr>
        <w:t>a</w:t>
      </w:r>
      <w:r w:rsidR="000745A1" w:rsidRPr="009E5B39">
        <w:rPr>
          <w:rFonts w:asciiTheme="majorHAnsi" w:eastAsia="Calibri" w:hAnsiTheme="majorHAnsi" w:cstheme="majorHAnsi"/>
          <w:sz w:val="24"/>
          <w:szCs w:val="24"/>
          <w:lang w:val="ro-MD"/>
        </w:rPr>
        <w:t xml:space="preserve">l cărui </w:t>
      </w:r>
      <w:r w:rsidR="002F0A2E" w:rsidRPr="009E5B39">
        <w:rPr>
          <w:rFonts w:asciiTheme="majorHAnsi" w:eastAsia="Calibri" w:hAnsiTheme="majorHAnsi" w:cstheme="majorHAnsi"/>
          <w:sz w:val="24"/>
          <w:szCs w:val="24"/>
          <w:lang w:val="ro-MD"/>
        </w:rPr>
        <w:t xml:space="preserve"> </w:t>
      </w:r>
      <w:r w:rsidR="00E35985" w:rsidRPr="009E5B39">
        <w:rPr>
          <w:rFonts w:asciiTheme="majorHAnsi" w:eastAsia="Calibri" w:hAnsiTheme="majorHAnsi" w:cstheme="majorHAnsi"/>
          <w:sz w:val="24"/>
          <w:szCs w:val="24"/>
          <w:lang w:val="ro-MD"/>
        </w:rPr>
        <w:t>cuantum</w:t>
      </w:r>
      <w:r w:rsidR="002F0A2E" w:rsidRPr="009E5B39">
        <w:rPr>
          <w:rFonts w:asciiTheme="majorHAnsi" w:eastAsia="Calibri" w:hAnsiTheme="majorHAnsi" w:cstheme="majorHAnsi"/>
          <w:sz w:val="24"/>
          <w:szCs w:val="24"/>
          <w:lang w:val="ro-MD"/>
        </w:rPr>
        <w:t xml:space="preserve"> </w:t>
      </w:r>
      <w:r w:rsidR="00E35985" w:rsidRPr="009E5B39">
        <w:rPr>
          <w:rFonts w:asciiTheme="majorHAnsi" w:eastAsia="Calibri" w:hAnsiTheme="majorHAnsi" w:cstheme="majorHAnsi"/>
          <w:sz w:val="24"/>
          <w:szCs w:val="24"/>
          <w:lang w:val="ro-MD"/>
        </w:rPr>
        <w:t>în anul 2020 a constituit 2775 lei</w:t>
      </w:r>
      <w:r w:rsidR="00E35985" w:rsidRPr="009E5B39">
        <w:rPr>
          <w:vertAlign w:val="superscript"/>
          <w:lang w:val="ro-MD"/>
        </w:rPr>
        <w:footnoteReference w:id="95"/>
      </w:r>
      <w:r w:rsidR="00E35985" w:rsidRPr="009E5B39">
        <w:rPr>
          <w:rFonts w:asciiTheme="majorHAnsi" w:eastAsia="Calibri" w:hAnsiTheme="majorHAnsi" w:cstheme="majorHAnsi"/>
          <w:sz w:val="24"/>
          <w:szCs w:val="24"/>
          <w:lang w:val="ro-MD"/>
        </w:rPr>
        <w:t xml:space="preserve">. De menționat că cuantumul indemnizației în cauză, aprobat în anul 2020, nu este plafonat (maximum achitat pentru o lună) și nici nu depinde de timpul efectiv al ședinței, după cum era prevăzut în </w:t>
      </w:r>
      <w:r w:rsidR="000745A1" w:rsidRPr="009E5B39">
        <w:rPr>
          <w:rFonts w:asciiTheme="majorHAnsi" w:eastAsia="Calibri" w:hAnsiTheme="majorHAnsi" w:cstheme="majorHAnsi"/>
          <w:sz w:val="24"/>
          <w:szCs w:val="24"/>
          <w:lang w:val="ro-MD"/>
        </w:rPr>
        <w:t>D</w:t>
      </w:r>
      <w:r w:rsidR="00E35985" w:rsidRPr="009E5B39">
        <w:rPr>
          <w:rFonts w:asciiTheme="majorHAnsi" w:eastAsia="Calibri" w:hAnsiTheme="majorHAnsi" w:cstheme="majorHAnsi"/>
          <w:sz w:val="24"/>
          <w:szCs w:val="24"/>
          <w:lang w:val="ro-MD"/>
        </w:rPr>
        <w:t>ecizia CMC nr.1/26 din 14.04.2016</w:t>
      </w:r>
      <w:r w:rsidR="00E35985" w:rsidRPr="009E5B39">
        <w:rPr>
          <w:vertAlign w:val="superscript"/>
          <w:lang w:val="ro-MD"/>
        </w:rPr>
        <w:footnoteReference w:id="96"/>
      </w:r>
      <w:r w:rsidR="00E35985" w:rsidRPr="009E5B39">
        <w:rPr>
          <w:rFonts w:asciiTheme="majorHAnsi" w:eastAsia="Calibri" w:hAnsiTheme="majorHAnsi" w:cstheme="majorHAnsi"/>
          <w:sz w:val="24"/>
          <w:szCs w:val="24"/>
          <w:lang w:val="ro-MD"/>
        </w:rPr>
        <w:t>. Direcția manag</w:t>
      </w:r>
      <w:r w:rsidR="000745A1" w:rsidRPr="009E5B39">
        <w:rPr>
          <w:rFonts w:asciiTheme="majorHAnsi" w:eastAsia="Calibri" w:hAnsiTheme="majorHAnsi" w:cstheme="majorHAnsi"/>
          <w:sz w:val="24"/>
          <w:szCs w:val="24"/>
          <w:lang w:val="ro-MD"/>
        </w:rPr>
        <w:t>e</w:t>
      </w:r>
      <w:r w:rsidR="00E35985" w:rsidRPr="009E5B39">
        <w:rPr>
          <w:rFonts w:asciiTheme="majorHAnsi" w:eastAsia="Calibri" w:hAnsiTheme="majorHAnsi" w:cstheme="majorHAnsi"/>
          <w:sz w:val="24"/>
          <w:szCs w:val="24"/>
          <w:lang w:val="ro-MD"/>
        </w:rPr>
        <w:t>ment financiar</w:t>
      </w:r>
      <w:r w:rsidR="000745A1" w:rsidRPr="009E5B39">
        <w:rPr>
          <w:rFonts w:asciiTheme="majorHAnsi" w:eastAsia="Calibri" w:hAnsiTheme="majorHAnsi" w:cstheme="majorHAnsi"/>
          <w:sz w:val="24"/>
          <w:szCs w:val="24"/>
          <w:lang w:val="ro-MD"/>
        </w:rPr>
        <w:t xml:space="preserve"> (DMF) </w:t>
      </w:r>
      <w:r w:rsidR="00E35985" w:rsidRPr="009E5B39">
        <w:rPr>
          <w:rFonts w:asciiTheme="majorHAnsi" w:eastAsia="Calibri" w:hAnsiTheme="majorHAnsi" w:cstheme="majorHAnsi"/>
          <w:sz w:val="24"/>
          <w:szCs w:val="24"/>
          <w:lang w:val="ro-MD"/>
        </w:rPr>
        <w:t xml:space="preserve">a </w:t>
      </w:r>
      <w:r w:rsidR="000745A1" w:rsidRPr="009E5B39">
        <w:rPr>
          <w:rFonts w:asciiTheme="majorHAnsi" w:eastAsia="Calibri" w:hAnsiTheme="majorHAnsi" w:cstheme="majorHAnsi"/>
          <w:sz w:val="24"/>
          <w:szCs w:val="24"/>
          <w:lang w:val="ro-MD"/>
        </w:rPr>
        <w:t>P</w:t>
      </w:r>
      <w:r w:rsidR="00E35985" w:rsidRPr="009E5B39">
        <w:rPr>
          <w:rFonts w:asciiTheme="majorHAnsi" w:eastAsia="Calibri" w:hAnsiTheme="majorHAnsi" w:cstheme="majorHAnsi"/>
          <w:sz w:val="24"/>
          <w:szCs w:val="24"/>
          <w:lang w:val="ro-MD"/>
        </w:rPr>
        <w:t>rimăriei mun. Chișinău a efectuat calculul indemnizației în cuantum de 3300 lei/per ședință, sau în mărime</w:t>
      </w:r>
      <w:r w:rsidR="000745A1" w:rsidRPr="009E5B39">
        <w:rPr>
          <w:rFonts w:asciiTheme="majorHAnsi" w:eastAsia="Calibri" w:hAnsiTheme="majorHAnsi" w:cstheme="majorHAnsi"/>
          <w:sz w:val="24"/>
          <w:szCs w:val="24"/>
          <w:lang w:val="ro-MD"/>
        </w:rPr>
        <w:t>a</w:t>
      </w:r>
      <w:r w:rsidR="00E35985" w:rsidRPr="009E5B39">
        <w:rPr>
          <w:rFonts w:asciiTheme="majorHAnsi" w:eastAsia="Calibri" w:hAnsiTheme="majorHAnsi" w:cstheme="majorHAnsi"/>
          <w:sz w:val="24"/>
          <w:szCs w:val="24"/>
          <w:lang w:val="ro-MD"/>
        </w:rPr>
        <w:t xml:space="preserve"> a două valori de referință, stabilită prin art.10 alin.(1) din Legea bugetului de stat pentru anul 2020</w:t>
      </w:r>
      <w:r w:rsidR="00E35985" w:rsidRPr="009E5B39">
        <w:rPr>
          <w:vertAlign w:val="superscript"/>
          <w:lang w:val="ro-MD"/>
        </w:rPr>
        <w:footnoteReference w:id="97"/>
      </w:r>
      <w:r w:rsidR="00E35985" w:rsidRPr="009E5B39">
        <w:rPr>
          <w:rFonts w:asciiTheme="majorHAnsi" w:eastAsia="Calibri" w:hAnsiTheme="majorHAnsi" w:cstheme="majorHAnsi"/>
          <w:sz w:val="24"/>
          <w:szCs w:val="24"/>
          <w:lang w:val="ro-MD"/>
        </w:rPr>
        <w:t xml:space="preserve">. Dacă în perioada </w:t>
      </w:r>
      <w:r w:rsidR="000745A1" w:rsidRPr="009E5B39">
        <w:rPr>
          <w:rFonts w:asciiTheme="majorHAnsi" w:eastAsia="Calibri" w:hAnsiTheme="majorHAnsi" w:cstheme="majorHAnsi"/>
          <w:sz w:val="24"/>
          <w:szCs w:val="24"/>
          <w:lang w:val="ro-MD"/>
        </w:rPr>
        <w:t xml:space="preserve">anilor </w:t>
      </w:r>
      <w:r w:rsidR="00E35985" w:rsidRPr="009E5B39">
        <w:rPr>
          <w:rFonts w:asciiTheme="majorHAnsi" w:eastAsia="Calibri" w:hAnsiTheme="majorHAnsi" w:cstheme="majorHAnsi"/>
          <w:sz w:val="24"/>
          <w:szCs w:val="24"/>
          <w:lang w:val="ro-MD"/>
        </w:rPr>
        <w:t>2016 – 2020 (6 luni) indemnizația pentru participare la ședință era calculată în raport cu orele de ședință și nu depășea plafonul stabilit de 6000 lei/lună, încep</w:t>
      </w:r>
      <w:r w:rsidR="000745A1" w:rsidRPr="009E5B39">
        <w:rPr>
          <w:rFonts w:asciiTheme="majorHAnsi" w:eastAsia="Calibri" w:hAnsiTheme="majorHAnsi" w:cstheme="majorHAnsi"/>
          <w:sz w:val="24"/>
          <w:szCs w:val="24"/>
          <w:lang w:val="ro-MD"/>
        </w:rPr>
        <w:t>â</w:t>
      </w:r>
      <w:r w:rsidR="00E35985" w:rsidRPr="009E5B39">
        <w:rPr>
          <w:rFonts w:asciiTheme="majorHAnsi" w:eastAsia="Calibri" w:hAnsiTheme="majorHAnsi" w:cstheme="majorHAnsi"/>
          <w:sz w:val="24"/>
          <w:szCs w:val="24"/>
          <w:lang w:val="ro-MD"/>
        </w:rPr>
        <w:t>nd cu luna iulie 2020 aceasta este achitată în cuantum de 3300 lei/per ședință</w:t>
      </w:r>
      <w:r w:rsidR="000745A1" w:rsidRPr="009E5B39">
        <w:rPr>
          <w:rFonts w:asciiTheme="majorHAnsi" w:eastAsia="Calibri" w:hAnsiTheme="majorHAnsi" w:cstheme="majorHAnsi"/>
          <w:sz w:val="24"/>
          <w:szCs w:val="24"/>
          <w:lang w:val="ro-MD"/>
        </w:rPr>
        <w:t>,</w:t>
      </w:r>
      <w:r w:rsidR="00E35985" w:rsidRPr="009E5B39">
        <w:rPr>
          <w:rFonts w:asciiTheme="majorHAnsi" w:eastAsia="Calibri" w:hAnsiTheme="majorHAnsi" w:cstheme="majorHAnsi"/>
          <w:sz w:val="24"/>
          <w:szCs w:val="24"/>
          <w:lang w:val="ro-MD"/>
        </w:rPr>
        <w:t xml:space="preserve"> indiferent de orele efective, și a variat de la </w:t>
      </w:r>
      <w:r w:rsidR="00E35985" w:rsidRPr="009E5B39">
        <w:rPr>
          <w:rFonts w:asciiTheme="majorHAnsi" w:eastAsia="Calibri" w:hAnsiTheme="majorHAnsi" w:cstheme="majorHAnsi"/>
          <w:b/>
          <w:sz w:val="24"/>
          <w:szCs w:val="24"/>
          <w:lang w:val="ro-MD"/>
        </w:rPr>
        <w:t xml:space="preserve">3300 lei/lună </w:t>
      </w:r>
      <w:r w:rsidR="00E35985" w:rsidRPr="009E5B39">
        <w:rPr>
          <w:rFonts w:asciiTheme="majorHAnsi" w:eastAsia="Calibri" w:hAnsiTheme="majorHAnsi" w:cstheme="majorHAnsi"/>
          <w:sz w:val="24"/>
          <w:szCs w:val="24"/>
          <w:lang w:val="ro-MD"/>
        </w:rPr>
        <w:t>(în luna septembrie) p</w:t>
      </w:r>
      <w:r w:rsidR="000745A1" w:rsidRPr="009E5B39">
        <w:rPr>
          <w:rFonts w:asciiTheme="majorHAnsi" w:eastAsia="Calibri" w:hAnsiTheme="majorHAnsi" w:cstheme="majorHAnsi"/>
          <w:sz w:val="24"/>
          <w:szCs w:val="24"/>
          <w:lang w:val="ro-MD"/>
        </w:rPr>
        <w:t>â</w:t>
      </w:r>
      <w:r w:rsidR="00E35985" w:rsidRPr="009E5B39">
        <w:rPr>
          <w:rFonts w:asciiTheme="majorHAnsi" w:eastAsia="Calibri" w:hAnsiTheme="majorHAnsi" w:cstheme="majorHAnsi"/>
          <w:sz w:val="24"/>
          <w:szCs w:val="24"/>
          <w:lang w:val="ro-MD"/>
        </w:rPr>
        <w:t xml:space="preserve">nă la </w:t>
      </w:r>
      <w:r w:rsidR="00E35985" w:rsidRPr="009E5B39">
        <w:rPr>
          <w:rFonts w:asciiTheme="majorHAnsi" w:eastAsia="Calibri" w:hAnsiTheme="majorHAnsi" w:cstheme="majorHAnsi"/>
          <w:b/>
          <w:sz w:val="24"/>
          <w:szCs w:val="24"/>
          <w:lang w:val="ro-MD"/>
        </w:rPr>
        <w:t xml:space="preserve">19800 lei/lună </w:t>
      </w:r>
      <w:r w:rsidR="00E35985" w:rsidRPr="009E5B39">
        <w:rPr>
          <w:rFonts w:asciiTheme="majorHAnsi" w:eastAsia="Calibri" w:hAnsiTheme="majorHAnsi" w:cstheme="majorHAnsi"/>
          <w:sz w:val="24"/>
          <w:szCs w:val="24"/>
          <w:lang w:val="ro-MD"/>
        </w:rPr>
        <w:t>(în luna iulie). Țin</w:t>
      </w:r>
      <w:r w:rsidR="000745A1" w:rsidRPr="009E5B39">
        <w:rPr>
          <w:rFonts w:asciiTheme="majorHAnsi" w:eastAsia="Calibri" w:hAnsiTheme="majorHAnsi" w:cstheme="majorHAnsi"/>
          <w:sz w:val="24"/>
          <w:szCs w:val="24"/>
          <w:lang w:val="ro-MD"/>
        </w:rPr>
        <w:t>â</w:t>
      </w:r>
      <w:r w:rsidR="00E35985" w:rsidRPr="009E5B39">
        <w:rPr>
          <w:rFonts w:asciiTheme="majorHAnsi" w:eastAsia="Calibri" w:hAnsiTheme="majorHAnsi" w:cstheme="majorHAnsi"/>
          <w:sz w:val="24"/>
          <w:szCs w:val="24"/>
          <w:lang w:val="ro-MD"/>
        </w:rPr>
        <w:t xml:space="preserve">nd cont de salariul minim utilizat în sectorul bugetar - 1000 lei, DMF a majorat neîntemeiat (contrar </w:t>
      </w:r>
      <w:r w:rsidR="00E35985" w:rsidRPr="009E5B39">
        <w:rPr>
          <w:rFonts w:asciiTheme="majorHAnsi" w:hAnsiTheme="majorHAnsi" w:cstheme="majorHAnsi"/>
          <w:i/>
          <w:sz w:val="24"/>
          <w:szCs w:val="24"/>
          <w:lang w:val="ro-MD"/>
        </w:rPr>
        <w:t xml:space="preserve">prevederilor </w:t>
      </w:r>
      <w:r w:rsidR="00E35985" w:rsidRPr="009E5B39">
        <w:rPr>
          <w:rFonts w:asciiTheme="majorHAnsi" w:hAnsiTheme="majorHAnsi" w:cstheme="majorHAnsi"/>
          <w:i/>
          <w:iCs/>
          <w:sz w:val="24"/>
          <w:szCs w:val="24"/>
          <w:lang w:val="ro-MD"/>
        </w:rPr>
        <w:t>pct.1 din HG nr.550 din 09.07.2014</w:t>
      </w:r>
      <w:r w:rsidR="00E35985" w:rsidRPr="009E5B39">
        <w:rPr>
          <w:iCs/>
          <w:vertAlign w:val="superscript"/>
          <w:lang w:val="ro-MD"/>
        </w:rPr>
        <w:footnoteReference w:id="98"/>
      </w:r>
      <w:r w:rsidR="00E35985" w:rsidRPr="009E5B39">
        <w:rPr>
          <w:rFonts w:asciiTheme="majorHAnsi" w:eastAsia="Calibri" w:hAnsiTheme="majorHAnsi" w:cstheme="majorHAnsi"/>
          <w:sz w:val="24"/>
          <w:szCs w:val="24"/>
          <w:lang w:val="ro-MD"/>
        </w:rPr>
        <w:t>), cu 1300 lei, cuantumul indemnizației de participare la ședințe, ceea ce a generat în anul 2020 (iunie-decembrie) cheltuieli neregulamentare în sumă totală de circa</w:t>
      </w:r>
      <w:r w:rsidR="00E35985" w:rsidRPr="009E5B39">
        <w:rPr>
          <w:rFonts w:asciiTheme="majorHAnsi" w:eastAsia="Calibri" w:hAnsiTheme="majorHAnsi" w:cstheme="majorHAnsi"/>
          <w:sz w:val="24"/>
          <w:szCs w:val="24"/>
          <w:shd w:val="clear" w:color="auto" w:fill="FFFFFF"/>
          <w:lang w:val="ro-MD"/>
        </w:rPr>
        <w:t xml:space="preserve"> </w:t>
      </w:r>
      <w:r w:rsidR="00E35985" w:rsidRPr="009E5B39">
        <w:rPr>
          <w:rFonts w:asciiTheme="majorHAnsi" w:eastAsia="Calibri" w:hAnsiTheme="majorHAnsi" w:cstheme="majorHAnsi"/>
          <w:b/>
          <w:sz w:val="24"/>
          <w:szCs w:val="24"/>
          <w:lang w:val="ro-MD"/>
        </w:rPr>
        <w:t>1</w:t>
      </w:r>
      <w:r w:rsidR="00D87E23" w:rsidRPr="009E5B39">
        <w:rPr>
          <w:rFonts w:asciiTheme="majorHAnsi" w:eastAsia="Calibri" w:hAnsiTheme="majorHAnsi" w:cstheme="majorHAnsi"/>
          <w:b/>
          <w:sz w:val="24"/>
          <w:szCs w:val="24"/>
          <w:lang w:val="ro-MD"/>
        </w:rPr>
        <w:t>,</w:t>
      </w:r>
      <w:r w:rsidR="00E35985" w:rsidRPr="009E5B39">
        <w:rPr>
          <w:rFonts w:asciiTheme="majorHAnsi" w:eastAsia="Calibri" w:hAnsiTheme="majorHAnsi" w:cstheme="majorHAnsi"/>
          <w:b/>
          <w:sz w:val="24"/>
          <w:szCs w:val="24"/>
          <w:lang w:val="ro-MD"/>
        </w:rPr>
        <w:t>40 mi</w:t>
      </w:r>
      <w:r w:rsidR="00D87E23" w:rsidRPr="009E5B39">
        <w:rPr>
          <w:rFonts w:asciiTheme="majorHAnsi" w:eastAsia="Calibri" w:hAnsiTheme="majorHAnsi" w:cstheme="majorHAnsi"/>
          <w:b/>
          <w:sz w:val="24"/>
          <w:szCs w:val="24"/>
          <w:lang w:val="ro-MD"/>
        </w:rPr>
        <w:t>l</w:t>
      </w:r>
      <w:r w:rsidR="00264C39" w:rsidRPr="009E5B39">
        <w:rPr>
          <w:rFonts w:asciiTheme="majorHAnsi" w:eastAsia="Calibri" w:hAnsiTheme="majorHAnsi" w:cstheme="majorHAnsi"/>
          <w:b/>
          <w:sz w:val="24"/>
          <w:szCs w:val="24"/>
          <w:lang w:val="ro-MD"/>
        </w:rPr>
        <w:t>.</w:t>
      </w:r>
      <w:r w:rsidR="00E35985" w:rsidRPr="009E5B39">
        <w:rPr>
          <w:rFonts w:asciiTheme="majorHAnsi" w:eastAsia="Calibri" w:hAnsiTheme="majorHAnsi" w:cstheme="majorHAnsi"/>
          <w:b/>
          <w:sz w:val="24"/>
          <w:szCs w:val="24"/>
          <w:lang w:val="ro-MD"/>
        </w:rPr>
        <w:t xml:space="preserve"> lei</w:t>
      </w:r>
      <w:r w:rsidR="00E35985" w:rsidRPr="009E5B39">
        <w:rPr>
          <w:vertAlign w:val="superscript"/>
          <w:lang w:val="ro-MD"/>
        </w:rPr>
        <w:footnoteReference w:id="99"/>
      </w:r>
      <w:r w:rsidR="00E35985" w:rsidRPr="009E5B39">
        <w:rPr>
          <w:rFonts w:asciiTheme="majorHAnsi" w:eastAsia="Calibri" w:hAnsiTheme="majorHAnsi" w:cstheme="majorHAnsi"/>
          <w:sz w:val="24"/>
          <w:szCs w:val="24"/>
          <w:lang w:val="ro-MD"/>
        </w:rPr>
        <w:t>.</w:t>
      </w:r>
      <w:r w:rsidR="00E35985" w:rsidRPr="009E5B39">
        <w:rPr>
          <w:rFonts w:asciiTheme="majorHAnsi" w:hAnsiTheme="majorHAnsi" w:cstheme="majorHAnsi"/>
          <w:i/>
          <w:sz w:val="24"/>
          <w:szCs w:val="24"/>
          <w:lang w:val="ro-MD"/>
        </w:rPr>
        <w:t xml:space="preserve"> </w:t>
      </w:r>
      <w:r w:rsidR="00E35985" w:rsidRPr="009E5B39">
        <w:rPr>
          <w:rFonts w:asciiTheme="majorHAnsi" w:hAnsiTheme="majorHAnsi" w:cstheme="majorHAnsi"/>
          <w:i/>
          <w:iCs/>
          <w:sz w:val="24"/>
          <w:szCs w:val="24"/>
          <w:lang w:val="ro-MD"/>
        </w:rPr>
        <w:tab/>
        <w:t xml:space="preserve"> </w:t>
      </w:r>
      <w:r w:rsidR="003D7246" w:rsidRPr="009E5B39">
        <w:rPr>
          <w:rFonts w:asciiTheme="majorHAnsi" w:hAnsiTheme="majorHAnsi" w:cstheme="majorHAnsi"/>
          <w:b/>
          <w:bCs/>
          <w:i/>
          <w:sz w:val="24"/>
          <w:szCs w:val="24"/>
          <w:lang w:val="ro-MD" w:eastAsia="ro-RO"/>
        </w:rPr>
        <w:tab/>
      </w:r>
    </w:p>
    <w:p w14:paraId="6DA49D60" w14:textId="3C54DDA0" w:rsidR="004762C3" w:rsidRPr="009E5B39" w:rsidRDefault="00A67D6F" w:rsidP="00A67D6F">
      <w:pPr>
        <w:tabs>
          <w:tab w:val="left" w:pos="567"/>
        </w:tabs>
        <w:spacing w:after="0" w:line="276" w:lineRule="auto"/>
        <w:jc w:val="both"/>
        <w:rPr>
          <w:rFonts w:asciiTheme="majorHAnsi" w:hAnsiTheme="majorHAnsi" w:cstheme="majorHAnsi"/>
          <w:sz w:val="24"/>
          <w:szCs w:val="24"/>
          <w:lang w:val="ro-MD"/>
        </w:rPr>
      </w:pPr>
      <w:r w:rsidRPr="009E5B39">
        <w:rPr>
          <w:rFonts w:asciiTheme="majorHAnsi" w:hAnsiTheme="majorHAnsi" w:cstheme="majorHAnsi"/>
          <w:b/>
          <w:bCs/>
          <w:i/>
          <w:sz w:val="24"/>
          <w:szCs w:val="24"/>
          <w:lang w:val="ro-MD" w:eastAsia="ro-RO"/>
        </w:rPr>
        <w:t>4.2.13.</w:t>
      </w:r>
      <w:r w:rsidRPr="009E5B39">
        <w:rPr>
          <w:rFonts w:asciiTheme="majorHAnsi" w:hAnsiTheme="majorHAnsi" w:cstheme="majorHAnsi"/>
          <w:b/>
          <w:bCs/>
          <w:sz w:val="24"/>
          <w:szCs w:val="24"/>
          <w:lang w:val="ro-MD" w:eastAsia="ro-RO"/>
        </w:rPr>
        <w:t xml:space="preserve"> </w:t>
      </w:r>
      <w:r w:rsidR="00E35985" w:rsidRPr="009E5B39">
        <w:rPr>
          <w:rFonts w:asciiTheme="majorHAnsi" w:hAnsiTheme="majorHAnsi" w:cstheme="majorHAnsi"/>
          <w:b/>
          <w:bCs/>
          <w:sz w:val="24"/>
          <w:szCs w:val="24"/>
          <w:lang w:val="ro-MD" w:eastAsia="ro-RO"/>
        </w:rPr>
        <w:t>Autoritățile contractante și grupurile de lucru continuă să manifeste o atitudine nepotrivită față de funcționalitatea sistemului de achiziții publice, respectiv, administrarea procesului de achiziții se efectuează contrar cerințelor normative, iar gestiunea fondurilor publice este defectuoasă.</w:t>
      </w:r>
      <w:r w:rsidR="00E35985" w:rsidRPr="009E5B39">
        <w:rPr>
          <w:rFonts w:asciiTheme="majorHAnsi" w:hAnsiTheme="majorHAnsi" w:cstheme="majorHAnsi"/>
          <w:sz w:val="24"/>
          <w:szCs w:val="24"/>
          <w:lang w:val="ro-MD" w:eastAsia="ro-RO"/>
        </w:rPr>
        <w:t xml:space="preserve"> Astfel,</w:t>
      </w:r>
    </w:p>
    <w:p w14:paraId="3FA8FBA8" w14:textId="1F5E1188" w:rsidR="00E35985" w:rsidRPr="009E5B39" w:rsidRDefault="00E35985" w:rsidP="004762C3">
      <w:pPr>
        <w:pStyle w:val="ListParagraph"/>
        <w:numPr>
          <w:ilvl w:val="0"/>
          <w:numId w:val="4"/>
        </w:numPr>
        <w:tabs>
          <w:tab w:val="left" w:pos="426"/>
        </w:tabs>
        <w:spacing w:after="0" w:line="276" w:lineRule="auto"/>
        <w:ind w:left="0" w:firstLine="360"/>
        <w:jc w:val="both"/>
        <w:rPr>
          <w:rFonts w:asciiTheme="majorHAnsi" w:hAnsiTheme="majorHAnsi" w:cstheme="majorHAnsi"/>
          <w:sz w:val="24"/>
          <w:szCs w:val="24"/>
          <w:lang w:val="ro-MD"/>
        </w:rPr>
      </w:pPr>
      <w:r w:rsidRPr="009E5B39">
        <w:rPr>
          <w:rFonts w:asciiTheme="majorHAnsi" w:hAnsiTheme="majorHAnsi" w:cstheme="majorHAnsi"/>
          <w:bCs/>
          <w:i/>
          <w:iCs/>
          <w:sz w:val="24"/>
          <w:szCs w:val="24"/>
          <w:lang w:val="ro-MD"/>
        </w:rPr>
        <w:t>Grupurile de lucru, nerespectând  prevederile art.4 alin.(22) și art. 15 alin.(1), lit. a) din Legea nr. 131 din 03.07.2015, nu au asigurat elaborarea planurilor anuale și trimestriale de efectuare a achizițiilor publice în conformitate cu prevederile Regulamentului aprobat prin HG nr.1419 din 28.12.2016.</w:t>
      </w:r>
    </w:p>
    <w:p w14:paraId="762C8DA8" w14:textId="76D359A2" w:rsidR="004762C3" w:rsidRPr="009E5B39" w:rsidRDefault="00E35985" w:rsidP="004762C3">
      <w:pPr>
        <w:pStyle w:val="ListParagraph"/>
        <w:numPr>
          <w:ilvl w:val="0"/>
          <w:numId w:val="4"/>
        </w:numPr>
        <w:tabs>
          <w:tab w:val="left" w:pos="0"/>
        </w:tabs>
        <w:spacing w:after="0" w:line="276" w:lineRule="auto"/>
        <w:ind w:left="0" w:firstLine="426"/>
        <w:jc w:val="both"/>
        <w:rPr>
          <w:rFonts w:asciiTheme="majorHAnsi" w:hAnsiTheme="majorHAnsi" w:cstheme="majorHAnsi"/>
          <w:bCs/>
          <w:sz w:val="24"/>
          <w:szCs w:val="24"/>
          <w:lang w:val="ro-MD"/>
        </w:rPr>
      </w:pPr>
      <w:r w:rsidRPr="009E5B39">
        <w:rPr>
          <w:rFonts w:asciiTheme="majorHAnsi" w:hAnsiTheme="majorHAnsi" w:cstheme="majorHAnsi"/>
          <w:bCs/>
          <w:sz w:val="24"/>
          <w:szCs w:val="24"/>
          <w:lang w:val="ro-MD"/>
        </w:rPr>
        <w:t xml:space="preserve">Analizând conținutul planurilor anuale de achiziții publice aprobate de către 40 din 74 de instituții din subordinea Primăriei mun. Chișinău (54%), auditul a </w:t>
      </w:r>
      <w:r w:rsidR="00264C39" w:rsidRPr="009E5B39">
        <w:rPr>
          <w:rFonts w:asciiTheme="majorHAnsi" w:hAnsiTheme="majorHAnsi" w:cstheme="majorHAnsi"/>
          <w:bCs/>
          <w:sz w:val="24"/>
          <w:szCs w:val="24"/>
          <w:lang w:val="ro-MD"/>
        </w:rPr>
        <w:t>constatat</w:t>
      </w:r>
      <w:r w:rsidRPr="009E5B39">
        <w:rPr>
          <w:rFonts w:asciiTheme="majorHAnsi" w:hAnsiTheme="majorHAnsi" w:cstheme="majorHAnsi"/>
          <w:bCs/>
          <w:sz w:val="24"/>
          <w:szCs w:val="24"/>
          <w:lang w:val="ro-MD"/>
        </w:rPr>
        <w:t xml:space="preserve"> că, la elaborarea acestora</w:t>
      </w:r>
      <w:r w:rsidR="00264C39"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în mare parte</w:t>
      </w:r>
      <w:r w:rsidR="00264C39"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nu s-a respectat modelul-tip specificat în Anexa nr.1 la Regulamentul cu privire la modul de planificare a contractelor de achiziții publice</w:t>
      </w:r>
      <w:r w:rsidR="0015796D"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aprobat prin HG nr.1419 din 28.12.2016, nefiind incluse informațiile cu privire la codul CPV</w:t>
      </w:r>
      <w:r w:rsidRPr="009E5B39">
        <w:rPr>
          <w:vertAlign w:val="superscript"/>
          <w:lang w:val="ro-MD"/>
        </w:rPr>
        <w:footnoteReference w:id="100"/>
      </w:r>
      <w:r w:rsidRPr="009E5B39">
        <w:rPr>
          <w:rFonts w:asciiTheme="majorHAnsi" w:hAnsiTheme="majorHAnsi" w:cstheme="majorHAnsi"/>
          <w:bCs/>
          <w:sz w:val="24"/>
          <w:szCs w:val="24"/>
          <w:lang w:val="ro-MD"/>
        </w:rPr>
        <w:t xml:space="preserve"> (19 instituții), iar sumele estimative planificate a</w:t>
      </w:r>
      <w:r w:rsidR="0015796D" w:rsidRPr="009E5B39">
        <w:rPr>
          <w:rFonts w:asciiTheme="majorHAnsi" w:hAnsiTheme="majorHAnsi" w:cstheme="majorHAnsi"/>
          <w:bCs/>
          <w:sz w:val="24"/>
          <w:szCs w:val="24"/>
          <w:lang w:val="ro-MD"/>
        </w:rPr>
        <w:t>le</w:t>
      </w:r>
      <w:r w:rsidRPr="009E5B39">
        <w:rPr>
          <w:rFonts w:asciiTheme="majorHAnsi" w:hAnsiTheme="majorHAnsi" w:cstheme="majorHAnsi"/>
          <w:bCs/>
          <w:sz w:val="24"/>
          <w:szCs w:val="24"/>
          <w:lang w:val="ro-MD"/>
        </w:rPr>
        <w:t xml:space="preserve"> obiectelor de achiziție au fost calculate și prezentate cu TVA, ceea ce contravine pct. 11 din Regulamentul nominalizat (26 instituții).</w:t>
      </w:r>
    </w:p>
    <w:p w14:paraId="566AB51A" w14:textId="252283C7" w:rsidR="004762C3" w:rsidRPr="009E5B39" w:rsidRDefault="00E35985" w:rsidP="004762C3">
      <w:pPr>
        <w:pStyle w:val="ListParagraph"/>
        <w:numPr>
          <w:ilvl w:val="0"/>
          <w:numId w:val="4"/>
        </w:numPr>
        <w:tabs>
          <w:tab w:val="left" w:pos="0"/>
        </w:tabs>
        <w:spacing w:after="0" w:line="276" w:lineRule="auto"/>
        <w:ind w:left="0" w:firstLine="426"/>
        <w:jc w:val="both"/>
        <w:rPr>
          <w:rFonts w:asciiTheme="majorHAnsi" w:hAnsiTheme="majorHAnsi" w:cstheme="majorHAnsi"/>
          <w:bCs/>
          <w:sz w:val="24"/>
          <w:szCs w:val="24"/>
          <w:lang w:val="ro-MD"/>
        </w:rPr>
      </w:pPr>
      <w:r w:rsidRPr="009E5B39">
        <w:rPr>
          <w:rFonts w:asciiTheme="majorHAnsi" w:hAnsiTheme="majorHAnsi" w:cstheme="majorHAnsi"/>
          <w:bCs/>
          <w:sz w:val="24"/>
          <w:szCs w:val="24"/>
          <w:lang w:val="ro-MD"/>
        </w:rPr>
        <w:t xml:space="preserve">Planurile anuale de achiziții publice, în perioada </w:t>
      </w:r>
      <w:r w:rsidR="004C2630" w:rsidRPr="009E5B39">
        <w:rPr>
          <w:rFonts w:asciiTheme="majorHAnsi" w:hAnsiTheme="majorHAnsi" w:cstheme="majorHAnsi"/>
          <w:bCs/>
          <w:sz w:val="24"/>
          <w:szCs w:val="24"/>
          <w:lang w:val="ro-MD"/>
        </w:rPr>
        <w:t xml:space="preserve">anilor </w:t>
      </w:r>
      <w:r w:rsidRPr="009E5B39">
        <w:rPr>
          <w:rFonts w:asciiTheme="majorHAnsi" w:hAnsiTheme="majorHAnsi" w:cstheme="majorHAnsi"/>
          <w:bCs/>
          <w:sz w:val="24"/>
          <w:szCs w:val="24"/>
          <w:lang w:val="ro-MD"/>
        </w:rPr>
        <w:t>2019-2020, au fost întocmite cu abateri de la prevederile cadrului normativ</w:t>
      </w:r>
      <w:r w:rsidRPr="009E5B39">
        <w:rPr>
          <w:vertAlign w:val="superscript"/>
          <w:lang w:val="ro-MD"/>
        </w:rPr>
        <w:footnoteReference w:id="101"/>
      </w:r>
      <w:r w:rsidRPr="009E5B39">
        <w:rPr>
          <w:rFonts w:asciiTheme="majorHAnsi" w:hAnsiTheme="majorHAnsi" w:cstheme="majorHAnsi"/>
          <w:bCs/>
          <w:sz w:val="24"/>
          <w:szCs w:val="24"/>
          <w:lang w:val="ro-MD"/>
        </w:rPr>
        <w:t xml:space="preserve">/formal, nefiind corelate/coordonate cu bugetul entității, ceea ce denotă planificarea neadecvată a cheltuielilor, fiind înregistrate diferențe semnificative între bugetul precizat și planul anual de achiziții de 1.241,75 mil.lei </w:t>
      </w:r>
      <w:r w:rsidR="004C2630" w:rsidRPr="009E5B39">
        <w:rPr>
          <w:rFonts w:asciiTheme="majorHAnsi" w:hAnsiTheme="majorHAnsi" w:cstheme="majorHAnsi"/>
          <w:bCs/>
          <w:sz w:val="24"/>
          <w:szCs w:val="24"/>
          <w:lang w:val="ro-MD"/>
        </w:rPr>
        <w:t xml:space="preserve">- </w:t>
      </w:r>
      <w:r w:rsidRPr="009E5B39">
        <w:rPr>
          <w:rFonts w:asciiTheme="majorHAnsi" w:hAnsiTheme="majorHAnsi" w:cstheme="majorHAnsi"/>
          <w:bCs/>
          <w:sz w:val="24"/>
          <w:szCs w:val="24"/>
          <w:lang w:val="ro-MD"/>
        </w:rPr>
        <w:t xml:space="preserve">în </w:t>
      </w:r>
      <w:r w:rsidR="004C2630" w:rsidRPr="009E5B39">
        <w:rPr>
          <w:rFonts w:asciiTheme="majorHAnsi" w:hAnsiTheme="majorHAnsi" w:cstheme="majorHAnsi"/>
          <w:bCs/>
          <w:sz w:val="24"/>
          <w:szCs w:val="24"/>
          <w:lang w:val="ro-MD"/>
        </w:rPr>
        <w:t xml:space="preserve">anul </w:t>
      </w:r>
      <w:r w:rsidRPr="009E5B39">
        <w:rPr>
          <w:rFonts w:asciiTheme="majorHAnsi" w:hAnsiTheme="majorHAnsi" w:cstheme="majorHAnsi"/>
          <w:bCs/>
          <w:sz w:val="24"/>
          <w:szCs w:val="24"/>
          <w:lang w:val="ro-MD"/>
        </w:rPr>
        <w:t>2019</w:t>
      </w:r>
      <w:r w:rsidR="004C2630"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și de 1.021,78 mil.lei </w:t>
      </w:r>
      <w:r w:rsidR="004C2630" w:rsidRPr="009E5B39">
        <w:rPr>
          <w:rFonts w:asciiTheme="majorHAnsi" w:hAnsiTheme="majorHAnsi" w:cstheme="majorHAnsi"/>
          <w:bCs/>
          <w:sz w:val="24"/>
          <w:szCs w:val="24"/>
          <w:lang w:val="ro-MD"/>
        </w:rPr>
        <w:t xml:space="preserve">- </w:t>
      </w:r>
      <w:r w:rsidRPr="009E5B39">
        <w:rPr>
          <w:rFonts w:asciiTheme="majorHAnsi" w:hAnsiTheme="majorHAnsi" w:cstheme="majorHAnsi"/>
          <w:bCs/>
          <w:sz w:val="24"/>
          <w:szCs w:val="24"/>
          <w:lang w:val="ro-MD"/>
        </w:rPr>
        <w:t xml:space="preserve">în anul 2020 </w:t>
      </w:r>
      <w:r w:rsidRPr="009E5B39">
        <w:rPr>
          <w:rFonts w:asciiTheme="majorHAnsi" w:hAnsiTheme="majorHAnsi" w:cstheme="majorHAnsi"/>
          <w:bCs/>
          <w:i/>
          <w:sz w:val="24"/>
          <w:szCs w:val="24"/>
          <w:lang w:val="ro-MD"/>
        </w:rPr>
        <w:t>(</w:t>
      </w:r>
      <w:r w:rsidR="004C2630" w:rsidRPr="009E5B39">
        <w:rPr>
          <w:rFonts w:asciiTheme="majorHAnsi" w:hAnsiTheme="majorHAnsi" w:cstheme="majorHAnsi"/>
          <w:bCs/>
          <w:i/>
          <w:sz w:val="24"/>
          <w:szCs w:val="24"/>
          <w:lang w:val="ro-MD"/>
        </w:rPr>
        <w:t>v</w:t>
      </w:r>
      <w:r w:rsidRPr="009E5B39">
        <w:rPr>
          <w:rFonts w:asciiTheme="majorHAnsi" w:hAnsiTheme="majorHAnsi" w:cstheme="majorHAnsi"/>
          <w:bCs/>
          <w:i/>
          <w:sz w:val="24"/>
          <w:szCs w:val="24"/>
          <w:lang w:val="ro-MD"/>
        </w:rPr>
        <w:t xml:space="preserve">ezi Anexa nr. </w:t>
      </w:r>
      <w:r w:rsidR="00930FE2" w:rsidRPr="009E5B39">
        <w:rPr>
          <w:rFonts w:asciiTheme="majorHAnsi" w:hAnsiTheme="majorHAnsi" w:cstheme="majorHAnsi"/>
          <w:bCs/>
          <w:i/>
          <w:sz w:val="24"/>
          <w:szCs w:val="24"/>
          <w:lang w:val="ro-MD"/>
        </w:rPr>
        <w:t>7</w:t>
      </w:r>
      <w:r w:rsidR="006711E4" w:rsidRPr="009E5B39">
        <w:rPr>
          <w:rFonts w:asciiTheme="majorHAnsi" w:hAnsiTheme="majorHAnsi" w:cstheme="majorHAnsi"/>
          <w:bCs/>
          <w:i/>
          <w:sz w:val="24"/>
          <w:szCs w:val="24"/>
          <w:lang w:val="ro-MD"/>
        </w:rPr>
        <w:t xml:space="preserve"> </w:t>
      </w:r>
      <w:r w:rsidRPr="009E5B39">
        <w:rPr>
          <w:rFonts w:asciiTheme="majorHAnsi" w:hAnsiTheme="majorHAnsi" w:cstheme="majorHAnsi"/>
          <w:bCs/>
          <w:i/>
          <w:sz w:val="24"/>
          <w:szCs w:val="24"/>
          <w:lang w:val="ro-MD"/>
        </w:rPr>
        <w:t>la Raportul de audit).</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 xml:space="preserve"> </w:t>
      </w:r>
    </w:p>
    <w:p w14:paraId="2155B878" w14:textId="4759ADBB" w:rsidR="00E35985" w:rsidRPr="009E5B39" w:rsidRDefault="00E35985" w:rsidP="004762C3">
      <w:pPr>
        <w:pStyle w:val="ListParagraph"/>
        <w:numPr>
          <w:ilvl w:val="0"/>
          <w:numId w:val="4"/>
        </w:numPr>
        <w:tabs>
          <w:tab w:val="left" w:pos="0"/>
        </w:tabs>
        <w:spacing w:after="0" w:line="276" w:lineRule="auto"/>
        <w:ind w:left="0" w:firstLine="426"/>
        <w:jc w:val="both"/>
        <w:rPr>
          <w:rFonts w:asciiTheme="majorHAnsi" w:hAnsiTheme="majorHAnsi" w:cstheme="majorHAnsi"/>
          <w:bCs/>
          <w:sz w:val="24"/>
          <w:szCs w:val="24"/>
          <w:lang w:val="ro-MD"/>
        </w:rPr>
      </w:pPr>
      <w:r w:rsidRPr="009E5B39">
        <w:rPr>
          <w:rFonts w:asciiTheme="majorHAnsi" w:hAnsiTheme="majorHAnsi" w:cstheme="majorHAnsi"/>
          <w:sz w:val="24"/>
          <w:szCs w:val="24"/>
          <w:lang w:val="ro-MD"/>
        </w:rPr>
        <w:t>Raportarea achizițiilor care nu depășesc 10,0 mii lei (fără TVA) nu este prevăzută de cadrul normativ.</w:t>
      </w:r>
    </w:p>
    <w:p w14:paraId="70928771" w14:textId="77777777" w:rsidR="00E35985" w:rsidRPr="009E5B39" w:rsidRDefault="00E35985" w:rsidP="00EF4BC3">
      <w:pPr>
        <w:spacing w:after="0" w:line="276" w:lineRule="auto"/>
        <w:ind w:firstLine="142"/>
        <w:jc w:val="center"/>
        <w:rPr>
          <w:rFonts w:asciiTheme="majorHAnsi" w:hAnsiTheme="majorHAnsi" w:cstheme="majorHAnsi"/>
          <w:b/>
          <w:sz w:val="24"/>
          <w:szCs w:val="24"/>
          <w:lang w:val="ro-MD"/>
        </w:rPr>
      </w:pPr>
      <w:r w:rsidRPr="009E5B39">
        <w:rPr>
          <w:rFonts w:asciiTheme="majorHAnsi" w:hAnsiTheme="majorHAnsi" w:cstheme="majorHAnsi"/>
          <w:b/>
          <w:sz w:val="24"/>
          <w:szCs w:val="24"/>
          <w:lang w:val="ro-MD"/>
        </w:rPr>
        <w:t>Informații privind achizițiile efectuate de entitățile finanțate din bugetul municipal și entitățile din subordine în anii 2018-2020</w:t>
      </w:r>
    </w:p>
    <w:tbl>
      <w:tblPr>
        <w:tblStyle w:val="TableGrid3"/>
        <w:tblW w:w="0" w:type="auto"/>
        <w:tblLook w:val="04A0" w:firstRow="1" w:lastRow="0" w:firstColumn="1" w:lastColumn="0" w:noHBand="0" w:noVBand="1"/>
      </w:tblPr>
      <w:tblGrid>
        <w:gridCol w:w="6516"/>
        <w:gridCol w:w="850"/>
        <w:gridCol w:w="993"/>
        <w:gridCol w:w="850"/>
      </w:tblGrid>
      <w:tr w:rsidR="00EF4BC3" w:rsidRPr="009E5B39" w14:paraId="3EE65FD6" w14:textId="77777777" w:rsidTr="00AB313A">
        <w:trPr>
          <w:trHeight w:val="20"/>
        </w:trPr>
        <w:tc>
          <w:tcPr>
            <w:tcW w:w="6516" w:type="dxa"/>
            <w:vMerge w:val="restart"/>
            <w:shd w:val="clear" w:color="auto" w:fill="D9D9D9" w:themeFill="background1" w:themeFillShade="D9"/>
          </w:tcPr>
          <w:p w14:paraId="4062EE91" w14:textId="77777777" w:rsidR="00E35985" w:rsidRPr="009E5B39" w:rsidRDefault="00E35985" w:rsidP="00EF4BC3">
            <w:pPr>
              <w:jc w:val="center"/>
              <w:rPr>
                <w:rFonts w:asciiTheme="majorHAnsi" w:hAnsiTheme="majorHAnsi" w:cstheme="majorHAnsi"/>
                <w:sz w:val="18"/>
                <w:szCs w:val="18"/>
                <w:lang w:val="ro-MD"/>
              </w:rPr>
            </w:pPr>
            <w:r w:rsidRPr="009E5B39">
              <w:rPr>
                <w:rFonts w:asciiTheme="majorHAnsi" w:eastAsia="Times New Roman" w:hAnsiTheme="majorHAnsi" w:cstheme="majorHAnsi"/>
                <w:b/>
                <w:bCs/>
                <w:sz w:val="18"/>
                <w:szCs w:val="18"/>
                <w:lang w:val="ro-MD"/>
              </w:rPr>
              <w:t>Indicatori</w:t>
            </w:r>
          </w:p>
        </w:tc>
        <w:tc>
          <w:tcPr>
            <w:tcW w:w="2693" w:type="dxa"/>
            <w:gridSpan w:val="3"/>
            <w:shd w:val="clear" w:color="auto" w:fill="D9D9D9" w:themeFill="background1" w:themeFillShade="D9"/>
          </w:tcPr>
          <w:p w14:paraId="2E66F589" w14:textId="77777777" w:rsidR="00E35985" w:rsidRPr="009E5B39" w:rsidRDefault="00E35985" w:rsidP="00EF4BC3">
            <w:pPr>
              <w:jc w:val="center"/>
              <w:rPr>
                <w:rFonts w:asciiTheme="majorHAnsi" w:hAnsiTheme="majorHAnsi" w:cstheme="majorHAnsi"/>
                <w:b/>
                <w:bCs/>
                <w:sz w:val="18"/>
                <w:szCs w:val="18"/>
                <w:lang w:val="ro-MD"/>
              </w:rPr>
            </w:pPr>
            <w:r w:rsidRPr="009E5B39">
              <w:rPr>
                <w:rFonts w:asciiTheme="majorHAnsi" w:hAnsiTheme="majorHAnsi" w:cstheme="majorHAnsi"/>
                <w:b/>
                <w:bCs/>
                <w:sz w:val="18"/>
                <w:szCs w:val="18"/>
                <w:lang w:val="ro-MD"/>
              </w:rPr>
              <w:t>2020</w:t>
            </w:r>
          </w:p>
        </w:tc>
      </w:tr>
      <w:tr w:rsidR="00EF4BC3" w:rsidRPr="009E5B39" w14:paraId="745303C2" w14:textId="77777777" w:rsidTr="00AB313A">
        <w:trPr>
          <w:trHeight w:val="20"/>
        </w:trPr>
        <w:tc>
          <w:tcPr>
            <w:tcW w:w="6516" w:type="dxa"/>
            <w:vMerge/>
            <w:shd w:val="clear" w:color="auto" w:fill="D9D9D9" w:themeFill="background1" w:themeFillShade="D9"/>
          </w:tcPr>
          <w:p w14:paraId="26F77121" w14:textId="77777777" w:rsidR="00E35985" w:rsidRPr="009E5B39" w:rsidRDefault="00E35985" w:rsidP="00EF4BC3">
            <w:pPr>
              <w:jc w:val="both"/>
              <w:rPr>
                <w:rFonts w:asciiTheme="majorHAnsi" w:eastAsia="Times New Roman" w:hAnsiTheme="majorHAnsi" w:cstheme="majorHAnsi"/>
                <w:b/>
                <w:bCs/>
                <w:sz w:val="18"/>
                <w:szCs w:val="18"/>
                <w:lang w:val="ro-MD"/>
              </w:rPr>
            </w:pPr>
          </w:p>
        </w:tc>
        <w:tc>
          <w:tcPr>
            <w:tcW w:w="850" w:type="dxa"/>
            <w:shd w:val="clear" w:color="auto" w:fill="D9D9D9" w:themeFill="background1" w:themeFillShade="D9"/>
            <w:vAlign w:val="center"/>
          </w:tcPr>
          <w:p w14:paraId="7DBBD766" w14:textId="77777777" w:rsidR="00E35985" w:rsidRPr="009E5B39" w:rsidRDefault="00E35985" w:rsidP="00AB313A">
            <w:pPr>
              <w:jc w:val="center"/>
              <w:rPr>
                <w:rFonts w:asciiTheme="majorHAnsi" w:eastAsia="Times New Roman" w:hAnsiTheme="majorHAnsi" w:cstheme="majorHAnsi"/>
                <w:b/>
                <w:i/>
                <w:iCs/>
                <w:sz w:val="18"/>
                <w:szCs w:val="18"/>
                <w:lang w:val="ro-MD"/>
              </w:rPr>
            </w:pPr>
            <w:r w:rsidRPr="009E5B39">
              <w:rPr>
                <w:rFonts w:asciiTheme="majorHAnsi" w:eastAsia="Times New Roman" w:hAnsiTheme="majorHAnsi" w:cstheme="majorHAnsi"/>
                <w:b/>
                <w:i/>
                <w:iCs/>
                <w:sz w:val="18"/>
                <w:szCs w:val="18"/>
                <w:lang w:val="ro-MD"/>
              </w:rPr>
              <w:t>nr.</w:t>
            </w:r>
          </w:p>
        </w:tc>
        <w:tc>
          <w:tcPr>
            <w:tcW w:w="993" w:type="dxa"/>
            <w:shd w:val="clear" w:color="auto" w:fill="D9D9D9" w:themeFill="background1" w:themeFillShade="D9"/>
            <w:vAlign w:val="center"/>
          </w:tcPr>
          <w:p w14:paraId="2A437125" w14:textId="77777777" w:rsidR="00E35985" w:rsidRPr="009E5B39" w:rsidRDefault="00E35985" w:rsidP="00AB313A">
            <w:pPr>
              <w:jc w:val="center"/>
              <w:rPr>
                <w:rFonts w:asciiTheme="majorHAnsi" w:hAnsiTheme="majorHAnsi" w:cstheme="majorHAnsi"/>
                <w:b/>
                <w:i/>
                <w:iCs/>
                <w:sz w:val="18"/>
                <w:szCs w:val="18"/>
                <w:lang w:val="ro-MD"/>
              </w:rPr>
            </w:pPr>
            <w:r w:rsidRPr="009E5B39">
              <w:rPr>
                <w:rFonts w:asciiTheme="majorHAnsi" w:eastAsia="Times New Roman" w:hAnsiTheme="majorHAnsi" w:cstheme="majorHAnsi"/>
                <w:b/>
                <w:i/>
                <w:iCs/>
                <w:sz w:val="18"/>
                <w:szCs w:val="18"/>
                <w:lang w:val="ro-MD"/>
              </w:rPr>
              <w:t>mil.lei</w:t>
            </w:r>
          </w:p>
        </w:tc>
        <w:tc>
          <w:tcPr>
            <w:tcW w:w="850" w:type="dxa"/>
            <w:shd w:val="clear" w:color="auto" w:fill="D9D9D9" w:themeFill="background1" w:themeFillShade="D9"/>
          </w:tcPr>
          <w:p w14:paraId="7858737A" w14:textId="77777777" w:rsidR="00E35985" w:rsidRPr="009E5B39" w:rsidRDefault="00E35985" w:rsidP="00AB313A">
            <w:pPr>
              <w:jc w:val="center"/>
              <w:rPr>
                <w:rFonts w:asciiTheme="majorHAnsi" w:eastAsia="Times New Roman" w:hAnsiTheme="majorHAnsi" w:cstheme="majorHAnsi"/>
                <w:b/>
                <w:i/>
                <w:iCs/>
                <w:sz w:val="18"/>
                <w:szCs w:val="18"/>
                <w:lang w:val="ro-MD"/>
              </w:rPr>
            </w:pPr>
            <w:r w:rsidRPr="009E5B39">
              <w:rPr>
                <w:rFonts w:asciiTheme="majorHAnsi" w:eastAsia="Times New Roman" w:hAnsiTheme="majorHAnsi" w:cstheme="majorHAnsi"/>
                <w:b/>
                <w:i/>
                <w:iCs/>
                <w:sz w:val="18"/>
                <w:szCs w:val="18"/>
                <w:lang w:val="ro-MD"/>
              </w:rPr>
              <w:t>%</w:t>
            </w:r>
          </w:p>
        </w:tc>
      </w:tr>
      <w:tr w:rsidR="00EF4BC3" w:rsidRPr="009E5B39" w14:paraId="4A92B2B0" w14:textId="77777777" w:rsidTr="00AB313A">
        <w:trPr>
          <w:trHeight w:val="20"/>
        </w:trPr>
        <w:tc>
          <w:tcPr>
            <w:tcW w:w="6516" w:type="dxa"/>
          </w:tcPr>
          <w:p w14:paraId="2FC40DCF" w14:textId="77777777" w:rsidR="00E35985" w:rsidRPr="009E5B39" w:rsidRDefault="00E35985" w:rsidP="00EF4BC3">
            <w:pPr>
              <w:jc w:val="both"/>
              <w:rPr>
                <w:rFonts w:asciiTheme="majorHAnsi" w:hAnsiTheme="majorHAnsi" w:cstheme="majorHAnsi"/>
                <w:sz w:val="18"/>
                <w:szCs w:val="18"/>
                <w:lang w:val="ro-MD"/>
              </w:rPr>
            </w:pPr>
            <w:r w:rsidRPr="009E5B39">
              <w:rPr>
                <w:rFonts w:asciiTheme="majorHAnsi" w:eastAsia="Times New Roman" w:hAnsiTheme="majorHAnsi" w:cstheme="majorHAnsi"/>
                <w:b/>
                <w:bCs/>
                <w:sz w:val="18"/>
                <w:szCs w:val="18"/>
                <w:lang w:val="ro-MD"/>
              </w:rPr>
              <w:t>Total, achiziții</w:t>
            </w:r>
          </w:p>
        </w:tc>
        <w:tc>
          <w:tcPr>
            <w:tcW w:w="850" w:type="dxa"/>
            <w:shd w:val="clear" w:color="auto" w:fill="auto"/>
            <w:vAlign w:val="center"/>
          </w:tcPr>
          <w:p w14:paraId="0F527A12"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6.009</w:t>
            </w:r>
          </w:p>
        </w:tc>
        <w:tc>
          <w:tcPr>
            <w:tcW w:w="993" w:type="dxa"/>
            <w:shd w:val="clear" w:color="auto" w:fill="auto"/>
            <w:vAlign w:val="center"/>
          </w:tcPr>
          <w:p w14:paraId="6A21BD08"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755,81</w:t>
            </w:r>
          </w:p>
        </w:tc>
        <w:tc>
          <w:tcPr>
            <w:tcW w:w="850" w:type="dxa"/>
            <w:shd w:val="clear" w:color="auto" w:fill="auto"/>
            <w:vAlign w:val="center"/>
          </w:tcPr>
          <w:p w14:paraId="2B5DDA76" w14:textId="77777777" w:rsidR="00E35985" w:rsidRPr="009E5B39" w:rsidRDefault="00E35985" w:rsidP="00EF4BC3">
            <w:pPr>
              <w:jc w:val="right"/>
              <w:rPr>
                <w:rFonts w:asciiTheme="majorHAnsi" w:eastAsia="Times New Roman" w:hAnsiTheme="majorHAnsi" w:cstheme="majorHAnsi"/>
                <w:sz w:val="18"/>
                <w:szCs w:val="18"/>
                <w:lang w:val="ro-MD"/>
              </w:rPr>
            </w:pPr>
            <w:r w:rsidRPr="009E5B39">
              <w:rPr>
                <w:rFonts w:asciiTheme="majorHAnsi" w:hAnsiTheme="majorHAnsi" w:cstheme="majorHAnsi"/>
                <w:sz w:val="18"/>
                <w:szCs w:val="18"/>
                <w:lang w:val="ro-MD"/>
              </w:rPr>
              <w:t>100</w:t>
            </w:r>
          </w:p>
        </w:tc>
      </w:tr>
      <w:tr w:rsidR="00EF4BC3" w:rsidRPr="009E5B39" w14:paraId="1E277750" w14:textId="77777777" w:rsidTr="00AB313A">
        <w:trPr>
          <w:trHeight w:val="20"/>
        </w:trPr>
        <w:tc>
          <w:tcPr>
            <w:tcW w:w="6516" w:type="dxa"/>
          </w:tcPr>
          <w:p w14:paraId="78DDF143" w14:textId="77777777" w:rsidR="00E35985" w:rsidRPr="009E5B39" w:rsidRDefault="00E35985" w:rsidP="00EF4BC3">
            <w:pPr>
              <w:jc w:val="both"/>
              <w:rPr>
                <w:rFonts w:asciiTheme="majorHAnsi" w:hAnsiTheme="majorHAnsi" w:cstheme="majorHAnsi"/>
                <w:sz w:val="18"/>
                <w:szCs w:val="18"/>
                <w:lang w:val="ro-MD"/>
              </w:rPr>
            </w:pPr>
            <w:r w:rsidRPr="009E5B39">
              <w:rPr>
                <w:rFonts w:asciiTheme="majorHAnsi" w:eastAsia="Times New Roman" w:hAnsiTheme="majorHAnsi" w:cstheme="majorHAnsi"/>
                <w:b/>
                <w:bCs/>
                <w:sz w:val="18"/>
                <w:szCs w:val="18"/>
                <w:lang w:val="ro-MD"/>
              </w:rPr>
              <w:t>Total, contracte atribuite (fără valoare mică)</w:t>
            </w:r>
          </w:p>
        </w:tc>
        <w:tc>
          <w:tcPr>
            <w:tcW w:w="850" w:type="dxa"/>
            <w:shd w:val="clear" w:color="auto" w:fill="auto"/>
            <w:vAlign w:val="center"/>
          </w:tcPr>
          <w:p w14:paraId="757D83AF"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1090</w:t>
            </w:r>
          </w:p>
        </w:tc>
        <w:tc>
          <w:tcPr>
            <w:tcW w:w="993" w:type="dxa"/>
            <w:shd w:val="clear" w:color="auto" w:fill="auto"/>
            <w:vAlign w:val="center"/>
          </w:tcPr>
          <w:p w14:paraId="6B31C396"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554,48</w:t>
            </w:r>
          </w:p>
        </w:tc>
        <w:tc>
          <w:tcPr>
            <w:tcW w:w="850" w:type="dxa"/>
            <w:shd w:val="clear" w:color="auto" w:fill="auto"/>
            <w:vAlign w:val="center"/>
          </w:tcPr>
          <w:p w14:paraId="6F294ACC" w14:textId="77777777" w:rsidR="00E35985" w:rsidRPr="009E5B39" w:rsidRDefault="00E35985" w:rsidP="00EF4BC3">
            <w:pPr>
              <w:jc w:val="right"/>
              <w:rPr>
                <w:rFonts w:asciiTheme="majorHAnsi" w:eastAsia="Times New Roman" w:hAnsiTheme="majorHAnsi" w:cstheme="majorHAnsi"/>
                <w:sz w:val="18"/>
                <w:szCs w:val="18"/>
                <w:lang w:val="ro-MD"/>
              </w:rPr>
            </w:pPr>
            <w:r w:rsidRPr="009E5B39">
              <w:rPr>
                <w:rFonts w:asciiTheme="majorHAnsi" w:hAnsiTheme="majorHAnsi" w:cstheme="majorHAnsi"/>
                <w:sz w:val="18"/>
                <w:szCs w:val="18"/>
                <w:lang w:val="ro-MD"/>
              </w:rPr>
              <w:t>73,36</w:t>
            </w:r>
          </w:p>
        </w:tc>
      </w:tr>
      <w:tr w:rsidR="00EF4BC3" w:rsidRPr="009E5B39" w14:paraId="52D58279" w14:textId="77777777" w:rsidTr="00AB313A">
        <w:trPr>
          <w:trHeight w:val="20"/>
        </w:trPr>
        <w:tc>
          <w:tcPr>
            <w:tcW w:w="6516" w:type="dxa"/>
          </w:tcPr>
          <w:p w14:paraId="6B18EDA2" w14:textId="77777777" w:rsidR="00E35985" w:rsidRPr="009E5B39" w:rsidRDefault="00E35985" w:rsidP="00EF4BC3">
            <w:pPr>
              <w:jc w:val="both"/>
              <w:rPr>
                <w:rFonts w:asciiTheme="majorHAnsi" w:hAnsiTheme="majorHAnsi" w:cstheme="majorHAnsi"/>
                <w:sz w:val="18"/>
                <w:szCs w:val="18"/>
                <w:lang w:val="ro-MD"/>
              </w:rPr>
            </w:pPr>
            <w:r w:rsidRPr="009E5B39">
              <w:rPr>
                <w:rFonts w:asciiTheme="majorHAnsi" w:eastAsia="Times New Roman" w:hAnsiTheme="majorHAnsi" w:cstheme="majorHAnsi"/>
                <w:b/>
                <w:bCs/>
                <w:sz w:val="18"/>
                <w:szCs w:val="18"/>
                <w:lang w:val="ro-MD"/>
              </w:rPr>
              <w:t>NFP</w:t>
            </w:r>
          </w:p>
        </w:tc>
        <w:tc>
          <w:tcPr>
            <w:tcW w:w="850" w:type="dxa"/>
            <w:shd w:val="clear" w:color="auto" w:fill="auto"/>
            <w:vAlign w:val="center"/>
          </w:tcPr>
          <w:p w14:paraId="36615B2F"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34</w:t>
            </w:r>
          </w:p>
        </w:tc>
        <w:tc>
          <w:tcPr>
            <w:tcW w:w="993" w:type="dxa"/>
            <w:shd w:val="clear" w:color="auto" w:fill="auto"/>
            <w:vAlign w:val="center"/>
          </w:tcPr>
          <w:p w14:paraId="4FF3F350"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11,51</w:t>
            </w:r>
          </w:p>
        </w:tc>
        <w:tc>
          <w:tcPr>
            <w:tcW w:w="850" w:type="dxa"/>
            <w:shd w:val="clear" w:color="auto" w:fill="auto"/>
            <w:vAlign w:val="center"/>
          </w:tcPr>
          <w:p w14:paraId="5CCA2AB6" w14:textId="77777777" w:rsidR="00E35985" w:rsidRPr="009E5B39" w:rsidRDefault="00E35985" w:rsidP="00EF4BC3">
            <w:pPr>
              <w:jc w:val="right"/>
              <w:rPr>
                <w:rFonts w:asciiTheme="majorHAnsi" w:eastAsia="Times New Roman" w:hAnsiTheme="majorHAnsi" w:cstheme="majorHAnsi"/>
                <w:sz w:val="18"/>
                <w:szCs w:val="18"/>
                <w:lang w:val="ro-MD"/>
              </w:rPr>
            </w:pPr>
            <w:r w:rsidRPr="009E5B39">
              <w:rPr>
                <w:rFonts w:asciiTheme="majorHAnsi" w:hAnsiTheme="majorHAnsi" w:cstheme="majorHAnsi"/>
                <w:sz w:val="18"/>
                <w:szCs w:val="18"/>
                <w:lang w:val="ro-MD"/>
              </w:rPr>
              <w:t>1,52</w:t>
            </w:r>
          </w:p>
        </w:tc>
      </w:tr>
      <w:tr w:rsidR="00EF4BC3" w:rsidRPr="009E5B39" w14:paraId="47BAFE4B" w14:textId="77777777" w:rsidTr="00AB313A">
        <w:trPr>
          <w:trHeight w:val="20"/>
        </w:trPr>
        <w:tc>
          <w:tcPr>
            <w:tcW w:w="6516" w:type="dxa"/>
          </w:tcPr>
          <w:p w14:paraId="63FB4D8C" w14:textId="77777777" w:rsidR="00E35985" w:rsidRPr="009E5B39" w:rsidRDefault="00E35985" w:rsidP="00EF4BC3">
            <w:pPr>
              <w:jc w:val="both"/>
              <w:rPr>
                <w:rFonts w:asciiTheme="majorHAnsi" w:hAnsiTheme="majorHAnsi" w:cstheme="majorHAnsi"/>
                <w:sz w:val="18"/>
                <w:szCs w:val="18"/>
                <w:lang w:val="ro-MD"/>
              </w:rPr>
            </w:pPr>
            <w:r w:rsidRPr="009E5B39">
              <w:rPr>
                <w:rFonts w:asciiTheme="majorHAnsi" w:eastAsia="Times New Roman" w:hAnsiTheme="majorHAnsi" w:cstheme="majorHAnsi"/>
                <w:b/>
                <w:bCs/>
                <w:sz w:val="18"/>
                <w:szCs w:val="18"/>
                <w:lang w:val="ro-MD"/>
              </w:rPr>
              <w:t>LP</w:t>
            </w:r>
          </w:p>
        </w:tc>
        <w:tc>
          <w:tcPr>
            <w:tcW w:w="850" w:type="dxa"/>
            <w:shd w:val="clear" w:color="auto" w:fill="auto"/>
            <w:vAlign w:val="center"/>
          </w:tcPr>
          <w:p w14:paraId="3ADADBC9"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192</w:t>
            </w:r>
          </w:p>
        </w:tc>
        <w:tc>
          <w:tcPr>
            <w:tcW w:w="993" w:type="dxa"/>
            <w:shd w:val="clear" w:color="auto" w:fill="auto"/>
            <w:vAlign w:val="center"/>
          </w:tcPr>
          <w:p w14:paraId="792E8562"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342,55</w:t>
            </w:r>
          </w:p>
        </w:tc>
        <w:tc>
          <w:tcPr>
            <w:tcW w:w="850" w:type="dxa"/>
            <w:shd w:val="clear" w:color="auto" w:fill="auto"/>
            <w:vAlign w:val="center"/>
          </w:tcPr>
          <w:p w14:paraId="08BFF8DD" w14:textId="77777777" w:rsidR="00E35985" w:rsidRPr="009E5B39" w:rsidRDefault="00E35985" w:rsidP="00EF4BC3">
            <w:pPr>
              <w:jc w:val="right"/>
              <w:rPr>
                <w:rFonts w:asciiTheme="majorHAnsi" w:eastAsia="Times New Roman" w:hAnsiTheme="majorHAnsi" w:cstheme="majorHAnsi"/>
                <w:sz w:val="18"/>
                <w:szCs w:val="18"/>
                <w:lang w:val="ro-MD"/>
              </w:rPr>
            </w:pPr>
            <w:r w:rsidRPr="009E5B39">
              <w:rPr>
                <w:rFonts w:asciiTheme="majorHAnsi" w:hAnsiTheme="majorHAnsi" w:cstheme="majorHAnsi"/>
                <w:sz w:val="18"/>
                <w:szCs w:val="18"/>
                <w:lang w:val="ro-MD"/>
              </w:rPr>
              <w:t>45,32</w:t>
            </w:r>
          </w:p>
        </w:tc>
      </w:tr>
      <w:tr w:rsidR="00EF4BC3" w:rsidRPr="009E5B39" w14:paraId="5A5598C9" w14:textId="77777777" w:rsidTr="00AB313A">
        <w:trPr>
          <w:trHeight w:val="20"/>
        </w:trPr>
        <w:tc>
          <w:tcPr>
            <w:tcW w:w="6516" w:type="dxa"/>
          </w:tcPr>
          <w:p w14:paraId="6BBA4C13" w14:textId="77777777" w:rsidR="00E35985" w:rsidRPr="009E5B39" w:rsidRDefault="00E35985" w:rsidP="00EF4BC3">
            <w:pPr>
              <w:jc w:val="both"/>
              <w:rPr>
                <w:rFonts w:asciiTheme="majorHAnsi" w:hAnsiTheme="majorHAnsi" w:cstheme="majorHAnsi"/>
                <w:sz w:val="18"/>
                <w:szCs w:val="18"/>
                <w:lang w:val="ro-MD"/>
              </w:rPr>
            </w:pPr>
            <w:r w:rsidRPr="009E5B39">
              <w:rPr>
                <w:rFonts w:asciiTheme="majorHAnsi" w:eastAsia="Times New Roman" w:hAnsiTheme="majorHAnsi" w:cstheme="majorHAnsi"/>
                <w:b/>
                <w:bCs/>
                <w:sz w:val="18"/>
                <w:szCs w:val="18"/>
                <w:lang w:val="ro-MD"/>
              </w:rPr>
              <w:t>COP</w:t>
            </w:r>
          </w:p>
        </w:tc>
        <w:tc>
          <w:tcPr>
            <w:tcW w:w="850" w:type="dxa"/>
            <w:shd w:val="clear" w:color="auto" w:fill="auto"/>
            <w:vAlign w:val="center"/>
          </w:tcPr>
          <w:p w14:paraId="65056405"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253</w:t>
            </w:r>
          </w:p>
        </w:tc>
        <w:tc>
          <w:tcPr>
            <w:tcW w:w="993" w:type="dxa"/>
            <w:shd w:val="clear" w:color="auto" w:fill="auto"/>
            <w:vAlign w:val="center"/>
          </w:tcPr>
          <w:p w14:paraId="1ADAFC0B"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89,83</w:t>
            </w:r>
          </w:p>
        </w:tc>
        <w:tc>
          <w:tcPr>
            <w:tcW w:w="850" w:type="dxa"/>
            <w:shd w:val="clear" w:color="auto" w:fill="auto"/>
            <w:vAlign w:val="center"/>
          </w:tcPr>
          <w:p w14:paraId="5E03FEDF" w14:textId="77777777" w:rsidR="00E35985" w:rsidRPr="009E5B39" w:rsidRDefault="00E35985" w:rsidP="00EF4BC3">
            <w:pPr>
              <w:jc w:val="right"/>
              <w:rPr>
                <w:rFonts w:asciiTheme="majorHAnsi" w:eastAsia="Times New Roman" w:hAnsiTheme="majorHAnsi" w:cstheme="majorHAnsi"/>
                <w:sz w:val="18"/>
                <w:szCs w:val="18"/>
                <w:lang w:val="ro-MD"/>
              </w:rPr>
            </w:pPr>
            <w:r w:rsidRPr="009E5B39">
              <w:rPr>
                <w:rFonts w:asciiTheme="majorHAnsi" w:hAnsiTheme="majorHAnsi" w:cstheme="majorHAnsi"/>
                <w:sz w:val="18"/>
                <w:szCs w:val="18"/>
                <w:lang w:val="ro-MD"/>
              </w:rPr>
              <w:t>11,88</w:t>
            </w:r>
          </w:p>
        </w:tc>
      </w:tr>
      <w:tr w:rsidR="00EF4BC3" w:rsidRPr="009E5B39" w14:paraId="24FE3580" w14:textId="77777777" w:rsidTr="00AB313A">
        <w:trPr>
          <w:trHeight w:val="20"/>
        </w:trPr>
        <w:tc>
          <w:tcPr>
            <w:tcW w:w="6516" w:type="dxa"/>
          </w:tcPr>
          <w:p w14:paraId="20D346D1" w14:textId="77777777" w:rsidR="00E35985" w:rsidRPr="009E5B39" w:rsidRDefault="00E35985" w:rsidP="00EF4BC3">
            <w:pPr>
              <w:jc w:val="both"/>
              <w:rPr>
                <w:rFonts w:asciiTheme="majorHAnsi" w:hAnsiTheme="majorHAnsi" w:cstheme="majorHAnsi"/>
                <w:sz w:val="18"/>
                <w:szCs w:val="18"/>
                <w:lang w:val="ro-MD"/>
              </w:rPr>
            </w:pPr>
            <w:r w:rsidRPr="009E5B39">
              <w:rPr>
                <w:rFonts w:asciiTheme="majorHAnsi" w:eastAsia="Times New Roman" w:hAnsiTheme="majorHAnsi" w:cstheme="majorHAnsi"/>
                <w:b/>
                <w:bCs/>
                <w:sz w:val="18"/>
                <w:szCs w:val="18"/>
                <w:lang w:val="ro-MD"/>
              </w:rPr>
              <w:t>Alte proceduri (dintr-o singură sursă)</w:t>
            </w:r>
          </w:p>
        </w:tc>
        <w:tc>
          <w:tcPr>
            <w:tcW w:w="850" w:type="dxa"/>
            <w:shd w:val="clear" w:color="auto" w:fill="auto"/>
            <w:vAlign w:val="center"/>
          </w:tcPr>
          <w:p w14:paraId="645073B3"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572</w:t>
            </w:r>
          </w:p>
        </w:tc>
        <w:tc>
          <w:tcPr>
            <w:tcW w:w="993" w:type="dxa"/>
            <w:shd w:val="clear" w:color="auto" w:fill="auto"/>
            <w:vAlign w:val="center"/>
          </w:tcPr>
          <w:p w14:paraId="7D738792"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104,52</w:t>
            </w:r>
          </w:p>
        </w:tc>
        <w:tc>
          <w:tcPr>
            <w:tcW w:w="850" w:type="dxa"/>
            <w:shd w:val="clear" w:color="auto" w:fill="auto"/>
            <w:vAlign w:val="center"/>
          </w:tcPr>
          <w:p w14:paraId="5424DB4F" w14:textId="77777777" w:rsidR="00E35985" w:rsidRPr="009E5B39" w:rsidRDefault="00E35985" w:rsidP="00EF4BC3">
            <w:pPr>
              <w:jc w:val="right"/>
              <w:rPr>
                <w:rFonts w:asciiTheme="majorHAnsi" w:eastAsia="Times New Roman" w:hAnsiTheme="majorHAnsi" w:cstheme="majorHAnsi"/>
                <w:sz w:val="18"/>
                <w:szCs w:val="18"/>
                <w:lang w:val="ro-MD"/>
              </w:rPr>
            </w:pPr>
            <w:r w:rsidRPr="009E5B39">
              <w:rPr>
                <w:rFonts w:asciiTheme="majorHAnsi" w:hAnsiTheme="majorHAnsi" w:cstheme="majorHAnsi"/>
                <w:sz w:val="18"/>
                <w:szCs w:val="18"/>
                <w:lang w:val="ro-MD"/>
              </w:rPr>
              <w:t>13,86</w:t>
            </w:r>
          </w:p>
        </w:tc>
      </w:tr>
      <w:tr w:rsidR="00EF4BC3" w:rsidRPr="009E5B39" w14:paraId="27B0DA0B" w14:textId="77777777" w:rsidTr="00AB313A">
        <w:trPr>
          <w:trHeight w:val="20"/>
        </w:trPr>
        <w:tc>
          <w:tcPr>
            <w:tcW w:w="6516" w:type="dxa"/>
          </w:tcPr>
          <w:p w14:paraId="47573422" w14:textId="77777777" w:rsidR="00E35985" w:rsidRPr="009E5B39" w:rsidRDefault="00E35985" w:rsidP="00EF4BC3">
            <w:pPr>
              <w:jc w:val="both"/>
              <w:rPr>
                <w:rFonts w:asciiTheme="majorHAnsi" w:hAnsiTheme="majorHAnsi" w:cstheme="majorHAnsi"/>
                <w:sz w:val="18"/>
                <w:szCs w:val="18"/>
                <w:lang w:val="ro-MD"/>
              </w:rPr>
            </w:pPr>
            <w:r w:rsidRPr="009E5B39">
              <w:rPr>
                <w:rFonts w:asciiTheme="majorHAnsi" w:eastAsia="Times New Roman" w:hAnsiTheme="majorHAnsi" w:cstheme="majorHAnsi"/>
                <w:b/>
                <w:bCs/>
                <w:sz w:val="18"/>
                <w:szCs w:val="18"/>
                <w:lang w:val="ro-MD"/>
              </w:rPr>
              <w:t>Valoare mică</w:t>
            </w:r>
          </w:p>
        </w:tc>
        <w:tc>
          <w:tcPr>
            <w:tcW w:w="850" w:type="dxa"/>
            <w:shd w:val="clear" w:color="auto" w:fill="auto"/>
            <w:vAlign w:val="center"/>
          </w:tcPr>
          <w:p w14:paraId="7777E4E0"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2495</w:t>
            </w:r>
          </w:p>
        </w:tc>
        <w:tc>
          <w:tcPr>
            <w:tcW w:w="993" w:type="dxa"/>
            <w:shd w:val="clear" w:color="auto" w:fill="auto"/>
            <w:vAlign w:val="center"/>
          </w:tcPr>
          <w:p w14:paraId="4D944E20"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183,73</w:t>
            </w:r>
          </w:p>
        </w:tc>
        <w:tc>
          <w:tcPr>
            <w:tcW w:w="850" w:type="dxa"/>
            <w:shd w:val="clear" w:color="auto" w:fill="auto"/>
            <w:vAlign w:val="center"/>
          </w:tcPr>
          <w:p w14:paraId="4D85F911" w14:textId="77777777" w:rsidR="00E35985" w:rsidRPr="009E5B39" w:rsidRDefault="00E35985" w:rsidP="00EF4BC3">
            <w:pPr>
              <w:jc w:val="right"/>
              <w:rPr>
                <w:rFonts w:asciiTheme="majorHAnsi" w:eastAsia="Times New Roman" w:hAnsiTheme="majorHAnsi" w:cstheme="majorHAnsi"/>
                <w:sz w:val="18"/>
                <w:szCs w:val="18"/>
                <w:lang w:val="ro-MD"/>
              </w:rPr>
            </w:pPr>
            <w:r w:rsidRPr="009E5B39">
              <w:rPr>
                <w:rFonts w:asciiTheme="majorHAnsi" w:hAnsiTheme="majorHAnsi" w:cstheme="majorHAnsi"/>
                <w:sz w:val="18"/>
                <w:szCs w:val="18"/>
                <w:lang w:val="ro-MD"/>
              </w:rPr>
              <w:t>24,30</w:t>
            </w:r>
          </w:p>
        </w:tc>
      </w:tr>
      <w:tr w:rsidR="00EF4BC3" w:rsidRPr="009E5B39" w14:paraId="307721CC" w14:textId="77777777" w:rsidTr="00AB313A">
        <w:trPr>
          <w:trHeight w:val="20"/>
        </w:trPr>
        <w:tc>
          <w:tcPr>
            <w:tcW w:w="6516" w:type="dxa"/>
          </w:tcPr>
          <w:p w14:paraId="46A99BCE" w14:textId="77777777" w:rsidR="00E35985" w:rsidRPr="009E5B39" w:rsidRDefault="00E35985" w:rsidP="00EF4BC3">
            <w:pPr>
              <w:jc w:val="both"/>
              <w:rPr>
                <w:rFonts w:asciiTheme="majorHAnsi" w:hAnsiTheme="majorHAnsi" w:cstheme="majorHAnsi"/>
                <w:sz w:val="18"/>
                <w:szCs w:val="18"/>
                <w:lang w:val="ro-MD"/>
              </w:rPr>
            </w:pPr>
            <w:r w:rsidRPr="009E5B39">
              <w:rPr>
                <w:rFonts w:asciiTheme="majorHAnsi" w:eastAsia="Times New Roman" w:hAnsiTheme="majorHAnsi" w:cstheme="majorHAnsi"/>
                <w:b/>
                <w:bCs/>
                <w:sz w:val="18"/>
                <w:szCs w:val="18"/>
                <w:lang w:val="ro-MD"/>
              </w:rPr>
              <w:t>Achiziții de până la 10,0 mii lei</w:t>
            </w:r>
          </w:p>
        </w:tc>
        <w:tc>
          <w:tcPr>
            <w:tcW w:w="850" w:type="dxa"/>
            <w:shd w:val="clear" w:color="auto" w:fill="auto"/>
            <w:vAlign w:val="center"/>
          </w:tcPr>
          <w:p w14:paraId="73CB166F"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2424</w:t>
            </w:r>
          </w:p>
        </w:tc>
        <w:tc>
          <w:tcPr>
            <w:tcW w:w="993" w:type="dxa"/>
            <w:shd w:val="clear" w:color="auto" w:fill="auto"/>
            <w:vAlign w:val="center"/>
          </w:tcPr>
          <w:p w14:paraId="5128900B"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17,59</w:t>
            </w:r>
          </w:p>
        </w:tc>
        <w:tc>
          <w:tcPr>
            <w:tcW w:w="850" w:type="dxa"/>
            <w:shd w:val="clear" w:color="auto" w:fill="auto"/>
            <w:vAlign w:val="center"/>
          </w:tcPr>
          <w:p w14:paraId="1C2AC93E" w14:textId="77777777" w:rsidR="00E35985" w:rsidRPr="009E5B39" w:rsidRDefault="00E35985" w:rsidP="00EF4BC3">
            <w:pPr>
              <w:jc w:val="right"/>
              <w:rPr>
                <w:rFonts w:asciiTheme="majorHAnsi" w:eastAsia="Times New Roman" w:hAnsiTheme="majorHAnsi" w:cstheme="majorHAnsi"/>
                <w:sz w:val="18"/>
                <w:szCs w:val="18"/>
                <w:lang w:val="ro-MD"/>
              </w:rPr>
            </w:pPr>
            <w:r w:rsidRPr="009E5B39">
              <w:rPr>
                <w:rFonts w:asciiTheme="majorHAnsi" w:hAnsiTheme="majorHAnsi" w:cstheme="majorHAnsi"/>
                <w:sz w:val="18"/>
                <w:szCs w:val="18"/>
                <w:lang w:val="ro-MD"/>
              </w:rPr>
              <w:t>2,32</w:t>
            </w:r>
          </w:p>
        </w:tc>
      </w:tr>
      <w:tr w:rsidR="00EF4BC3" w:rsidRPr="009E5B39" w14:paraId="67EB268D" w14:textId="77777777" w:rsidTr="00AB313A">
        <w:trPr>
          <w:trHeight w:val="20"/>
        </w:trPr>
        <w:tc>
          <w:tcPr>
            <w:tcW w:w="6516" w:type="dxa"/>
          </w:tcPr>
          <w:p w14:paraId="65585384" w14:textId="77777777" w:rsidR="00E35985" w:rsidRPr="009E5B39" w:rsidRDefault="00E35985" w:rsidP="00EF4BC3">
            <w:pPr>
              <w:jc w:val="both"/>
              <w:rPr>
                <w:rFonts w:asciiTheme="majorHAnsi" w:eastAsia="Times New Roman" w:hAnsiTheme="majorHAnsi" w:cstheme="majorHAnsi"/>
                <w:b/>
                <w:bCs/>
                <w:sz w:val="18"/>
                <w:szCs w:val="18"/>
                <w:lang w:val="ro-MD"/>
              </w:rPr>
            </w:pPr>
            <w:r w:rsidRPr="009E5B39">
              <w:rPr>
                <w:rFonts w:asciiTheme="majorHAnsi" w:eastAsia="Times New Roman" w:hAnsiTheme="majorHAnsi" w:cstheme="majorHAnsi"/>
                <w:b/>
                <w:bCs/>
                <w:sz w:val="18"/>
                <w:szCs w:val="18"/>
                <w:lang w:val="ro-MD"/>
              </w:rPr>
              <w:t>COFP (cererea ofertei fără publicare)</w:t>
            </w:r>
          </w:p>
        </w:tc>
        <w:tc>
          <w:tcPr>
            <w:tcW w:w="850" w:type="dxa"/>
            <w:shd w:val="clear" w:color="auto" w:fill="auto"/>
            <w:vAlign w:val="center"/>
          </w:tcPr>
          <w:p w14:paraId="0888E8F1"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39</w:t>
            </w:r>
          </w:p>
        </w:tc>
        <w:tc>
          <w:tcPr>
            <w:tcW w:w="993" w:type="dxa"/>
            <w:shd w:val="clear" w:color="auto" w:fill="auto"/>
            <w:vAlign w:val="center"/>
          </w:tcPr>
          <w:p w14:paraId="075D0DF1"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5,83</w:t>
            </w:r>
          </w:p>
        </w:tc>
        <w:tc>
          <w:tcPr>
            <w:tcW w:w="850" w:type="dxa"/>
            <w:shd w:val="clear" w:color="auto" w:fill="auto"/>
            <w:vAlign w:val="center"/>
          </w:tcPr>
          <w:p w14:paraId="17EC865C" w14:textId="77777777" w:rsidR="00E35985" w:rsidRPr="009E5B39" w:rsidRDefault="00E35985" w:rsidP="00EF4BC3">
            <w:pPr>
              <w:jc w:val="right"/>
              <w:rPr>
                <w:rFonts w:asciiTheme="majorHAnsi" w:eastAsia="Times New Roman" w:hAnsiTheme="majorHAnsi" w:cstheme="majorHAnsi"/>
                <w:sz w:val="18"/>
                <w:szCs w:val="18"/>
                <w:lang w:val="ro-MD"/>
              </w:rPr>
            </w:pPr>
            <w:r w:rsidRPr="009E5B39">
              <w:rPr>
                <w:rFonts w:asciiTheme="majorHAnsi" w:hAnsiTheme="majorHAnsi" w:cstheme="majorHAnsi"/>
                <w:sz w:val="18"/>
                <w:szCs w:val="18"/>
                <w:lang w:val="ro-MD"/>
              </w:rPr>
              <w:t>0,77</w:t>
            </w:r>
          </w:p>
        </w:tc>
      </w:tr>
      <w:tr w:rsidR="00EF4BC3" w:rsidRPr="009E5B39" w14:paraId="6CBC6B6F" w14:textId="77777777" w:rsidTr="00AB313A">
        <w:trPr>
          <w:trHeight w:val="20"/>
        </w:trPr>
        <w:tc>
          <w:tcPr>
            <w:tcW w:w="6516" w:type="dxa"/>
          </w:tcPr>
          <w:p w14:paraId="4332D2BA" w14:textId="77777777" w:rsidR="00E35985" w:rsidRPr="009E5B39" w:rsidRDefault="00E35985" w:rsidP="00EF4BC3">
            <w:pPr>
              <w:jc w:val="both"/>
              <w:rPr>
                <w:rFonts w:asciiTheme="majorHAnsi" w:hAnsiTheme="majorHAnsi" w:cstheme="majorHAnsi"/>
                <w:sz w:val="18"/>
                <w:szCs w:val="18"/>
                <w:lang w:val="ro-MD"/>
              </w:rPr>
            </w:pPr>
            <w:r w:rsidRPr="009E5B39">
              <w:rPr>
                <w:rFonts w:asciiTheme="majorHAnsi" w:eastAsia="Times New Roman" w:hAnsiTheme="majorHAnsi" w:cstheme="majorHAnsi"/>
                <w:sz w:val="18"/>
                <w:szCs w:val="18"/>
                <w:lang w:val="ro-MD"/>
              </w:rPr>
              <w:t xml:space="preserve">Valoarea procurărilor reieșind din datele din Raportul FD 44 </w:t>
            </w:r>
            <w:r w:rsidRPr="009E5B39">
              <w:rPr>
                <w:rFonts w:asciiTheme="majorHAnsi" w:eastAsia="Times New Roman" w:hAnsiTheme="majorHAnsi" w:cstheme="majorHAnsi"/>
                <w:sz w:val="18"/>
                <w:szCs w:val="18"/>
                <w:vertAlign w:val="superscript"/>
                <w:lang w:val="ro-MD"/>
              </w:rPr>
              <w:footnoteReference w:id="102"/>
            </w:r>
          </w:p>
        </w:tc>
        <w:tc>
          <w:tcPr>
            <w:tcW w:w="850" w:type="dxa"/>
            <w:shd w:val="clear" w:color="auto" w:fill="auto"/>
            <w:vAlign w:val="center"/>
          </w:tcPr>
          <w:p w14:paraId="0FCB0BCE"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 </w:t>
            </w:r>
          </w:p>
        </w:tc>
        <w:tc>
          <w:tcPr>
            <w:tcW w:w="993" w:type="dxa"/>
            <w:shd w:val="clear" w:color="auto" w:fill="auto"/>
            <w:vAlign w:val="center"/>
          </w:tcPr>
          <w:p w14:paraId="7B909654"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1300,50</w:t>
            </w:r>
          </w:p>
        </w:tc>
        <w:tc>
          <w:tcPr>
            <w:tcW w:w="850" w:type="dxa"/>
            <w:shd w:val="clear" w:color="auto" w:fill="auto"/>
            <w:vAlign w:val="center"/>
          </w:tcPr>
          <w:p w14:paraId="74E41311"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 </w:t>
            </w:r>
          </w:p>
        </w:tc>
      </w:tr>
      <w:tr w:rsidR="00EF4BC3" w:rsidRPr="009E5B39" w14:paraId="0911754C" w14:textId="77777777" w:rsidTr="00AB313A">
        <w:trPr>
          <w:trHeight w:val="20"/>
        </w:trPr>
        <w:tc>
          <w:tcPr>
            <w:tcW w:w="6516" w:type="dxa"/>
          </w:tcPr>
          <w:p w14:paraId="13726FB2" w14:textId="77777777" w:rsidR="00E35985" w:rsidRPr="009E5B39" w:rsidRDefault="00E35985" w:rsidP="00EF4BC3">
            <w:pPr>
              <w:jc w:val="both"/>
              <w:rPr>
                <w:rFonts w:asciiTheme="majorHAnsi" w:hAnsiTheme="majorHAnsi" w:cstheme="majorHAnsi"/>
                <w:sz w:val="18"/>
                <w:szCs w:val="18"/>
                <w:lang w:val="ro-MD"/>
              </w:rPr>
            </w:pPr>
            <w:r w:rsidRPr="009E5B39">
              <w:rPr>
                <w:rFonts w:asciiTheme="majorHAnsi" w:eastAsia="Times New Roman" w:hAnsiTheme="majorHAnsi" w:cstheme="majorHAnsi"/>
                <w:bCs/>
                <w:sz w:val="18"/>
                <w:szCs w:val="18"/>
                <w:lang w:val="ro-MD"/>
              </w:rPr>
              <w:t>din care, fără servicii comunale</w:t>
            </w:r>
          </w:p>
        </w:tc>
        <w:tc>
          <w:tcPr>
            <w:tcW w:w="850" w:type="dxa"/>
            <w:shd w:val="clear" w:color="auto" w:fill="auto"/>
            <w:vAlign w:val="center"/>
          </w:tcPr>
          <w:p w14:paraId="2833C892"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 </w:t>
            </w:r>
          </w:p>
        </w:tc>
        <w:tc>
          <w:tcPr>
            <w:tcW w:w="993" w:type="dxa"/>
            <w:shd w:val="clear" w:color="auto" w:fill="auto"/>
            <w:vAlign w:val="center"/>
          </w:tcPr>
          <w:p w14:paraId="65A258C3"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1130,34</w:t>
            </w:r>
          </w:p>
        </w:tc>
        <w:tc>
          <w:tcPr>
            <w:tcW w:w="850" w:type="dxa"/>
            <w:shd w:val="clear" w:color="auto" w:fill="auto"/>
            <w:vAlign w:val="center"/>
          </w:tcPr>
          <w:p w14:paraId="203414DF"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 </w:t>
            </w:r>
          </w:p>
        </w:tc>
      </w:tr>
      <w:tr w:rsidR="00EF4BC3" w:rsidRPr="009E5B39" w14:paraId="3101883F" w14:textId="77777777" w:rsidTr="00AB313A">
        <w:trPr>
          <w:trHeight w:val="20"/>
        </w:trPr>
        <w:tc>
          <w:tcPr>
            <w:tcW w:w="6516" w:type="dxa"/>
          </w:tcPr>
          <w:p w14:paraId="7DCDA69E" w14:textId="77777777" w:rsidR="00E35985" w:rsidRPr="009E5B39" w:rsidRDefault="00E35985" w:rsidP="00EF4BC3">
            <w:pPr>
              <w:rPr>
                <w:rFonts w:asciiTheme="majorHAnsi" w:eastAsia="Times New Roman" w:hAnsiTheme="majorHAnsi" w:cstheme="majorHAnsi"/>
                <w:b/>
                <w:bCs/>
                <w:sz w:val="18"/>
                <w:szCs w:val="18"/>
                <w:lang w:val="ro-MD"/>
              </w:rPr>
            </w:pPr>
            <w:r w:rsidRPr="009E5B39">
              <w:rPr>
                <w:rFonts w:asciiTheme="majorHAnsi" w:eastAsia="Times New Roman" w:hAnsiTheme="majorHAnsi" w:cstheme="majorHAnsi"/>
                <w:b/>
                <w:bCs/>
                <w:sz w:val="18"/>
                <w:szCs w:val="18"/>
                <w:lang w:val="ro-MD"/>
              </w:rPr>
              <w:t>Procurări netransparente</w:t>
            </w:r>
          </w:p>
        </w:tc>
        <w:tc>
          <w:tcPr>
            <w:tcW w:w="850" w:type="dxa"/>
            <w:shd w:val="clear" w:color="auto" w:fill="auto"/>
            <w:vAlign w:val="center"/>
          </w:tcPr>
          <w:p w14:paraId="557DFC93"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 </w:t>
            </w:r>
          </w:p>
        </w:tc>
        <w:tc>
          <w:tcPr>
            <w:tcW w:w="993" w:type="dxa"/>
            <w:shd w:val="clear" w:color="auto" w:fill="auto"/>
            <w:vAlign w:val="center"/>
          </w:tcPr>
          <w:p w14:paraId="5D4F72EF"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746,02</w:t>
            </w:r>
          </w:p>
        </w:tc>
        <w:tc>
          <w:tcPr>
            <w:tcW w:w="850" w:type="dxa"/>
            <w:shd w:val="clear" w:color="auto" w:fill="auto"/>
            <w:vAlign w:val="center"/>
          </w:tcPr>
          <w:p w14:paraId="4BF92B5E"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 </w:t>
            </w:r>
          </w:p>
        </w:tc>
      </w:tr>
      <w:tr w:rsidR="00E35985" w:rsidRPr="009E5B39" w14:paraId="59D19BA5" w14:textId="77777777" w:rsidTr="00AB313A">
        <w:trPr>
          <w:trHeight w:val="20"/>
        </w:trPr>
        <w:tc>
          <w:tcPr>
            <w:tcW w:w="6516" w:type="dxa"/>
          </w:tcPr>
          <w:p w14:paraId="22D49D39" w14:textId="77777777" w:rsidR="00E35985" w:rsidRPr="009E5B39" w:rsidRDefault="00E35985" w:rsidP="00EF4BC3">
            <w:pPr>
              <w:rPr>
                <w:rFonts w:asciiTheme="majorHAnsi" w:eastAsia="Times New Roman" w:hAnsiTheme="majorHAnsi" w:cstheme="majorHAnsi"/>
                <w:b/>
                <w:bCs/>
                <w:sz w:val="18"/>
                <w:szCs w:val="18"/>
                <w:lang w:val="ro-MD"/>
              </w:rPr>
            </w:pPr>
            <w:r w:rsidRPr="009E5B39">
              <w:rPr>
                <w:rFonts w:asciiTheme="majorHAnsi" w:eastAsia="Times New Roman" w:hAnsiTheme="majorHAnsi" w:cstheme="majorHAnsi"/>
                <w:b/>
                <w:bCs/>
                <w:sz w:val="18"/>
                <w:szCs w:val="18"/>
                <w:lang w:val="ro-MD"/>
              </w:rPr>
              <w:t>Procurări nedeclarate</w:t>
            </w:r>
          </w:p>
        </w:tc>
        <w:tc>
          <w:tcPr>
            <w:tcW w:w="850" w:type="dxa"/>
            <w:shd w:val="clear" w:color="auto" w:fill="auto"/>
            <w:vAlign w:val="bottom"/>
          </w:tcPr>
          <w:p w14:paraId="51A0605C"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 </w:t>
            </w:r>
          </w:p>
        </w:tc>
        <w:tc>
          <w:tcPr>
            <w:tcW w:w="993" w:type="dxa"/>
            <w:shd w:val="clear" w:color="auto" w:fill="auto"/>
            <w:vAlign w:val="bottom"/>
          </w:tcPr>
          <w:p w14:paraId="109D7C4C"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544,68</w:t>
            </w:r>
          </w:p>
        </w:tc>
        <w:tc>
          <w:tcPr>
            <w:tcW w:w="850" w:type="dxa"/>
            <w:shd w:val="clear" w:color="auto" w:fill="auto"/>
            <w:vAlign w:val="bottom"/>
          </w:tcPr>
          <w:p w14:paraId="04B61F0B" w14:textId="77777777" w:rsidR="00E35985" w:rsidRPr="009E5B39" w:rsidRDefault="00E35985" w:rsidP="00EF4BC3">
            <w:pPr>
              <w:jc w:val="right"/>
              <w:rPr>
                <w:rFonts w:asciiTheme="majorHAnsi" w:hAnsiTheme="majorHAnsi" w:cstheme="majorHAnsi"/>
                <w:sz w:val="18"/>
                <w:szCs w:val="18"/>
                <w:lang w:val="ro-MD"/>
              </w:rPr>
            </w:pPr>
            <w:r w:rsidRPr="009E5B39">
              <w:rPr>
                <w:rFonts w:asciiTheme="majorHAnsi" w:hAnsiTheme="majorHAnsi" w:cstheme="majorHAnsi"/>
                <w:sz w:val="18"/>
                <w:szCs w:val="18"/>
                <w:lang w:val="ro-MD"/>
              </w:rPr>
              <w:t> </w:t>
            </w:r>
          </w:p>
        </w:tc>
      </w:tr>
    </w:tbl>
    <w:p w14:paraId="7A2E3014" w14:textId="77777777" w:rsidR="00E35985" w:rsidRPr="009E5B39" w:rsidRDefault="00E35985" w:rsidP="007102DC">
      <w:pPr>
        <w:spacing w:before="240"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Potrivit informațiilor prezentate de Primăria mun. Chișinău și entitățile bugetare din subordine, în anul 2020 acestea au efectuat achiziții în sumă totală de 755,81 mil. lei, din care achiziții de valoare mică și până la 10,0 mii lei - în sumă de 201,32 mil. lei, sau 26,6 % din achizițiile totale. </w:t>
      </w:r>
    </w:p>
    <w:p w14:paraId="58F75FBB" w14:textId="77777777" w:rsidR="00E35985" w:rsidRPr="009E5B39" w:rsidRDefault="00E35985" w:rsidP="00EF4BC3">
      <w:pPr>
        <w:spacing w:after="0" w:line="276" w:lineRule="auto"/>
        <w:ind w:firstLine="709"/>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Totodată, auditul constată nedeclararea de către instituțiile bugetare a unor procurări/cheltuieli în sumă de 544,68 mil. lei, reieșind din faptul că, potrivit rapoartelor privind executarea bugetului, procurările/cheltuielile de casă raportate au constituit 1300,5 mil.lei. Cele indicate denotă lipsa unei evidențe conforme a procurărilor, clasificarea incorectă a acestora și, respectiv, lipsa transparenței achizițiilor publice.</w:t>
      </w:r>
    </w:p>
    <w:p w14:paraId="25207B80" w14:textId="79410943" w:rsidR="00E35985" w:rsidRPr="009E5B39" w:rsidRDefault="00E35985" w:rsidP="00EF4BC3">
      <w:pPr>
        <w:tabs>
          <w:tab w:val="left" w:pos="0"/>
        </w:tabs>
        <w:spacing w:after="0" w:line="276" w:lineRule="auto"/>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b/>
        <w:t xml:space="preserve">De asemenea, se relevă că circa 57 % din procurări (746,02 mil.lei, din 1300,5 mil.lei) au fost efectuate fără aplicarea procedurilor reglementate de Legea nr.131/2015, ceea ce indică netransparența și, respectiv, riscul </w:t>
      </w:r>
      <w:r w:rsidR="004C2630"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ineficienț</w:t>
      </w:r>
      <w:r w:rsidR="004C2630" w:rsidRPr="009E5B39">
        <w:rPr>
          <w:rFonts w:asciiTheme="majorHAnsi" w:hAnsiTheme="majorHAnsi" w:cstheme="majorHAnsi"/>
          <w:sz w:val="24"/>
          <w:szCs w:val="24"/>
          <w:lang w:val="ro-MD"/>
        </w:rPr>
        <w:t>ă a</w:t>
      </w:r>
      <w:r w:rsidRPr="009E5B39">
        <w:rPr>
          <w:rFonts w:asciiTheme="majorHAnsi" w:hAnsiTheme="majorHAnsi" w:cstheme="majorHAnsi"/>
          <w:sz w:val="24"/>
          <w:szCs w:val="24"/>
          <w:lang w:val="ro-MD"/>
        </w:rPr>
        <w:t xml:space="preserve"> achizițiilor efectuate. Situația în cauză scoate în evidență o lacună normativă - lipsa unei sancțiuni directe pentru neaplicarea legii menționate.</w:t>
      </w:r>
    </w:p>
    <w:p w14:paraId="03DE6123" w14:textId="68034C0B" w:rsidR="003D7246" w:rsidRPr="009E5B39" w:rsidRDefault="003D7246" w:rsidP="003C5073">
      <w:pPr>
        <w:pStyle w:val="ListParagraph"/>
        <w:numPr>
          <w:ilvl w:val="0"/>
          <w:numId w:val="4"/>
        </w:numPr>
        <w:spacing w:after="0" w:line="276" w:lineRule="auto"/>
        <w:ind w:left="0" w:firstLine="567"/>
        <w:jc w:val="both"/>
        <w:rPr>
          <w:rFonts w:asciiTheme="majorHAnsi" w:hAnsiTheme="majorHAnsi"/>
          <w:sz w:val="24"/>
          <w:szCs w:val="24"/>
          <w:u w:val="single"/>
          <w:lang w:val="ro-MD"/>
        </w:rPr>
      </w:pPr>
      <w:r w:rsidRPr="009E5B39">
        <w:rPr>
          <w:rFonts w:asciiTheme="majorHAnsi" w:hAnsiTheme="majorHAnsi" w:cstheme="majorHAnsi"/>
          <w:sz w:val="24"/>
          <w:szCs w:val="24"/>
          <w:lang w:val="ro-MD"/>
        </w:rPr>
        <w:t xml:space="preserve"> </w:t>
      </w:r>
      <w:r w:rsidRPr="009E5B39">
        <w:rPr>
          <w:rFonts w:asciiTheme="majorHAnsi" w:hAnsiTheme="majorHAnsi" w:cstheme="majorHAnsi"/>
          <w:bCs/>
          <w:sz w:val="24"/>
          <w:szCs w:val="24"/>
          <w:lang w:val="ro-MD"/>
        </w:rPr>
        <w:t>În perioada anului 2020, primăria mun. Chișinău și instituțiile din subordine, contrar prevederilor art.66 alin. (5) din Legea nr.181 din 25.07.2014</w:t>
      </w:r>
      <w:r w:rsidRPr="009E5B39">
        <w:rPr>
          <w:rFonts w:eastAsiaTheme="minorEastAsia"/>
          <w:vertAlign w:val="superscript"/>
          <w:lang w:val="ro-MD"/>
        </w:rPr>
        <w:footnoteReference w:id="103"/>
      </w:r>
      <w:r w:rsidRPr="009E5B39">
        <w:rPr>
          <w:rFonts w:asciiTheme="majorHAnsi" w:hAnsiTheme="majorHAnsi" w:cstheme="majorHAnsi"/>
          <w:bCs/>
          <w:sz w:val="24"/>
          <w:szCs w:val="24"/>
          <w:lang w:val="ro-MD"/>
        </w:rPr>
        <w:t xml:space="preserve">, au acordat avansuri pentru achiziționarea mărfurilor, serviciilor și lucrărilor, în sumă de </w:t>
      </w:r>
      <w:r w:rsidRPr="009E5B39">
        <w:rPr>
          <w:rFonts w:asciiTheme="majorHAnsi" w:hAnsiTheme="majorHAnsi" w:cstheme="majorHAnsi"/>
          <w:b/>
          <w:bCs/>
          <w:sz w:val="24"/>
          <w:szCs w:val="24"/>
          <w:lang w:val="ro-MD"/>
        </w:rPr>
        <w:t>12,22 mil.lei</w:t>
      </w:r>
      <w:r w:rsidRPr="009E5B39">
        <w:rPr>
          <w:rFonts w:asciiTheme="majorHAnsi" w:hAnsiTheme="majorHAnsi" w:cstheme="majorHAnsi"/>
          <w:bCs/>
          <w:sz w:val="24"/>
          <w:szCs w:val="24"/>
          <w:lang w:val="ro-MD"/>
        </w:rPr>
        <w:t xml:space="preserve">, din care pentru servicii comunale și telecomunicații – </w:t>
      </w:r>
      <w:r w:rsidRPr="009E5B39">
        <w:rPr>
          <w:rFonts w:asciiTheme="majorHAnsi" w:hAnsiTheme="majorHAnsi" w:cstheme="majorHAnsi"/>
          <w:b/>
          <w:bCs/>
          <w:sz w:val="24"/>
          <w:szCs w:val="24"/>
          <w:lang w:val="ro-MD"/>
        </w:rPr>
        <w:t>3,68 mil.lei</w:t>
      </w:r>
      <w:r w:rsidRPr="009E5B39">
        <w:rPr>
          <w:rFonts w:asciiTheme="majorHAnsi" w:hAnsiTheme="majorHAnsi" w:cstheme="majorHAnsi"/>
          <w:bCs/>
          <w:sz w:val="24"/>
          <w:szCs w:val="24"/>
          <w:lang w:val="ro-MD"/>
        </w:rPr>
        <w:t xml:space="preserve"> (</w:t>
      </w:r>
      <w:r w:rsidRPr="009E5B39">
        <w:rPr>
          <w:rFonts w:asciiTheme="majorHAnsi" w:hAnsiTheme="majorHAnsi" w:cstheme="majorHAnsi"/>
          <w:bCs/>
          <w:i/>
          <w:iCs/>
          <w:sz w:val="24"/>
          <w:szCs w:val="24"/>
          <w:lang w:val="ro-MD"/>
        </w:rPr>
        <w:t>vezi Tabelul nr.1 și, respectiv, Tabelul nr.2 din Anexa nr.9 la Raportul de audit</w:t>
      </w:r>
      <w:r w:rsidRPr="009E5B39">
        <w:rPr>
          <w:rFonts w:asciiTheme="majorHAnsi" w:hAnsiTheme="majorHAnsi" w:cstheme="majorHAnsi"/>
          <w:bCs/>
          <w:sz w:val="24"/>
          <w:szCs w:val="24"/>
          <w:lang w:val="ro-MD"/>
        </w:rPr>
        <w:t>).</w:t>
      </w:r>
    </w:p>
    <w:p w14:paraId="6A2EACEC" w14:textId="7570E687" w:rsidR="00E35985" w:rsidRPr="009E5B39" w:rsidRDefault="00A54E6A" w:rsidP="003C5073">
      <w:pPr>
        <w:spacing w:after="0" w:line="276" w:lineRule="auto"/>
        <w:jc w:val="both"/>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 xml:space="preserve">4.2.14. </w:t>
      </w:r>
      <w:r w:rsidR="00E35985" w:rsidRPr="009E5B39">
        <w:rPr>
          <w:rFonts w:asciiTheme="majorHAnsi" w:hAnsiTheme="majorHAnsi" w:cstheme="majorHAnsi"/>
          <w:b/>
          <w:i/>
          <w:sz w:val="24"/>
          <w:szCs w:val="24"/>
          <w:lang w:val="ro-MD"/>
        </w:rPr>
        <w:t xml:space="preserve">Divizarea procedurilor de achiziție este constatată în multiple cazuri, nefiind aplicată o procedură de achiziție publică unică reglementată de </w:t>
      </w:r>
      <w:r w:rsidR="00E35985" w:rsidRPr="009E5B39">
        <w:rPr>
          <w:rFonts w:asciiTheme="majorHAnsi" w:hAnsiTheme="majorHAnsi" w:cstheme="majorHAnsi"/>
          <w:b/>
          <w:bCs/>
          <w:i/>
          <w:sz w:val="24"/>
          <w:szCs w:val="24"/>
          <w:lang w:val="ro-MD"/>
        </w:rPr>
        <w:t>Legea nr.131/2015</w:t>
      </w:r>
      <w:r w:rsidR="00E35985" w:rsidRPr="009E5B39">
        <w:rPr>
          <w:rFonts w:asciiTheme="majorHAnsi" w:hAnsiTheme="majorHAnsi" w:cstheme="majorHAnsi"/>
          <w:b/>
          <w:i/>
          <w:sz w:val="24"/>
          <w:szCs w:val="24"/>
          <w:lang w:val="ro-MD"/>
        </w:rPr>
        <w:t xml:space="preserve">. </w:t>
      </w:r>
    </w:p>
    <w:p w14:paraId="1BACC842" w14:textId="76F8165F" w:rsidR="00E35985" w:rsidRPr="009E5B39" w:rsidRDefault="00E35985" w:rsidP="00EF4BC3">
      <w:pPr>
        <w:tabs>
          <w:tab w:val="left" w:pos="720"/>
        </w:tabs>
        <w:spacing w:after="0" w:line="276" w:lineRule="auto"/>
        <w:jc w:val="both"/>
        <w:rPr>
          <w:rFonts w:asciiTheme="majorHAnsi" w:hAnsiTheme="majorHAnsi" w:cstheme="majorHAnsi"/>
          <w:b/>
          <w:sz w:val="24"/>
          <w:szCs w:val="24"/>
          <w:lang w:val="ro-MD"/>
        </w:rPr>
      </w:pPr>
      <w:r w:rsidRPr="009E5B39">
        <w:rPr>
          <w:rFonts w:asciiTheme="majorHAnsi" w:hAnsiTheme="majorHAnsi" w:cstheme="majorHAnsi"/>
          <w:bCs/>
          <w:sz w:val="24"/>
          <w:szCs w:val="24"/>
          <w:lang w:val="ro-MD"/>
        </w:rPr>
        <w:tab/>
        <w:t xml:space="preserve">Conform prevederilor art.76 alin.(1) din Legea nr.131/2015 și </w:t>
      </w:r>
      <w:r w:rsidRPr="009E5B39">
        <w:rPr>
          <w:rFonts w:asciiTheme="majorHAnsi" w:hAnsiTheme="majorHAnsi" w:cstheme="majorHAnsi"/>
          <w:sz w:val="24"/>
          <w:szCs w:val="24"/>
          <w:lang w:val="ro-MD"/>
        </w:rPr>
        <w:t>pct.5 din Regulamentul achizițiilor publice de valoare mică</w:t>
      </w:r>
      <w:r w:rsidRPr="009E5B39">
        <w:rPr>
          <w:rFonts w:asciiTheme="majorHAnsi" w:hAnsiTheme="majorHAnsi" w:cstheme="majorHAnsi"/>
          <w:sz w:val="24"/>
          <w:szCs w:val="24"/>
          <w:vertAlign w:val="superscript"/>
          <w:lang w:val="ro-MD"/>
        </w:rPr>
        <w:footnoteReference w:id="104"/>
      </w:r>
      <w:r w:rsidRPr="009E5B39">
        <w:rPr>
          <w:rFonts w:asciiTheme="majorHAnsi" w:hAnsiTheme="majorHAnsi" w:cstheme="majorHAnsi"/>
          <w:sz w:val="24"/>
          <w:szCs w:val="24"/>
          <w:lang w:val="ro-MD"/>
        </w:rPr>
        <w:t>, autoritatea contractantă nu are dreptul să divizeze achiziția prin încheierea de contracte de achiziții publice separate, în scopul aplicării unei alte proceduri de achiziție publică decât procedura care ar fi fost utilizată în conformitate cu legea în cazul în care achiziția nu ar fi fost divizată. Astfel, în perioada auditată</w:t>
      </w:r>
      <w:r w:rsidR="002347F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DGLCA a efectuat un șir de achiziții de mărfuri și servicii</w:t>
      </w:r>
      <w:r w:rsidR="002347F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încheind mai multe contracte în valoare de 13</w:t>
      </w:r>
      <w:r w:rsidR="00D87E2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9</w:t>
      </w:r>
      <w:r w:rsidR="00D87E23" w:rsidRPr="009E5B39">
        <w:rPr>
          <w:rFonts w:asciiTheme="majorHAnsi" w:hAnsiTheme="majorHAnsi" w:cstheme="majorHAnsi"/>
          <w:sz w:val="24"/>
          <w:szCs w:val="24"/>
          <w:lang w:val="ro-MD"/>
        </w:rPr>
        <w:t>5</w:t>
      </w:r>
      <w:r w:rsidRPr="009E5B39">
        <w:rPr>
          <w:rFonts w:asciiTheme="majorHAnsi" w:hAnsiTheme="majorHAnsi" w:cstheme="majorHAnsi"/>
          <w:sz w:val="24"/>
          <w:szCs w:val="24"/>
          <w:lang w:val="ro-MD"/>
        </w:rPr>
        <w:t xml:space="preserve"> mi</w:t>
      </w:r>
      <w:r w:rsidR="00D87E23" w:rsidRPr="009E5B39">
        <w:rPr>
          <w:rFonts w:asciiTheme="majorHAnsi" w:hAnsiTheme="majorHAnsi" w:cstheme="majorHAnsi"/>
          <w:sz w:val="24"/>
          <w:szCs w:val="24"/>
          <w:lang w:val="ro-MD"/>
        </w:rPr>
        <w:t>l</w:t>
      </w:r>
      <w:r w:rsidR="002347F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Situații similare au fost stabilite și la Preturile de sector, c</w:t>
      </w:r>
      <w:r w:rsidR="002347F0" w:rsidRPr="009E5B39">
        <w:rPr>
          <w:rFonts w:asciiTheme="majorHAnsi" w:hAnsiTheme="majorHAnsi" w:cstheme="majorHAnsi"/>
          <w:sz w:val="24"/>
          <w:szCs w:val="24"/>
          <w:lang w:val="ro-MD"/>
        </w:rPr>
        <w:t>ar</w:t>
      </w:r>
      <w:r w:rsidRPr="009E5B39">
        <w:rPr>
          <w:rFonts w:asciiTheme="majorHAnsi" w:hAnsiTheme="majorHAnsi" w:cstheme="majorHAnsi"/>
          <w:sz w:val="24"/>
          <w:szCs w:val="24"/>
          <w:lang w:val="ro-MD"/>
        </w:rPr>
        <w:t>e au admis divizarea achizițiilor în valoare de 9</w:t>
      </w:r>
      <w:r w:rsidR="00D87E2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6</w:t>
      </w:r>
      <w:r w:rsidR="00D87E23" w:rsidRPr="009E5B39">
        <w:rPr>
          <w:rFonts w:asciiTheme="majorHAnsi" w:hAnsiTheme="majorHAnsi" w:cstheme="majorHAnsi"/>
          <w:sz w:val="24"/>
          <w:szCs w:val="24"/>
          <w:lang w:val="ro-MD"/>
        </w:rPr>
        <w:t>6</w:t>
      </w:r>
      <w:r w:rsidRPr="009E5B39">
        <w:rPr>
          <w:rFonts w:asciiTheme="majorHAnsi" w:hAnsiTheme="majorHAnsi" w:cstheme="majorHAnsi"/>
          <w:sz w:val="24"/>
          <w:szCs w:val="24"/>
          <w:lang w:val="ro-MD"/>
        </w:rPr>
        <w:t xml:space="preserve"> mi</w:t>
      </w:r>
      <w:r w:rsidR="00D87E23" w:rsidRPr="009E5B39">
        <w:rPr>
          <w:rFonts w:asciiTheme="majorHAnsi" w:hAnsiTheme="majorHAnsi" w:cstheme="majorHAnsi"/>
          <w:sz w:val="24"/>
          <w:szCs w:val="24"/>
          <w:lang w:val="ro-MD"/>
        </w:rPr>
        <w:t>l</w:t>
      </w:r>
      <w:r w:rsidR="002347F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(Pretura sect. Centru – 3</w:t>
      </w:r>
      <w:r w:rsidR="00D87E2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1</w:t>
      </w:r>
      <w:r w:rsidR="00D87E23" w:rsidRPr="009E5B39">
        <w:rPr>
          <w:rFonts w:asciiTheme="majorHAnsi" w:hAnsiTheme="majorHAnsi" w:cstheme="majorHAnsi"/>
          <w:sz w:val="24"/>
          <w:szCs w:val="24"/>
          <w:lang w:val="ro-MD"/>
        </w:rPr>
        <w:t>7</w:t>
      </w:r>
      <w:r w:rsidRPr="009E5B39">
        <w:rPr>
          <w:rFonts w:asciiTheme="majorHAnsi" w:hAnsiTheme="majorHAnsi" w:cstheme="majorHAnsi"/>
          <w:sz w:val="24"/>
          <w:szCs w:val="24"/>
          <w:lang w:val="ro-MD"/>
        </w:rPr>
        <w:t xml:space="preserve"> mi</w:t>
      </w:r>
      <w:r w:rsidR="00D87E23" w:rsidRPr="009E5B39">
        <w:rPr>
          <w:rFonts w:asciiTheme="majorHAnsi" w:hAnsiTheme="majorHAnsi" w:cstheme="majorHAnsi"/>
          <w:sz w:val="24"/>
          <w:szCs w:val="24"/>
          <w:lang w:val="ro-MD"/>
        </w:rPr>
        <w:t>l</w:t>
      </w:r>
      <w:r w:rsidR="002347F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Pretura sect. Ciocana – 3</w:t>
      </w:r>
      <w:r w:rsidR="00D87E2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4</w:t>
      </w:r>
      <w:r w:rsidR="00D87E23" w:rsidRPr="009E5B39">
        <w:rPr>
          <w:rFonts w:asciiTheme="majorHAnsi" w:hAnsiTheme="majorHAnsi" w:cstheme="majorHAnsi"/>
          <w:sz w:val="24"/>
          <w:szCs w:val="24"/>
          <w:lang w:val="ro-MD"/>
        </w:rPr>
        <w:t>5</w:t>
      </w:r>
      <w:r w:rsidRPr="009E5B39">
        <w:rPr>
          <w:rFonts w:asciiTheme="majorHAnsi" w:hAnsiTheme="majorHAnsi" w:cstheme="majorHAnsi"/>
          <w:sz w:val="24"/>
          <w:szCs w:val="24"/>
          <w:lang w:val="ro-MD"/>
        </w:rPr>
        <w:t xml:space="preserve"> mi</w:t>
      </w:r>
      <w:r w:rsidR="00D87E23" w:rsidRPr="009E5B39">
        <w:rPr>
          <w:rFonts w:asciiTheme="majorHAnsi" w:hAnsiTheme="majorHAnsi" w:cstheme="majorHAnsi"/>
          <w:sz w:val="24"/>
          <w:szCs w:val="24"/>
          <w:lang w:val="ro-MD"/>
        </w:rPr>
        <w:t>l</w:t>
      </w:r>
      <w:r w:rsidR="002347F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Pretura sect. Botanica – 1</w:t>
      </w:r>
      <w:r w:rsidR="00D87E2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48 mi</w:t>
      </w:r>
      <w:r w:rsidR="00D87E23" w:rsidRPr="009E5B39">
        <w:rPr>
          <w:rFonts w:asciiTheme="majorHAnsi" w:hAnsiTheme="majorHAnsi" w:cstheme="majorHAnsi"/>
          <w:sz w:val="24"/>
          <w:szCs w:val="24"/>
          <w:lang w:val="ro-MD"/>
        </w:rPr>
        <w:t>l</w:t>
      </w:r>
      <w:r w:rsidR="002347F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r w:rsidR="002347F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și Pretura sect. Buiucani – 1</w:t>
      </w:r>
      <w:r w:rsidR="00D87E2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5</w:t>
      </w:r>
      <w:r w:rsidR="00D87E23" w:rsidRPr="009E5B39">
        <w:rPr>
          <w:rFonts w:asciiTheme="majorHAnsi" w:hAnsiTheme="majorHAnsi" w:cstheme="majorHAnsi"/>
          <w:sz w:val="24"/>
          <w:szCs w:val="24"/>
          <w:lang w:val="ro-MD"/>
        </w:rPr>
        <w:t>6</w:t>
      </w:r>
      <w:r w:rsidRPr="009E5B39">
        <w:rPr>
          <w:rFonts w:asciiTheme="majorHAnsi" w:hAnsiTheme="majorHAnsi" w:cstheme="majorHAnsi"/>
          <w:sz w:val="24"/>
          <w:szCs w:val="24"/>
          <w:lang w:val="ro-MD"/>
        </w:rPr>
        <w:t xml:space="preserve"> mi</w:t>
      </w:r>
      <w:r w:rsidR="00D87E23" w:rsidRPr="009E5B39">
        <w:rPr>
          <w:rFonts w:asciiTheme="majorHAnsi" w:hAnsiTheme="majorHAnsi" w:cstheme="majorHAnsi"/>
          <w:sz w:val="24"/>
          <w:szCs w:val="24"/>
          <w:lang w:val="ro-MD"/>
        </w:rPr>
        <w:t>l</w:t>
      </w:r>
      <w:r w:rsidR="002347F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p>
    <w:p w14:paraId="1B541810" w14:textId="77777777" w:rsidR="00D76083" w:rsidRPr="009E5B39" w:rsidRDefault="00A54E6A">
      <w:pPr>
        <w:spacing w:after="0" w:line="276" w:lineRule="auto"/>
        <w:jc w:val="both"/>
        <w:rPr>
          <w:rFonts w:asciiTheme="majorHAnsi" w:hAnsiTheme="majorHAnsi"/>
          <w:sz w:val="24"/>
          <w:szCs w:val="24"/>
          <w:lang w:val="ro-MD"/>
        </w:rPr>
      </w:pPr>
      <w:r w:rsidRPr="009E5B39">
        <w:rPr>
          <w:rFonts w:asciiTheme="majorHAnsi" w:hAnsiTheme="majorHAnsi" w:cstheme="majorHAnsi"/>
          <w:b/>
          <w:i/>
          <w:sz w:val="24"/>
          <w:szCs w:val="24"/>
          <w:lang w:val="ro-MD"/>
        </w:rPr>
        <w:t xml:space="preserve">4.2.15. </w:t>
      </w:r>
      <w:r w:rsidR="00D76083" w:rsidRPr="009E5B39">
        <w:rPr>
          <w:rFonts w:asciiTheme="majorHAnsi" w:hAnsiTheme="majorHAnsi"/>
          <w:b/>
          <w:i/>
          <w:sz w:val="24"/>
          <w:szCs w:val="24"/>
          <w:lang w:val="ro-MD"/>
        </w:rPr>
        <w:t>Primăria mun. Chișinău și entitățile din subordine nu au respectat normele legale</w:t>
      </w:r>
      <w:r w:rsidR="00D76083" w:rsidRPr="009E5B39">
        <w:rPr>
          <w:b/>
          <w:i/>
          <w:vertAlign w:val="superscript"/>
          <w:lang w:val="ro-MD"/>
        </w:rPr>
        <w:footnoteReference w:id="105"/>
      </w:r>
      <w:r w:rsidR="00D76083" w:rsidRPr="009E5B39">
        <w:rPr>
          <w:rFonts w:asciiTheme="majorHAnsi" w:hAnsiTheme="majorHAnsi"/>
          <w:b/>
          <w:i/>
          <w:sz w:val="24"/>
          <w:szCs w:val="24"/>
          <w:lang w:val="ro-MD"/>
        </w:rPr>
        <w:t xml:space="preserve"> de monitorizare și de asigurare a executării contractelor de achiziții publice în termenele și condițiile prevăzute de acestea</w:t>
      </w:r>
      <w:r w:rsidR="00D76083" w:rsidRPr="009E5B39">
        <w:rPr>
          <w:rFonts w:asciiTheme="majorHAnsi" w:hAnsiTheme="majorHAnsi"/>
          <w:sz w:val="24"/>
          <w:szCs w:val="24"/>
          <w:lang w:val="ro-MD"/>
        </w:rPr>
        <w:t>.</w:t>
      </w:r>
    </w:p>
    <w:p w14:paraId="4E983C1D" w14:textId="7FB02A96" w:rsidR="00E35985" w:rsidRPr="009E5B39" w:rsidRDefault="00E35985" w:rsidP="003C5073">
      <w:pPr>
        <w:pStyle w:val="ListParagraph"/>
        <w:spacing w:after="0" w:line="276" w:lineRule="auto"/>
        <w:ind w:left="0" w:firstLine="720"/>
        <w:jc w:val="both"/>
        <w:rPr>
          <w:rFonts w:asciiTheme="majorHAnsi" w:eastAsia="Calibri" w:hAnsiTheme="majorHAnsi" w:cstheme="majorHAnsi"/>
          <w:sz w:val="24"/>
          <w:szCs w:val="24"/>
          <w:u w:val="single"/>
          <w:lang w:val="ro-MD"/>
        </w:rPr>
      </w:pPr>
      <w:r w:rsidRPr="009E5B39">
        <w:rPr>
          <w:rFonts w:asciiTheme="majorHAnsi" w:hAnsiTheme="majorHAnsi" w:cstheme="majorHAnsi"/>
          <w:b/>
          <w:i/>
          <w:sz w:val="24"/>
          <w:szCs w:val="24"/>
          <w:lang w:val="ro-MD"/>
        </w:rPr>
        <w:t xml:space="preserve">Achiziția lucrărilor de amenajare și modernizare a aleii </w:t>
      </w:r>
      <w:r w:rsidR="002347F0" w:rsidRPr="009E5B39">
        <w:rPr>
          <w:rFonts w:asciiTheme="majorHAnsi" w:hAnsiTheme="majorHAnsi" w:cstheme="majorHAnsi"/>
          <w:b/>
          <w:i/>
          <w:sz w:val="24"/>
          <w:szCs w:val="24"/>
          <w:lang w:val="ro-MD"/>
        </w:rPr>
        <w:t xml:space="preserve">din </w:t>
      </w:r>
      <w:r w:rsidRPr="009E5B39">
        <w:rPr>
          <w:rFonts w:asciiTheme="majorHAnsi" w:hAnsiTheme="majorHAnsi" w:cstheme="majorHAnsi"/>
          <w:b/>
          <w:i/>
          <w:sz w:val="24"/>
          <w:szCs w:val="24"/>
          <w:lang w:val="ro-MD"/>
        </w:rPr>
        <w:t>bd. Mircea cel Bătr</w:t>
      </w:r>
      <w:r w:rsidR="002347F0" w:rsidRPr="009E5B39">
        <w:rPr>
          <w:rFonts w:asciiTheme="majorHAnsi" w:hAnsiTheme="majorHAnsi" w:cstheme="majorHAnsi"/>
          <w:b/>
          <w:i/>
          <w:sz w:val="24"/>
          <w:szCs w:val="24"/>
          <w:lang w:val="ro-MD"/>
        </w:rPr>
        <w:t>â</w:t>
      </w:r>
      <w:r w:rsidRPr="009E5B39">
        <w:rPr>
          <w:rFonts w:asciiTheme="majorHAnsi" w:hAnsiTheme="majorHAnsi" w:cstheme="majorHAnsi"/>
          <w:b/>
          <w:i/>
          <w:sz w:val="24"/>
          <w:szCs w:val="24"/>
          <w:lang w:val="ro-MD"/>
        </w:rPr>
        <w:t xml:space="preserve">n </w:t>
      </w:r>
      <w:r w:rsidRPr="009E5B39">
        <w:rPr>
          <w:rFonts w:asciiTheme="majorHAnsi" w:eastAsia="Times New Roman" w:hAnsiTheme="majorHAnsi" w:cstheme="majorHAnsi"/>
          <w:b/>
          <w:i/>
          <w:sz w:val="24"/>
          <w:szCs w:val="24"/>
          <w:lang w:val="ro-MD" w:eastAsia="ru-RU"/>
        </w:rPr>
        <w:t xml:space="preserve">(tronsonul str. Alecu Russo - str.Profesor Ion Dumeniuc) s-a efectuat </w:t>
      </w:r>
      <w:r w:rsidR="00FA0037" w:rsidRPr="009E5B39">
        <w:rPr>
          <w:rFonts w:asciiTheme="majorHAnsi" w:eastAsia="Times New Roman" w:hAnsiTheme="majorHAnsi" w:cstheme="majorHAnsi"/>
          <w:b/>
          <w:i/>
          <w:sz w:val="24"/>
          <w:szCs w:val="24"/>
          <w:lang w:val="ro-MD" w:eastAsia="ru-RU"/>
        </w:rPr>
        <w:t>în baza unor proiecte segmentate și necalitative de către mai multe entități responsabile</w:t>
      </w:r>
      <w:r w:rsidR="00CA79A3" w:rsidRPr="009E5B39">
        <w:rPr>
          <w:rFonts w:asciiTheme="majorHAnsi" w:eastAsia="Times New Roman" w:hAnsiTheme="majorHAnsi" w:cstheme="majorHAnsi"/>
          <w:b/>
          <w:i/>
          <w:sz w:val="24"/>
          <w:szCs w:val="24"/>
          <w:lang w:val="ro-MD" w:eastAsia="ru-RU"/>
        </w:rPr>
        <w:t>,</w:t>
      </w:r>
      <w:r w:rsidR="00CA79A3" w:rsidRPr="009E5B39">
        <w:rPr>
          <w:rFonts w:asciiTheme="majorHAnsi" w:eastAsia="Calibri" w:hAnsiTheme="majorHAnsi" w:cstheme="majorHAnsi"/>
          <w:b/>
          <w:i/>
          <w:sz w:val="24"/>
          <w:szCs w:val="24"/>
          <w:lang w:val="ro-MD"/>
        </w:rPr>
        <w:t xml:space="preserve"> fără a </w:t>
      </w:r>
      <w:r w:rsidR="002347F0" w:rsidRPr="009E5B39">
        <w:rPr>
          <w:rFonts w:asciiTheme="majorHAnsi" w:eastAsia="Calibri" w:hAnsiTheme="majorHAnsi" w:cstheme="majorHAnsi"/>
          <w:b/>
          <w:i/>
          <w:sz w:val="24"/>
          <w:szCs w:val="24"/>
          <w:lang w:val="ro-MD"/>
        </w:rPr>
        <w:t xml:space="preserve">se </w:t>
      </w:r>
      <w:r w:rsidR="00CA79A3" w:rsidRPr="009E5B39">
        <w:rPr>
          <w:rFonts w:asciiTheme="majorHAnsi" w:eastAsia="Calibri" w:hAnsiTheme="majorHAnsi" w:cstheme="majorHAnsi"/>
          <w:b/>
          <w:i/>
          <w:sz w:val="24"/>
          <w:szCs w:val="24"/>
          <w:lang w:val="ro-MD"/>
        </w:rPr>
        <w:t>ține cont de consecutivitatea normală a lucrărilor c</w:t>
      </w:r>
      <w:r w:rsidR="002347F0" w:rsidRPr="009E5B39">
        <w:rPr>
          <w:rFonts w:asciiTheme="majorHAnsi" w:eastAsia="Calibri" w:hAnsiTheme="majorHAnsi" w:cstheme="majorHAnsi"/>
          <w:b/>
          <w:i/>
          <w:sz w:val="24"/>
          <w:szCs w:val="24"/>
          <w:lang w:val="ro-MD"/>
        </w:rPr>
        <w:t>ar</w:t>
      </w:r>
      <w:r w:rsidR="00CA79A3" w:rsidRPr="009E5B39">
        <w:rPr>
          <w:rFonts w:asciiTheme="majorHAnsi" w:eastAsia="Calibri" w:hAnsiTheme="majorHAnsi" w:cstheme="majorHAnsi"/>
          <w:b/>
          <w:i/>
          <w:sz w:val="24"/>
          <w:szCs w:val="24"/>
          <w:lang w:val="ro-MD"/>
        </w:rPr>
        <w:t>e trebuiau executate</w:t>
      </w:r>
      <w:r w:rsidRPr="009E5B39">
        <w:rPr>
          <w:rFonts w:asciiTheme="majorHAnsi" w:eastAsia="Times New Roman" w:hAnsiTheme="majorHAnsi" w:cstheme="majorHAnsi"/>
          <w:i/>
          <w:sz w:val="24"/>
          <w:szCs w:val="24"/>
          <w:lang w:val="ro-MD" w:eastAsia="ru-RU"/>
        </w:rPr>
        <w:t xml:space="preserve">. </w:t>
      </w:r>
      <w:r w:rsidR="00FA0037" w:rsidRPr="009E5B39">
        <w:rPr>
          <w:rFonts w:asciiTheme="majorHAnsi" w:eastAsia="Times New Roman" w:hAnsiTheme="majorHAnsi" w:cstheme="majorHAnsi"/>
          <w:b/>
          <w:i/>
          <w:sz w:val="24"/>
          <w:szCs w:val="24"/>
          <w:lang w:val="ro-MD" w:eastAsia="ru-RU"/>
        </w:rPr>
        <w:t>De asemenea</w:t>
      </w:r>
      <w:r w:rsidRPr="009E5B39">
        <w:rPr>
          <w:rFonts w:asciiTheme="majorHAnsi" w:eastAsia="Times New Roman" w:hAnsiTheme="majorHAnsi" w:cstheme="majorHAnsi"/>
          <w:b/>
          <w:i/>
          <w:sz w:val="24"/>
          <w:szCs w:val="24"/>
          <w:lang w:val="ro-MD" w:eastAsia="ru-RU"/>
        </w:rPr>
        <w:t xml:space="preserve">, proiectul nu prevede construcția trotuarelor cu înclinație pentru scurgerea apei, </w:t>
      </w:r>
      <w:r w:rsidR="002347F0" w:rsidRPr="009E5B39">
        <w:rPr>
          <w:rFonts w:asciiTheme="majorHAnsi" w:eastAsia="Times New Roman" w:hAnsiTheme="majorHAnsi" w:cstheme="majorHAnsi"/>
          <w:b/>
          <w:i/>
          <w:sz w:val="24"/>
          <w:szCs w:val="24"/>
          <w:lang w:val="ro-MD" w:eastAsia="ru-RU"/>
        </w:rPr>
        <w:t>urmare cărui fapt,</w:t>
      </w:r>
      <w:r w:rsidRPr="009E5B39">
        <w:rPr>
          <w:rFonts w:asciiTheme="majorHAnsi" w:eastAsia="Times New Roman" w:hAnsiTheme="majorHAnsi" w:cstheme="majorHAnsi"/>
          <w:b/>
          <w:i/>
          <w:sz w:val="24"/>
          <w:szCs w:val="24"/>
          <w:lang w:val="ro-MD" w:eastAsia="ru-RU"/>
        </w:rPr>
        <w:t xml:space="preserve"> în timp, de la ciclurile de îngheț/dezgheț</w:t>
      </w:r>
      <w:r w:rsidR="002347F0" w:rsidRPr="009E5B39">
        <w:rPr>
          <w:rFonts w:asciiTheme="majorHAnsi" w:eastAsia="Times New Roman" w:hAnsiTheme="majorHAnsi" w:cstheme="majorHAnsi"/>
          <w:b/>
          <w:i/>
          <w:sz w:val="24"/>
          <w:szCs w:val="24"/>
          <w:lang w:val="ro-MD" w:eastAsia="ru-RU"/>
        </w:rPr>
        <w:t>,</w:t>
      </w:r>
      <w:r w:rsidRPr="009E5B39">
        <w:rPr>
          <w:rFonts w:asciiTheme="majorHAnsi" w:eastAsia="Times New Roman" w:hAnsiTheme="majorHAnsi" w:cstheme="majorHAnsi"/>
          <w:b/>
          <w:i/>
          <w:sz w:val="24"/>
          <w:szCs w:val="24"/>
          <w:lang w:val="ro-MD" w:eastAsia="ru-RU"/>
        </w:rPr>
        <w:t xml:space="preserve"> acestea se vor dete</w:t>
      </w:r>
      <w:r w:rsidR="002347F0" w:rsidRPr="009E5B39">
        <w:rPr>
          <w:rFonts w:asciiTheme="majorHAnsi" w:eastAsia="Times New Roman" w:hAnsiTheme="majorHAnsi" w:cstheme="majorHAnsi"/>
          <w:b/>
          <w:i/>
          <w:sz w:val="24"/>
          <w:szCs w:val="24"/>
          <w:lang w:val="ro-MD" w:eastAsia="ru-RU"/>
        </w:rPr>
        <w:t>ri</w:t>
      </w:r>
      <w:r w:rsidRPr="009E5B39">
        <w:rPr>
          <w:rFonts w:asciiTheme="majorHAnsi" w:eastAsia="Times New Roman" w:hAnsiTheme="majorHAnsi" w:cstheme="majorHAnsi"/>
          <w:b/>
          <w:i/>
          <w:sz w:val="24"/>
          <w:szCs w:val="24"/>
          <w:lang w:val="ro-MD" w:eastAsia="ru-RU"/>
        </w:rPr>
        <w:t xml:space="preserve">ora mai rapid. </w:t>
      </w:r>
      <w:r w:rsidR="002347F0" w:rsidRPr="009E5B39">
        <w:rPr>
          <w:rFonts w:asciiTheme="majorHAnsi" w:eastAsia="Times New Roman" w:hAnsiTheme="majorHAnsi" w:cstheme="majorHAnsi"/>
          <w:b/>
          <w:i/>
          <w:sz w:val="24"/>
          <w:szCs w:val="24"/>
          <w:lang w:val="ro-MD" w:eastAsia="ru-RU"/>
        </w:rPr>
        <w:t>Astfel,</w:t>
      </w:r>
      <w:r w:rsidRPr="009E5B39">
        <w:rPr>
          <w:rFonts w:asciiTheme="majorHAnsi" w:eastAsia="Times New Roman" w:hAnsiTheme="majorHAnsi" w:cstheme="majorHAnsi"/>
          <w:b/>
          <w:i/>
          <w:sz w:val="24"/>
          <w:szCs w:val="24"/>
          <w:lang w:val="ro-MD" w:eastAsia="ru-RU"/>
        </w:rPr>
        <w:t xml:space="preserve"> calitatea și durabilitatea lucrărilor executate</w:t>
      </w:r>
      <w:r w:rsidR="00FA0037" w:rsidRPr="009E5B39">
        <w:rPr>
          <w:rFonts w:asciiTheme="majorHAnsi" w:eastAsia="Times New Roman" w:hAnsiTheme="majorHAnsi" w:cstheme="majorHAnsi"/>
          <w:b/>
          <w:i/>
          <w:sz w:val="24"/>
          <w:szCs w:val="24"/>
          <w:lang w:val="ro-MD" w:eastAsia="ru-RU"/>
        </w:rPr>
        <w:t xml:space="preserve"> </w:t>
      </w:r>
      <w:r w:rsidRPr="009E5B39">
        <w:rPr>
          <w:rFonts w:asciiTheme="majorHAnsi" w:eastAsia="Times New Roman" w:hAnsiTheme="majorHAnsi" w:cstheme="majorHAnsi"/>
          <w:b/>
          <w:i/>
          <w:sz w:val="24"/>
          <w:szCs w:val="24"/>
          <w:lang w:val="ro-MD" w:eastAsia="ru-RU"/>
        </w:rPr>
        <w:t>nu a fost asigurată</w:t>
      </w:r>
      <w:r w:rsidR="00D76083" w:rsidRPr="009E5B39">
        <w:rPr>
          <w:rFonts w:asciiTheme="majorHAnsi" w:eastAsia="Times New Roman" w:hAnsiTheme="majorHAnsi" w:cstheme="majorHAnsi"/>
          <w:i/>
          <w:sz w:val="24"/>
          <w:szCs w:val="24"/>
          <w:lang w:val="ro-MD" w:eastAsia="ru-RU"/>
        </w:rPr>
        <w:t xml:space="preserve"> (Vezi pozele din Anexa nr.8 la Raportul de audit)</w:t>
      </w:r>
      <w:r w:rsidRPr="009E5B39">
        <w:rPr>
          <w:rFonts w:asciiTheme="majorHAnsi" w:eastAsia="Times New Roman" w:hAnsiTheme="majorHAnsi" w:cstheme="majorHAnsi"/>
          <w:b/>
          <w:i/>
          <w:sz w:val="24"/>
          <w:szCs w:val="24"/>
          <w:lang w:val="ro-MD" w:eastAsia="ru-RU"/>
        </w:rPr>
        <w:t xml:space="preserve">. </w:t>
      </w:r>
    </w:p>
    <w:p w14:paraId="14F39E9B" w14:textId="18CD19E2" w:rsidR="00CC5DC1" w:rsidRPr="009E5B39" w:rsidRDefault="00A54E6A" w:rsidP="00A54E6A">
      <w:pPr>
        <w:tabs>
          <w:tab w:val="left" w:pos="0"/>
        </w:tabs>
        <w:spacing w:after="0" w:line="276" w:lineRule="auto"/>
        <w:jc w:val="both"/>
        <w:rPr>
          <w:rFonts w:asciiTheme="majorHAnsi" w:eastAsia="Calibri" w:hAnsiTheme="majorHAnsi" w:cstheme="majorHAnsi"/>
          <w:sz w:val="24"/>
          <w:szCs w:val="24"/>
          <w:lang w:val="ro-MD"/>
        </w:rPr>
      </w:pPr>
      <w:r w:rsidRPr="009E5B39">
        <w:rPr>
          <w:rFonts w:asciiTheme="majorHAnsi" w:eastAsia="Calibri" w:hAnsiTheme="majorHAnsi" w:cstheme="majorHAnsi"/>
          <w:spacing w:val="-6"/>
          <w:sz w:val="24"/>
          <w:szCs w:val="24"/>
          <w:shd w:val="clear" w:color="auto" w:fill="FFFFFF"/>
          <w:lang w:val="ro-MD"/>
        </w:rPr>
        <w:tab/>
      </w:r>
      <w:r w:rsidR="00CC5DC1" w:rsidRPr="009E5B39">
        <w:rPr>
          <w:rFonts w:asciiTheme="majorHAnsi" w:eastAsia="Calibri" w:hAnsiTheme="majorHAnsi" w:cstheme="majorHAnsi"/>
          <w:spacing w:val="-6"/>
          <w:sz w:val="24"/>
          <w:szCs w:val="24"/>
          <w:shd w:val="clear" w:color="auto" w:fill="FFFFFF"/>
          <w:lang w:val="ro-MD"/>
        </w:rPr>
        <w:t>Lucrările de amenajare și modernizare a aleii din bulevardul Mircea cel Bătrân (pista pentru bicicliști, reparația gardului existent și executarea marcajului rutier</w:t>
      </w:r>
      <w:r w:rsidR="002347F0" w:rsidRPr="009E5B39">
        <w:rPr>
          <w:rFonts w:asciiTheme="majorHAnsi" w:eastAsia="Calibri" w:hAnsiTheme="majorHAnsi" w:cstheme="majorHAnsi"/>
          <w:spacing w:val="-6"/>
          <w:sz w:val="24"/>
          <w:szCs w:val="24"/>
          <w:shd w:val="clear" w:color="auto" w:fill="FFFFFF"/>
          <w:lang w:val="ro-MD"/>
        </w:rPr>
        <w:t>)</w:t>
      </w:r>
      <w:r w:rsidR="00CC5DC1" w:rsidRPr="009E5B39">
        <w:rPr>
          <w:rFonts w:asciiTheme="majorHAnsi" w:eastAsia="Calibri" w:hAnsiTheme="majorHAnsi" w:cstheme="majorHAnsi"/>
          <w:spacing w:val="-6"/>
          <w:sz w:val="24"/>
          <w:szCs w:val="24"/>
          <w:shd w:val="clear" w:color="auto" w:fill="FFFFFF"/>
          <w:lang w:val="ro-MD"/>
        </w:rPr>
        <w:t xml:space="preserve">, în valoare totală de </w:t>
      </w:r>
      <w:r w:rsidR="00CC5DC1" w:rsidRPr="009E5B39">
        <w:rPr>
          <w:rFonts w:asciiTheme="majorHAnsi" w:eastAsia="Calibri" w:hAnsiTheme="majorHAnsi" w:cstheme="majorHAnsi"/>
          <w:bCs/>
          <w:spacing w:val="-6"/>
          <w:sz w:val="24"/>
          <w:szCs w:val="24"/>
          <w:shd w:val="clear" w:color="auto" w:fill="FFFFFF"/>
          <w:lang w:val="ro-MD"/>
        </w:rPr>
        <w:t>1</w:t>
      </w:r>
      <w:r w:rsidR="00D87E23" w:rsidRPr="009E5B39">
        <w:rPr>
          <w:rFonts w:asciiTheme="majorHAnsi" w:eastAsia="Calibri" w:hAnsiTheme="majorHAnsi" w:cstheme="majorHAnsi"/>
          <w:bCs/>
          <w:spacing w:val="-6"/>
          <w:sz w:val="24"/>
          <w:szCs w:val="24"/>
          <w:shd w:val="clear" w:color="auto" w:fill="FFFFFF"/>
          <w:lang w:val="ro-MD"/>
        </w:rPr>
        <w:t>,</w:t>
      </w:r>
      <w:r w:rsidR="00CC5DC1" w:rsidRPr="009E5B39">
        <w:rPr>
          <w:rFonts w:asciiTheme="majorHAnsi" w:eastAsia="Calibri" w:hAnsiTheme="majorHAnsi" w:cstheme="majorHAnsi"/>
          <w:bCs/>
          <w:spacing w:val="-6"/>
          <w:sz w:val="24"/>
          <w:szCs w:val="24"/>
          <w:shd w:val="clear" w:color="auto" w:fill="FFFFFF"/>
          <w:lang w:val="ro-MD"/>
        </w:rPr>
        <w:t>78 mi</w:t>
      </w:r>
      <w:r w:rsidR="00D87E23" w:rsidRPr="009E5B39">
        <w:rPr>
          <w:rFonts w:asciiTheme="majorHAnsi" w:eastAsia="Calibri" w:hAnsiTheme="majorHAnsi" w:cstheme="majorHAnsi"/>
          <w:bCs/>
          <w:spacing w:val="-6"/>
          <w:sz w:val="24"/>
          <w:szCs w:val="24"/>
          <w:shd w:val="clear" w:color="auto" w:fill="FFFFFF"/>
          <w:lang w:val="ro-MD"/>
        </w:rPr>
        <w:t>l</w:t>
      </w:r>
      <w:r w:rsidR="002347F0" w:rsidRPr="009E5B39">
        <w:rPr>
          <w:rFonts w:asciiTheme="majorHAnsi" w:eastAsia="Calibri" w:hAnsiTheme="majorHAnsi" w:cstheme="majorHAnsi"/>
          <w:bCs/>
          <w:spacing w:val="-6"/>
          <w:sz w:val="24"/>
          <w:szCs w:val="24"/>
          <w:shd w:val="clear" w:color="auto" w:fill="FFFFFF"/>
          <w:lang w:val="ro-MD"/>
        </w:rPr>
        <w:t>.</w:t>
      </w:r>
      <w:r w:rsidR="00CC5DC1" w:rsidRPr="009E5B39">
        <w:rPr>
          <w:rFonts w:asciiTheme="majorHAnsi" w:eastAsia="Calibri" w:hAnsiTheme="majorHAnsi" w:cstheme="majorHAnsi"/>
          <w:bCs/>
          <w:spacing w:val="-6"/>
          <w:sz w:val="24"/>
          <w:szCs w:val="24"/>
          <w:shd w:val="clear" w:color="auto" w:fill="FFFFFF"/>
          <w:lang w:val="ro-MD"/>
        </w:rPr>
        <w:t xml:space="preserve"> lei (cu TVA), au fost contractate</w:t>
      </w:r>
      <w:r w:rsidR="0018470A" w:rsidRPr="009E5B39">
        <w:rPr>
          <w:rFonts w:asciiTheme="majorHAnsi" w:eastAsia="Calibri" w:hAnsiTheme="majorHAnsi" w:cstheme="majorHAnsi"/>
          <w:bCs/>
          <w:spacing w:val="-6"/>
          <w:sz w:val="24"/>
          <w:szCs w:val="24"/>
          <w:shd w:val="clear" w:color="auto" w:fill="FFFFFF"/>
          <w:lang w:val="ro-MD"/>
        </w:rPr>
        <w:t xml:space="preserve"> de la </w:t>
      </w:r>
      <w:r w:rsidR="0018470A" w:rsidRPr="009E5B39">
        <w:rPr>
          <w:rFonts w:asciiTheme="majorHAnsi" w:eastAsia="Calibri" w:hAnsiTheme="majorHAnsi" w:cstheme="majorHAnsi"/>
          <w:bCs/>
          <w:sz w:val="24"/>
          <w:szCs w:val="24"/>
          <w:lang w:val="ro-MD"/>
        </w:rPr>
        <w:t>SRL CIFFI-ML</w:t>
      </w:r>
      <w:r w:rsidR="002347F0"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pacing w:val="-6"/>
          <w:sz w:val="24"/>
          <w:szCs w:val="24"/>
          <w:shd w:val="clear" w:color="auto" w:fill="FFFFFF"/>
          <w:lang w:val="ro-MD"/>
        </w:rPr>
        <w:t xml:space="preserve"> la 28.09.2020, </w:t>
      </w:r>
      <w:r w:rsidR="0013757D" w:rsidRPr="009E5B39">
        <w:rPr>
          <w:rFonts w:asciiTheme="majorHAnsi" w:eastAsia="Calibri" w:hAnsiTheme="majorHAnsi" w:cstheme="majorHAnsi"/>
          <w:bCs/>
          <w:spacing w:val="-6"/>
          <w:sz w:val="24"/>
          <w:szCs w:val="24"/>
          <w:shd w:val="clear" w:color="auto" w:fill="FFFFFF"/>
          <w:lang w:val="ro-MD"/>
        </w:rPr>
        <w:t xml:space="preserve">și urmau a fi finalizate </w:t>
      </w:r>
      <w:r w:rsidR="00CC5DC1" w:rsidRPr="009E5B39">
        <w:rPr>
          <w:rFonts w:asciiTheme="majorHAnsi" w:eastAsia="Calibri" w:hAnsiTheme="majorHAnsi" w:cstheme="majorHAnsi"/>
          <w:bCs/>
          <w:sz w:val="24"/>
          <w:szCs w:val="24"/>
          <w:lang w:val="ro-MD"/>
        </w:rPr>
        <w:t xml:space="preserve">în termen de 2 luni </w:t>
      </w:r>
      <w:r w:rsidR="0013757D"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28.11.2020</w:t>
      </w:r>
      <w:r w:rsidR="0013757D"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 xml:space="preserve">. Însă </w:t>
      </w:r>
      <w:r w:rsidR="001D6103" w:rsidRPr="009E5B39">
        <w:rPr>
          <w:rFonts w:asciiTheme="majorHAnsi" w:eastAsia="Calibri" w:hAnsiTheme="majorHAnsi" w:cstheme="majorHAnsi"/>
          <w:bCs/>
          <w:sz w:val="24"/>
          <w:szCs w:val="24"/>
          <w:lang w:val="ro-MD"/>
        </w:rPr>
        <w:t>p</w:t>
      </w:r>
      <w:r w:rsidR="002347F0" w:rsidRPr="009E5B39">
        <w:rPr>
          <w:rFonts w:asciiTheme="majorHAnsi" w:eastAsia="Calibri" w:hAnsiTheme="majorHAnsi" w:cstheme="majorHAnsi"/>
          <w:bCs/>
          <w:sz w:val="24"/>
          <w:szCs w:val="24"/>
          <w:lang w:val="ro-MD"/>
        </w:rPr>
        <w:t>â</w:t>
      </w:r>
      <w:r w:rsidR="001D6103" w:rsidRPr="009E5B39">
        <w:rPr>
          <w:rFonts w:asciiTheme="majorHAnsi" w:eastAsia="Calibri" w:hAnsiTheme="majorHAnsi" w:cstheme="majorHAnsi"/>
          <w:bCs/>
          <w:sz w:val="24"/>
          <w:szCs w:val="24"/>
          <w:lang w:val="ro-MD"/>
        </w:rPr>
        <w:t xml:space="preserve">nă </w:t>
      </w:r>
      <w:r w:rsidR="00CC5DC1" w:rsidRPr="009E5B39">
        <w:rPr>
          <w:rFonts w:asciiTheme="majorHAnsi" w:eastAsia="Calibri" w:hAnsiTheme="majorHAnsi" w:cstheme="majorHAnsi"/>
          <w:bCs/>
          <w:sz w:val="24"/>
          <w:szCs w:val="24"/>
          <w:lang w:val="ro-MD"/>
        </w:rPr>
        <w:t>la 31.12.2020 antreprenorul a executat lucrări în valoare de 1</w:t>
      </w:r>
      <w:r w:rsidR="00D87E23"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46 mi</w:t>
      </w:r>
      <w:r w:rsidR="00D87E23" w:rsidRPr="009E5B39">
        <w:rPr>
          <w:rFonts w:asciiTheme="majorHAnsi" w:eastAsia="Calibri" w:hAnsiTheme="majorHAnsi" w:cstheme="majorHAnsi"/>
          <w:bCs/>
          <w:sz w:val="24"/>
          <w:szCs w:val="24"/>
          <w:lang w:val="ro-MD"/>
        </w:rPr>
        <w:t>l</w:t>
      </w:r>
      <w:r w:rsidR="002347F0"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 xml:space="preserve"> lei</w:t>
      </w:r>
      <w:r w:rsidR="002347F0"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 xml:space="preserve"> sau 82,28%. GL a decis prelungirea termenului contractului, din cauza </w:t>
      </w:r>
      <w:r w:rsidR="00C637C0"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condițiilor meteorologice instabile</w:t>
      </w:r>
      <w:r w:rsidR="00C637C0"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 până la 30.04.2021</w:t>
      </w:r>
      <w:r w:rsidR="00CC5DC1" w:rsidRPr="009E5B39">
        <w:rPr>
          <w:rFonts w:asciiTheme="majorHAnsi" w:eastAsia="Times New Roman" w:hAnsiTheme="majorHAnsi" w:cstheme="majorHAnsi"/>
          <w:sz w:val="24"/>
          <w:szCs w:val="24"/>
          <w:lang w:val="ro-MD"/>
        </w:rPr>
        <w:t xml:space="preserve"> și ulterior p</w:t>
      </w:r>
      <w:r w:rsidR="00930538" w:rsidRPr="009E5B39">
        <w:rPr>
          <w:rFonts w:asciiTheme="majorHAnsi" w:eastAsia="Times New Roman" w:hAnsiTheme="majorHAnsi" w:cstheme="majorHAnsi"/>
          <w:sz w:val="24"/>
          <w:szCs w:val="24"/>
          <w:lang w:val="ro-MD"/>
        </w:rPr>
        <w:t>â</w:t>
      </w:r>
      <w:r w:rsidR="00CC5DC1" w:rsidRPr="009E5B39">
        <w:rPr>
          <w:rFonts w:asciiTheme="majorHAnsi" w:eastAsia="Times New Roman" w:hAnsiTheme="majorHAnsi" w:cstheme="majorHAnsi"/>
          <w:sz w:val="24"/>
          <w:szCs w:val="24"/>
          <w:lang w:val="ro-MD"/>
        </w:rPr>
        <w:t>nă la 24.09.2021, din cauz</w:t>
      </w:r>
      <w:r w:rsidR="00930538" w:rsidRPr="009E5B39">
        <w:rPr>
          <w:rFonts w:asciiTheme="majorHAnsi" w:eastAsia="Times New Roman" w:hAnsiTheme="majorHAnsi" w:cstheme="majorHAnsi"/>
          <w:sz w:val="24"/>
          <w:szCs w:val="24"/>
          <w:lang w:val="ro-MD"/>
        </w:rPr>
        <w:t>a</w:t>
      </w:r>
      <w:r w:rsidR="00CC5DC1" w:rsidRPr="009E5B39">
        <w:rPr>
          <w:rFonts w:asciiTheme="majorHAnsi" w:eastAsia="Times New Roman" w:hAnsiTheme="majorHAnsi" w:cstheme="majorHAnsi"/>
          <w:sz w:val="24"/>
          <w:szCs w:val="24"/>
          <w:lang w:val="ro-MD"/>
        </w:rPr>
        <w:t xml:space="preserve"> </w:t>
      </w:r>
      <w:r w:rsidR="00930538" w:rsidRPr="009E5B39">
        <w:rPr>
          <w:rFonts w:asciiTheme="majorHAnsi" w:eastAsia="Times New Roman" w:hAnsiTheme="majorHAnsi" w:cstheme="majorHAnsi"/>
          <w:sz w:val="24"/>
          <w:szCs w:val="24"/>
          <w:lang w:val="ro-MD"/>
        </w:rPr>
        <w:t>lucrărilor de instalare a pilonilor</w:t>
      </w:r>
      <w:r w:rsidR="00930538" w:rsidRPr="009E5B39">
        <w:rPr>
          <w:rFonts w:asciiTheme="majorHAnsi" w:eastAsia="Calibri" w:hAnsiTheme="majorHAnsi" w:cstheme="majorHAnsi"/>
          <w:bCs/>
          <w:sz w:val="24"/>
          <w:szCs w:val="24"/>
          <w:lang w:val="ro-MD"/>
        </w:rPr>
        <w:t xml:space="preserve">, </w:t>
      </w:r>
      <w:r w:rsidR="00CC5DC1" w:rsidRPr="009E5B39">
        <w:rPr>
          <w:rFonts w:asciiTheme="majorHAnsi" w:eastAsia="Times New Roman" w:hAnsiTheme="majorHAnsi" w:cstheme="majorHAnsi"/>
          <w:sz w:val="24"/>
          <w:szCs w:val="24"/>
          <w:lang w:val="ro-MD"/>
        </w:rPr>
        <w:t xml:space="preserve">demarate </w:t>
      </w:r>
      <w:r w:rsidR="00C637C0" w:rsidRPr="009E5B39">
        <w:rPr>
          <w:rFonts w:asciiTheme="majorHAnsi" w:eastAsia="Calibri" w:hAnsiTheme="majorHAnsi" w:cstheme="majorHAnsi"/>
          <w:bCs/>
          <w:sz w:val="24"/>
          <w:szCs w:val="24"/>
          <w:lang w:val="ro-MD"/>
        </w:rPr>
        <w:t>pe alee</w:t>
      </w:r>
      <w:r w:rsidR="00930538" w:rsidRPr="009E5B39">
        <w:rPr>
          <w:rFonts w:asciiTheme="majorHAnsi" w:eastAsia="Calibri" w:hAnsiTheme="majorHAnsi" w:cstheme="majorHAnsi"/>
          <w:bCs/>
          <w:sz w:val="24"/>
          <w:szCs w:val="24"/>
          <w:lang w:val="ro-MD"/>
        </w:rPr>
        <w:t>,</w:t>
      </w:r>
      <w:r w:rsidR="00C637C0" w:rsidRPr="009E5B39">
        <w:rPr>
          <w:rFonts w:asciiTheme="majorHAnsi" w:eastAsia="Times New Roman" w:hAnsiTheme="majorHAnsi" w:cstheme="majorHAnsi"/>
          <w:sz w:val="24"/>
          <w:szCs w:val="24"/>
          <w:lang w:val="ro-MD"/>
        </w:rPr>
        <w:t xml:space="preserve"> </w:t>
      </w:r>
      <w:r w:rsidR="00CC5DC1" w:rsidRPr="009E5B39">
        <w:rPr>
          <w:rFonts w:asciiTheme="majorHAnsi" w:eastAsia="Calibri" w:hAnsiTheme="majorHAnsi" w:cstheme="majorHAnsi"/>
          <w:bCs/>
          <w:sz w:val="24"/>
          <w:szCs w:val="24"/>
          <w:lang w:val="ro-MD"/>
        </w:rPr>
        <w:t xml:space="preserve">și a altor lucrări efectuate repetat de alți agenți economici </w:t>
      </w:r>
      <w:r w:rsidR="00C637C0" w:rsidRPr="009E5B39">
        <w:rPr>
          <w:rFonts w:asciiTheme="majorHAnsi" w:eastAsia="Calibri" w:hAnsiTheme="majorHAnsi" w:cstheme="majorHAnsi"/>
          <w:bCs/>
          <w:sz w:val="24"/>
          <w:szCs w:val="24"/>
          <w:lang w:val="ro-MD"/>
        </w:rPr>
        <w:t xml:space="preserve">contractați de </w:t>
      </w:r>
      <w:r w:rsidR="00CC5DC1" w:rsidRPr="009E5B39">
        <w:rPr>
          <w:rFonts w:asciiTheme="majorHAnsi" w:eastAsia="Calibri" w:hAnsiTheme="majorHAnsi" w:cstheme="majorHAnsi"/>
          <w:bCs/>
          <w:sz w:val="24"/>
          <w:szCs w:val="24"/>
          <w:lang w:val="ro-MD"/>
        </w:rPr>
        <w:t>DGLC</w:t>
      </w:r>
      <w:r w:rsidR="00C637C0" w:rsidRPr="009E5B39">
        <w:rPr>
          <w:rFonts w:asciiTheme="majorHAnsi" w:eastAsia="Calibri" w:hAnsiTheme="majorHAnsi" w:cstheme="majorHAnsi"/>
          <w:bCs/>
          <w:sz w:val="24"/>
          <w:szCs w:val="24"/>
          <w:lang w:val="ro-MD"/>
        </w:rPr>
        <w:t>A</w:t>
      </w:r>
      <w:r w:rsidR="00CC5DC1" w:rsidRPr="009E5B39">
        <w:rPr>
          <w:rFonts w:asciiTheme="majorHAnsi" w:eastAsia="Calibri" w:hAnsiTheme="majorHAnsi" w:cstheme="majorHAnsi"/>
          <w:bCs/>
          <w:sz w:val="24"/>
          <w:szCs w:val="24"/>
          <w:lang w:val="ro-MD"/>
        </w:rPr>
        <w:t xml:space="preserve"> și </w:t>
      </w:r>
      <w:r w:rsidR="00C637C0" w:rsidRPr="009E5B39">
        <w:rPr>
          <w:rFonts w:asciiTheme="majorHAnsi" w:eastAsia="Calibri" w:hAnsiTheme="majorHAnsi" w:cstheme="majorHAnsi"/>
          <w:bCs/>
          <w:sz w:val="24"/>
          <w:szCs w:val="24"/>
          <w:lang w:val="ro-MD"/>
        </w:rPr>
        <w:t xml:space="preserve">SA </w:t>
      </w:r>
      <w:r w:rsidR="00930538"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Termoelectrica</w:t>
      </w:r>
      <w:r w:rsidR="00930538" w:rsidRPr="009E5B39">
        <w:rPr>
          <w:rFonts w:asciiTheme="majorHAnsi" w:eastAsia="Calibri" w:hAnsiTheme="majorHAnsi" w:cstheme="majorHAnsi"/>
          <w:bCs/>
          <w:sz w:val="24"/>
          <w:szCs w:val="24"/>
          <w:lang w:val="ro-MD"/>
        </w:rPr>
        <w:t>”</w:t>
      </w:r>
      <w:r w:rsidR="00714C0C" w:rsidRPr="009E5B39">
        <w:rPr>
          <w:bCs/>
          <w:vertAlign w:val="superscript"/>
          <w:lang w:val="ro-MD"/>
        </w:rPr>
        <w:footnoteReference w:id="106"/>
      </w:r>
      <w:r w:rsidR="00CC5DC1" w:rsidRPr="009E5B39">
        <w:rPr>
          <w:rFonts w:asciiTheme="majorHAnsi" w:eastAsia="Calibri" w:hAnsiTheme="majorHAnsi" w:cstheme="majorHAnsi"/>
          <w:bCs/>
          <w:sz w:val="24"/>
          <w:szCs w:val="24"/>
          <w:lang w:val="ro-MD"/>
        </w:rPr>
        <w:t>.</w:t>
      </w:r>
      <w:r w:rsidR="00CC5DC1" w:rsidRPr="009E5B39">
        <w:rPr>
          <w:rFonts w:asciiTheme="majorHAnsi" w:eastAsia="Times New Roman" w:hAnsiTheme="majorHAnsi" w:cstheme="majorHAnsi"/>
          <w:sz w:val="24"/>
          <w:szCs w:val="24"/>
          <w:lang w:val="ro-MD"/>
        </w:rPr>
        <w:t xml:space="preserve">  </w:t>
      </w:r>
    </w:p>
    <w:p w14:paraId="7D5E972C" w14:textId="35754624" w:rsidR="00CC5DC1" w:rsidRPr="009E5B39" w:rsidRDefault="00A54E6A" w:rsidP="00A54E6A">
      <w:pPr>
        <w:tabs>
          <w:tab w:val="left" w:pos="0"/>
        </w:tabs>
        <w:spacing w:after="0" w:line="276" w:lineRule="auto"/>
        <w:jc w:val="both"/>
        <w:rPr>
          <w:rFonts w:asciiTheme="majorHAnsi" w:eastAsia="Calibri" w:hAnsiTheme="majorHAnsi" w:cstheme="majorHAnsi"/>
          <w:b/>
          <w:i/>
          <w:sz w:val="24"/>
          <w:szCs w:val="24"/>
          <w:lang w:val="ro-MD"/>
        </w:rPr>
      </w:pPr>
      <w:r w:rsidRPr="009E5B39">
        <w:rPr>
          <w:rFonts w:asciiTheme="majorHAnsi" w:eastAsia="Calibri" w:hAnsiTheme="majorHAnsi" w:cstheme="majorHAnsi"/>
          <w:bCs/>
          <w:sz w:val="24"/>
          <w:szCs w:val="24"/>
          <w:lang w:val="ro-MD"/>
        </w:rPr>
        <w:tab/>
      </w:r>
      <w:r w:rsidR="00CC5DC1" w:rsidRPr="009E5B39">
        <w:rPr>
          <w:rFonts w:asciiTheme="majorHAnsi" w:eastAsia="Calibri" w:hAnsiTheme="majorHAnsi" w:cstheme="majorHAnsi"/>
          <w:bCs/>
          <w:sz w:val="24"/>
          <w:szCs w:val="24"/>
          <w:lang w:val="ro-MD"/>
        </w:rPr>
        <w:t xml:space="preserve">Potrivit </w:t>
      </w:r>
      <w:r w:rsidR="0018470A" w:rsidRPr="009E5B39">
        <w:rPr>
          <w:rFonts w:asciiTheme="majorHAnsi" w:eastAsia="Calibri" w:hAnsiTheme="majorHAnsi" w:cstheme="majorHAnsi"/>
          <w:bCs/>
          <w:sz w:val="24"/>
          <w:szCs w:val="24"/>
          <w:lang w:val="ro-MD"/>
        </w:rPr>
        <w:t xml:space="preserve">devizului </w:t>
      </w:r>
      <w:r w:rsidR="00CC5DC1" w:rsidRPr="009E5B39">
        <w:rPr>
          <w:rFonts w:asciiTheme="majorHAnsi" w:eastAsia="Calibri" w:hAnsiTheme="majorHAnsi" w:cstheme="majorHAnsi"/>
          <w:bCs/>
          <w:sz w:val="24"/>
          <w:szCs w:val="24"/>
          <w:lang w:val="ro-MD"/>
        </w:rPr>
        <w:t>de cheltuieli</w:t>
      </w:r>
      <w:r w:rsidR="00930538"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 xml:space="preserve"> urmau a fi executate lucrări în sumă de 1</w:t>
      </w:r>
      <w:r w:rsidR="00D87E23"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78 mi</w:t>
      </w:r>
      <w:r w:rsidR="00D87E23" w:rsidRPr="009E5B39">
        <w:rPr>
          <w:rFonts w:asciiTheme="majorHAnsi" w:eastAsia="Calibri" w:hAnsiTheme="majorHAnsi" w:cstheme="majorHAnsi"/>
          <w:bCs/>
          <w:sz w:val="24"/>
          <w:szCs w:val="24"/>
          <w:lang w:val="ro-MD"/>
        </w:rPr>
        <w:t>l</w:t>
      </w:r>
      <w:r w:rsidR="00930538"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 xml:space="preserve"> lei pe 6 poziții</w:t>
      </w:r>
      <w:r w:rsidR="00C637C0" w:rsidRPr="009E5B39">
        <w:rPr>
          <w:rFonts w:asciiTheme="majorHAnsi" w:eastAsia="Calibri" w:hAnsiTheme="majorHAnsi" w:cstheme="majorHAnsi"/>
          <w:bCs/>
          <w:sz w:val="24"/>
          <w:szCs w:val="24"/>
          <w:lang w:val="ro-MD"/>
        </w:rPr>
        <w:t xml:space="preserve">, din care pe </w:t>
      </w:r>
      <w:r w:rsidR="00CC5DC1" w:rsidRPr="009E5B39">
        <w:rPr>
          <w:rFonts w:asciiTheme="majorHAnsi" w:eastAsia="Calibri" w:hAnsiTheme="majorHAnsi" w:cstheme="majorHAnsi"/>
          <w:bCs/>
          <w:sz w:val="24"/>
          <w:szCs w:val="24"/>
          <w:lang w:val="ro-MD"/>
        </w:rPr>
        <w:t xml:space="preserve">3 </w:t>
      </w:r>
      <w:r w:rsidR="00A60A10" w:rsidRPr="009E5B39">
        <w:rPr>
          <w:rFonts w:asciiTheme="majorHAnsi" w:eastAsia="Calibri" w:hAnsiTheme="majorHAnsi" w:cstheme="majorHAnsi"/>
          <w:bCs/>
          <w:sz w:val="24"/>
          <w:szCs w:val="24"/>
          <w:lang w:val="ro-MD"/>
        </w:rPr>
        <w:t xml:space="preserve">poziții </w:t>
      </w:r>
      <w:r w:rsidR="00C637C0" w:rsidRPr="009E5B39">
        <w:rPr>
          <w:rFonts w:asciiTheme="majorHAnsi" w:eastAsia="Calibri" w:hAnsiTheme="majorHAnsi" w:cstheme="majorHAnsi"/>
          <w:bCs/>
          <w:sz w:val="24"/>
          <w:szCs w:val="24"/>
          <w:lang w:val="ro-MD"/>
        </w:rPr>
        <w:t xml:space="preserve">auditul a stabilit </w:t>
      </w:r>
      <w:r w:rsidR="00CC5DC1" w:rsidRPr="009E5B39">
        <w:rPr>
          <w:rFonts w:asciiTheme="majorHAnsi" w:eastAsia="Calibri" w:hAnsiTheme="majorHAnsi" w:cstheme="majorHAnsi"/>
          <w:bCs/>
          <w:sz w:val="24"/>
          <w:szCs w:val="24"/>
          <w:lang w:val="ro-MD"/>
        </w:rPr>
        <w:t>majora</w:t>
      </w:r>
      <w:r w:rsidR="00C637C0" w:rsidRPr="009E5B39">
        <w:rPr>
          <w:rFonts w:asciiTheme="majorHAnsi" w:eastAsia="Calibri" w:hAnsiTheme="majorHAnsi" w:cstheme="majorHAnsi"/>
          <w:bCs/>
          <w:sz w:val="24"/>
          <w:szCs w:val="24"/>
          <w:lang w:val="ro-MD"/>
        </w:rPr>
        <w:t xml:space="preserve">rea </w:t>
      </w:r>
      <w:r w:rsidR="00CC5DC1" w:rsidRPr="009E5B39">
        <w:rPr>
          <w:rFonts w:asciiTheme="majorHAnsi" w:eastAsia="Calibri" w:hAnsiTheme="majorHAnsi" w:cstheme="majorHAnsi"/>
          <w:bCs/>
          <w:sz w:val="24"/>
          <w:szCs w:val="24"/>
          <w:lang w:val="ro-MD"/>
        </w:rPr>
        <w:t>normativel</w:t>
      </w:r>
      <w:r w:rsidR="00C637C0" w:rsidRPr="009E5B39">
        <w:rPr>
          <w:rFonts w:asciiTheme="majorHAnsi" w:eastAsia="Calibri" w:hAnsiTheme="majorHAnsi" w:cstheme="majorHAnsi"/>
          <w:bCs/>
          <w:sz w:val="24"/>
          <w:szCs w:val="24"/>
          <w:lang w:val="ro-MD"/>
        </w:rPr>
        <w:t>or</w:t>
      </w:r>
      <w:r w:rsidR="00CC5DC1" w:rsidRPr="009E5B39">
        <w:rPr>
          <w:rFonts w:asciiTheme="majorHAnsi" w:eastAsia="Calibri" w:hAnsiTheme="majorHAnsi" w:cstheme="majorHAnsi"/>
          <w:bCs/>
          <w:sz w:val="24"/>
          <w:szCs w:val="24"/>
          <w:lang w:val="ro-MD"/>
        </w:rPr>
        <w:t xml:space="preserve"> din deviz pe unitate de măsură</w:t>
      </w:r>
      <w:r w:rsidR="00800BB4" w:rsidRPr="009E5B39">
        <w:rPr>
          <w:vertAlign w:val="superscript"/>
          <w:lang w:val="ro-MD"/>
        </w:rPr>
        <w:footnoteReference w:id="107"/>
      </w:r>
      <w:r w:rsidR="00CC2FAC"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 xml:space="preserve"> </w:t>
      </w:r>
      <w:r w:rsidR="00C637C0" w:rsidRPr="009E5B39">
        <w:rPr>
          <w:rFonts w:asciiTheme="majorHAnsi" w:eastAsia="Calibri" w:hAnsiTheme="majorHAnsi" w:cstheme="majorHAnsi"/>
          <w:bCs/>
          <w:sz w:val="24"/>
          <w:szCs w:val="24"/>
          <w:lang w:val="ro-MD"/>
        </w:rPr>
        <w:t xml:space="preserve">ceea ce a determinat majorarea volumului lucrărilor </w:t>
      </w:r>
      <w:r w:rsidR="00CC5DC1" w:rsidRPr="009E5B39">
        <w:rPr>
          <w:rFonts w:asciiTheme="majorHAnsi" w:eastAsia="Calibri" w:hAnsiTheme="majorHAnsi" w:cstheme="majorHAnsi"/>
          <w:bCs/>
          <w:sz w:val="24"/>
          <w:szCs w:val="24"/>
          <w:lang w:val="ro-MD"/>
        </w:rPr>
        <w:t xml:space="preserve">cu 113,5 mii lei. </w:t>
      </w:r>
      <w:r w:rsidR="00CC5DC1" w:rsidRPr="009E5B39">
        <w:rPr>
          <w:rFonts w:asciiTheme="majorHAnsi" w:eastAsia="Calibri" w:hAnsiTheme="majorHAnsi" w:cstheme="majorHAnsi"/>
          <w:b/>
          <w:i/>
          <w:sz w:val="24"/>
          <w:szCs w:val="24"/>
          <w:lang w:val="ro-MD"/>
        </w:rPr>
        <w:t>Pretura sectorului Ciocana nu a asigurat monitorizarea calității lucrărilor contractate, acestea fiind demarate în lipsa unui responsabil tehnic</w:t>
      </w:r>
      <w:r w:rsidR="00A60A10" w:rsidRPr="009E5B39">
        <w:rPr>
          <w:rFonts w:asciiTheme="majorHAnsi" w:eastAsia="Calibri" w:hAnsiTheme="majorHAnsi" w:cstheme="majorHAnsi"/>
          <w:b/>
          <w:i/>
          <w:sz w:val="24"/>
          <w:szCs w:val="24"/>
          <w:lang w:val="ro-MD"/>
        </w:rPr>
        <w:t xml:space="preserve"> și</w:t>
      </w:r>
      <w:r w:rsidR="00CC5DC1" w:rsidRPr="009E5B39">
        <w:rPr>
          <w:rFonts w:asciiTheme="majorHAnsi" w:eastAsia="Calibri" w:hAnsiTheme="majorHAnsi" w:cstheme="majorHAnsi"/>
          <w:b/>
          <w:i/>
          <w:sz w:val="24"/>
          <w:szCs w:val="24"/>
          <w:lang w:val="ro-MD"/>
        </w:rPr>
        <w:t xml:space="preserve"> executate necalitativ, ceea ce a generat cheltuieli suplimentare</w:t>
      </w:r>
      <w:r w:rsidR="00A60A10" w:rsidRPr="009E5B39">
        <w:rPr>
          <w:rFonts w:asciiTheme="majorHAnsi" w:eastAsia="Calibri" w:hAnsiTheme="majorHAnsi" w:cstheme="majorHAnsi"/>
          <w:b/>
          <w:i/>
          <w:sz w:val="24"/>
          <w:szCs w:val="24"/>
          <w:lang w:val="ro-MD"/>
        </w:rPr>
        <w:t>,</w:t>
      </w:r>
      <w:r w:rsidR="00CC5DC1" w:rsidRPr="009E5B39">
        <w:rPr>
          <w:rFonts w:asciiTheme="majorHAnsi" w:eastAsia="Calibri" w:hAnsiTheme="majorHAnsi" w:cstheme="majorHAnsi"/>
          <w:b/>
          <w:i/>
          <w:sz w:val="24"/>
          <w:szCs w:val="24"/>
          <w:lang w:val="ro-MD"/>
        </w:rPr>
        <w:t xml:space="preserve"> </w:t>
      </w:r>
      <w:r w:rsidR="00976A5D" w:rsidRPr="009E5B39">
        <w:rPr>
          <w:rFonts w:asciiTheme="majorHAnsi" w:eastAsia="Calibri" w:hAnsiTheme="majorHAnsi" w:cstheme="majorHAnsi"/>
          <w:b/>
          <w:i/>
          <w:sz w:val="24"/>
          <w:szCs w:val="24"/>
          <w:lang w:val="ro-MD"/>
        </w:rPr>
        <w:t>suportate de ÎM Regia „Ex</w:t>
      </w:r>
      <w:r w:rsidR="00A60A10" w:rsidRPr="009E5B39">
        <w:rPr>
          <w:rFonts w:asciiTheme="majorHAnsi" w:eastAsia="Calibri" w:hAnsiTheme="majorHAnsi" w:cstheme="majorHAnsi"/>
          <w:b/>
          <w:i/>
          <w:sz w:val="24"/>
          <w:szCs w:val="24"/>
          <w:lang w:val="ro-MD"/>
        </w:rPr>
        <w:t>D</w:t>
      </w:r>
      <w:r w:rsidR="00976A5D" w:rsidRPr="009E5B39">
        <w:rPr>
          <w:rFonts w:asciiTheme="majorHAnsi" w:eastAsia="Calibri" w:hAnsiTheme="majorHAnsi" w:cstheme="majorHAnsi"/>
          <w:b/>
          <w:i/>
          <w:sz w:val="24"/>
          <w:szCs w:val="24"/>
          <w:lang w:val="ro-MD"/>
        </w:rPr>
        <w:t xml:space="preserve">rupo”, </w:t>
      </w:r>
      <w:r w:rsidR="00CC2FAC" w:rsidRPr="009E5B39">
        <w:rPr>
          <w:rFonts w:asciiTheme="majorHAnsi" w:eastAsia="Calibri" w:hAnsiTheme="majorHAnsi" w:cstheme="majorHAnsi"/>
          <w:b/>
          <w:i/>
          <w:sz w:val="24"/>
          <w:szCs w:val="24"/>
          <w:lang w:val="ro-MD"/>
        </w:rPr>
        <w:t>pentru remediere</w:t>
      </w:r>
      <w:r w:rsidR="00A60A10" w:rsidRPr="009E5B39">
        <w:rPr>
          <w:rFonts w:asciiTheme="majorHAnsi" w:eastAsia="Calibri" w:hAnsiTheme="majorHAnsi" w:cstheme="majorHAnsi"/>
          <w:b/>
          <w:i/>
          <w:sz w:val="24"/>
          <w:szCs w:val="24"/>
          <w:lang w:val="ro-MD"/>
        </w:rPr>
        <w:t>,</w:t>
      </w:r>
      <w:r w:rsidR="00CC2FAC" w:rsidRPr="009E5B39" w:rsidDel="00CC2FAC">
        <w:rPr>
          <w:rFonts w:asciiTheme="majorHAnsi" w:eastAsia="Calibri" w:hAnsiTheme="majorHAnsi" w:cstheme="majorHAnsi"/>
          <w:b/>
          <w:i/>
          <w:sz w:val="24"/>
          <w:szCs w:val="24"/>
          <w:lang w:val="ro-MD"/>
        </w:rPr>
        <w:t xml:space="preserve"> </w:t>
      </w:r>
      <w:r w:rsidR="00CC5DC1" w:rsidRPr="009E5B39">
        <w:rPr>
          <w:rFonts w:asciiTheme="majorHAnsi" w:eastAsia="Calibri" w:hAnsiTheme="majorHAnsi" w:cstheme="majorHAnsi"/>
          <w:b/>
          <w:i/>
          <w:sz w:val="24"/>
          <w:szCs w:val="24"/>
          <w:lang w:val="ro-MD"/>
        </w:rPr>
        <w:t xml:space="preserve">în sumă de </w:t>
      </w:r>
      <w:r w:rsidR="00D40CB4" w:rsidRPr="009E5B39">
        <w:rPr>
          <w:rFonts w:asciiTheme="majorHAnsi" w:eastAsia="Calibri" w:hAnsiTheme="majorHAnsi" w:cstheme="majorHAnsi"/>
          <w:b/>
          <w:i/>
          <w:sz w:val="24"/>
          <w:szCs w:val="24"/>
          <w:lang w:val="ro-MD"/>
        </w:rPr>
        <w:t>3</w:t>
      </w:r>
      <w:r w:rsidR="00D87E23" w:rsidRPr="009E5B39">
        <w:rPr>
          <w:rFonts w:asciiTheme="majorHAnsi" w:eastAsia="Calibri" w:hAnsiTheme="majorHAnsi" w:cstheme="majorHAnsi"/>
          <w:b/>
          <w:i/>
          <w:sz w:val="24"/>
          <w:szCs w:val="24"/>
          <w:lang w:val="ro-MD"/>
        </w:rPr>
        <w:t>,</w:t>
      </w:r>
      <w:r w:rsidR="00D40CB4" w:rsidRPr="009E5B39">
        <w:rPr>
          <w:rFonts w:asciiTheme="majorHAnsi" w:eastAsia="Calibri" w:hAnsiTheme="majorHAnsi" w:cstheme="majorHAnsi"/>
          <w:b/>
          <w:i/>
          <w:sz w:val="24"/>
          <w:szCs w:val="24"/>
          <w:lang w:val="ro-MD"/>
        </w:rPr>
        <w:t>90</w:t>
      </w:r>
      <w:r w:rsidR="00CC5DC1" w:rsidRPr="009E5B39">
        <w:rPr>
          <w:rFonts w:asciiTheme="majorHAnsi" w:eastAsia="Calibri" w:hAnsiTheme="majorHAnsi" w:cstheme="majorHAnsi"/>
          <w:b/>
          <w:i/>
          <w:sz w:val="24"/>
          <w:szCs w:val="24"/>
          <w:lang w:val="ro-MD"/>
        </w:rPr>
        <w:t xml:space="preserve"> mi</w:t>
      </w:r>
      <w:r w:rsidR="00D87E23" w:rsidRPr="009E5B39">
        <w:rPr>
          <w:rFonts w:asciiTheme="majorHAnsi" w:eastAsia="Calibri" w:hAnsiTheme="majorHAnsi" w:cstheme="majorHAnsi"/>
          <w:b/>
          <w:i/>
          <w:sz w:val="24"/>
          <w:szCs w:val="24"/>
          <w:lang w:val="ro-MD"/>
        </w:rPr>
        <w:t>l</w:t>
      </w:r>
      <w:r w:rsidR="00A60A10" w:rsidRPr="009E5B39">
        <w:rPr>
          <w:rFonts w:asciiTheme="majorHAnsi" w:eastAsia="Calibri" w:hAnsiTheme="majorHAnsi" w:cstheme="majorHAnsi"/>
          <w:b/>
          <w:i/>
          <w:sz w:val="24"/>
          <w:szCs w:val="24"/>
          <w:lang w:val="ro-MD"/>
        </w:rPr>
        <w:t>.</w:t>
      </w:r>
      <w:r w:rsidR="00CC5DC1" w:rsidRPr="009E5B39">
        <w:rPr>
          <w:rFonts w:asciiTheme="majorHAnsi" w:eastAsia="Calibri" w:hAnsiTheme="majorHAnsi" w:cstheme="majorHAnsi"/>
          <w:b/>
          <w:i/>
          <w:sz w:val="24"/>
          <w:szCs w:val="24"/>
          <w:lang w:val="ro-MD"/>
        </w:rPr>
        <w:t xml:space="preserve"> lei. </w:t>
      </w:r>
      <w:r w:rsidR="00CC5DC1" w:rsidRPr="009E5B39">
        <w:rPr>
          <w:rFonts w:asciiTheme="majorHAnsi" w:eastAsia="Calibri" w:hAnsiTheme="majorHAnsi" w:cstheme="majorHAnsi"/>
          <w:sz w:val="24"/>
          <w:szCs w:val="24"/>
          <w:lang w:val="ro-MD"/>
        </w:rPr>
        <w:t xml:space="preserve">Potrivit informațiilor din surse media, </w:t>
      </w:r>
      <w:r w:rsidR="00A60A10" w:rsidRPr="009E5B39">
        <w:rPr>
          <w:rFonts w:asciiTheme="majorHAnsi" w:eastAsia="Calibri" w:hAnsiTheme="majorHAnsi" w:cstheme="majorHAnsi"/>
          <w:bCs/>
          <w:sz w:val="24"/>
          <w:szCs w:val="24"/>
          <w:lang w:val="ro-MD"/>
        </w:rPr>
        <w:t>la</w:t>
      </w:r>
      <w:r w:rsidR="00CC2FAC" w:rsidRPr="009E5B39">
        <w:rPr>
          <w:rFonts w:asciiTheme="majorHAnsi" w:eastAsia="Calibri" w:hAnsiTheme="majorHAnsi" w:cstheme="majorHAnsi"/>
          <w:bCs/>
          <w:sz w:val="24"/>
          <w:szCs w:val="24"/>
          <w:lang w:val="ro-MD"/>
        </w:rPr>
        <w:t xml:space="preserve"> </w:t>
      </w:r>
      <w:r w:rsidR="00CC5DC1" w:rsidRPr="009E5B39">
        <w:rPr>
          <w:rFonts w:asciiTheme="majorHAnsi" w:eastAsia="Calibri" w:hAnsiTheme="majorHAnsi" w:cstheme="majorHAnsi"/>
          <w:bCs/>
          <w:sz w:val="24"/>
          <w:szCs w:val="24"/>
          <w:lang w:val="ro-MD"/>
        </w:rPr>
        <w:t>14.10.2020 a fost organizată deschiderea oficială a aleii d</w:t>
      </w:r>
      <w:r w:rsidR="00A60A10" w:rsidRPr="009E5B39">
        <w:rPr>
          <w:rFonts w:asciiTheme="majorHAnsi" w:eastAsia="Calibri" w:hAnsiTheme="majorHAnsi" w:cstheme="majorHAnsi"/>
          <w:bCs/>
          <w:sz w:val="24"/>
          <w:szCs w:val="24"/>
          <w:lang w:val="ro-MD"/>
        </w:rPr>
        <w:t>in</w:t>
      </w:r>
      <w:r w:rsidR="00CC5DC1" w:rsidRPr="009E5B39">
        <w:rPr>
          <w:rFonts w:asciiTheme="majorHAnsi" w:eastAsia="Calibri" w:hAnsiTheme="majorHAnsi" w:cstheme="majorHAnsi"/>
          <w:bCs/>
          <w:sz w:val="24"/>
          <w:szCs w:val="24"/>
          <w:lang w:val="ro-MD"/>
        </w:rPr>
        <w:t xml:space="preserve"> bd. Mircea cel </w:t>
      </w:r>
      <w:r w:rsidR="00F14EEC" w:rsidRPr="009E5B39">
        <w:rPr>
          <w:rFonts w:asciiTheme="majorHAnsi" w:eastAsia="Calibri" w:hAnsiTheme="majorHAnsi" w:cstheme="majorHAnsi"/>
          <w:bCs/>
          <w:sz w:val="24"/>
          <w:szCs w:val="24"/>
          <w:lang w:val="ro-MD"/>
        </w:rPr>
        <w:t>Bătrân</w:t>
      </w:r>
      <w:r w:rsidR="00CC5DC1" w:rsidRPr="009E5B39">
        <w:rPr>
          <w:rFonts w:asciiTheme="majorHAnsi" w:eastAsia="Calibri" w:hAnsiTheme="majorHAnsi" w:cstheme="majorHAnsi"/>
          <w:bCs/>
          <w:sz w:val="24"/>
          <w:szCs w:val="24"/>
          <w:lang w:val="ro-MD"/>
        </w:rPr>
        <w:t>, ceea ce denotă finisarea lucrărilor de reconstrucție a acesteia</w:t>
      </w:r>
      <w:r w:rsidR="00A60A10" w:rsidRPr="009E5B39">
        <w:rPr>
          <w:rFonts w:asciiTheme="majorHAnsi" w:eastAsia="Calibri" w:hAnsiTheme="majorHAnsi" w:cstheme="majorHAnsi"/>
          <w:bCs/>
          <w:sz w:val="24"/>
          <w:szCs w:val="24"/>
          <w:lang w:val="ro-MD"/>
        </w:rPr>
        <w:t>, î</w:t>
      </w:r>
      <w:r w:rsidR="00CC5DC1" w:rsidRPr="009E5B39">
        <w:rPr>
          <w:rFonts w:asciiTheme="majorHAnsi" w:eastAsia="Calibri" w:hAnsiTheme="majorHAnsi" w:cstheme="majorHAnsi"/>
          <w:bCs/>
          <w:sz w:val="24"/>
          <w:szCs w:val="24"/>
          <w:lang w:val="ro-MD"/>
        </w:rPr>
        <w:t xml:space="preserve">nsă </w:t>
      </w:r>
      <w:r w:rsidR="00CC5DC1" w:rsidRPr="009E5B39">
        <w:rPr>
          <w:rFonts w:asciiTheme="majorHAnsi" w:eastAsia="Times New Roman" w:hAnsiTheme="majorHAnsi" w:cstheme="majorHAnsi"/>
          <w:sz w:val="24"/>
          <w:szCs w:val="24"/>
          <w:lang w:val="ro-MD"/>
        </w:rPr>
        <w:t>doar după două săptămâni de la deschidere, porțiunea</w:t>
      </w:r>
      <w:r w:rsidR="002E7BC9" w:rsidRPr="009E5B39">
        <w:rPr>
          <w:rFonts w:asciiTheme="majorHAnsi" w:eastAsia="Times New Roman" w:hAnsiTheme="majorHAnsi" w:cstheme="majorHAnsi"/>
          <w:sz w:val="24"/>
          <w:szCs w:val="24"/>
          <w:lang w:val="ro-MD"/>
        </w:rPr>
        <w:t xml:space="preserve"> de alee reparată</w:t>
      </w:r>
      <w:r w:rsidR="00CC5DC1" w:rsidRPr="009E5B39">
        <w:rPr>
          <w:rFonts w:asciiTheme="majorHAnsi" w:eastAsia="Times New Roman" w:hAnsiTheme="majorHAnsi" w:cstheme="majorHAnsi"/>
          <w:sz w:val="24"/>
          <w:szCs w:val="24"/>
          <w:lang w:val="ro-MD"/>
        </w:rPr>
        <w:t xml:space="preserve"> s-a umplut de fisuri</w:t>
      </w:r>
      <w:r w:rsidR="00976A5D" w:rsidRPr="009E5B39">
        <w:rPr>
          <w:rFonts w:asciiTheme="majorHAnsi" w:eastAsia="Times New Roman" w:hAnsiTheme="majorHAnsi" w:cstheme="majorHAnsi"/>
          <w:sz w:val="24"/>
          <w:szCs w:val="24"/>
          <w:lang w:val="ro-MD"/>
        </w:rPr>
        <w:t xml:space="preserve">. Această situație a fost motivată </w:t>
      </w:r>
      <w:r w:rsidR="00A60A10" w:rsidRPr="009E5B39">
        <w:rPr>
          <w:rFonts w:asciiTheme="majorHAnsi" w:eastAsia="Times New Roman" w:hAnsiTheme="majorHAnsi" w:cstheme="majorHAnsi"/>
          <w:sz w:val="24"/>
          <w:szCs w:val="24"/>
          <w:lang w:val="ro-MD"/>
        </w:rPr>
        <w:t>prin</w:t>
      </w:r>
      <w:r w:rsidR="00976A5D" w:rsidRPr="009E5B39">
        <w:rPr>
          <w:rFonts w:asciiTheme="majorHAnsi" w:eastAsia="Times New Roman" w:hAnsiTheme="majorHAnsi" w:cstheme="majorHAnsi"/>
          <w:sz w:val="24"/>
          <w:szCs w:val="24"/>
          <w:lang w:val="ro-MD"/>
        </w:rPr>
        <w:t xml:space="preserve"> executarea de către </w:t>
      </w:r>
      <w:r w:rsidR="00976A5D" w:rsidRPr="009E5B39">
        <w:rPr>
          <w:rFonts w:asciiTheme="majorHAnsi" w:eastAsia="Calibri" w:hAnsiTheme="majorHAnsi" w:cstheme="majorHAnsi"/>
          <w:sz w:val="24"/>
          <w:szCs w:val="24"/>
          <w:lang w:val="ro-MD"/>
        </w:rPr>
        <w:t>ÎM Regia „Ex</w:t>
      </w:r>
      <w:r w:rsidR="00A60A10" w:rsidRPr="009E5B39">
        <w:rPr>
          <w:rFonts w:asciiTheme="majorHAnsi" w:eastAsia="Calibri" w:hAnsiTheme="majorHAnsi" w:cstheme="majorHAnsi"/>
          <w:sz w:val="24"/>
          <w:szCs w:val="24"/>
          <w:lang w:val="ro-MD"/>
        </w:rPr>
        <w:t>D</w:t>
      </w:r>
      <w:r w:rsidR="00976A5D" w:rsidRPr="009E5B39">
        <w:rPr>
          <w:rFonts w:asciiTheme="majorHAnsi" w:eastAsia="Calibri" w:hAnsiTheme="majorHAnsi" w:cstheme="majorHAnsi"/>
          <w:sz w:val="24"/>
          <w:szCs w:val="24"/>
          <w:lang w:val="ro-MD"/>
        </w:rPr>
        <w:t>rupo”</w:t>
      </w:r>
      <w:r w:rsidR="00976A5D" w:rsidRPr="009E5B39">
        <w:rPr>
          <w:rFonts w:asciiTheme="majorHAnsi" w:eastAsia="Calibri" w:hAnsiTheme="majorHAnsi" w:cstheme="majorHAnsi"/>
          <w:b/>
          <w:i/>
          <w:sz w:val="24"/>
          <w:szCs w:val="24"/>
          <w:lang w:val="ro-MD"/>
        </w:rPr>
        <w:t xml:space="preserve"> </w:t>
      </w:r>
      <w:r w:rsidR="00976A5D" w:rsidRPr="009E5B39">
        <w:rPr>
          <w:rFonts w:asciiTheme="majorHAnsi" w:eastAsia="Times New Roman" w:hAnsiTheme="majorHAnsi" w:cstheme="majorHAnsi"/>
          <w:sz w:val="24"/>
          <w:szCs w:val="24"/>
          <w:lang w:val="ro-MD"/>
        </w:rPr>
        <w:t>a altor lucrări pe alee (instalarea sistemului de irigare, iluminat, amenajarea spațiilor verzi), utiliz</w:t>
      </w:r>
      <w:r w:rsidR="00A60A10" w:rsidRPr="009E5B39">
        <w:rPr>
          <w:rFonts w:asciiTheme="majorHAnsi" w:eastAsia="Times New Roman" w:hAnsiTheme="majorHAnsi" w:cstheme="majorHAnsi"/>
          <w:sz w:val="24"/>
          <w:szCs w:val="24"/>
          <w:lang w:val="ro-MD"/>
        </w:rPr>
        <w:t>â</w:t>
      </w:r>
      <w:r w:rsidR="00973FF9" w:rsidRPr="009E5B39">
        <w:rPr>
          <w:rFonts w:asciiTheme="majorHAnsi" w:eastAsia="Times New Roman" w:hAnsiTheme="majorHAnsi" w:cstheme="majorHAnsi"/>
          <w:sz w:val="24"/>
          <w:szCs w:val="24"/>
          <w:lang w:val="ro-MD"/>
        </w:rPr>
        <w:t xml:space="preserve">nd </w:t>
      </w:r>
      <w:r w:rsidR="00976A5D" w:rsidRPr="009E5B39">
        <w:rPr>
          <w:rFonts w:asciiTheme="majorHAnsi" w:eastAsia="Times New Roman" w:hAnsiTheme="majorHAnsi" w:cstheme="majorHAnsi"/>
          <w:sz w:val="24"/>
          <w:szCs w:val="24"/>
          <w:lang w:val="ro-MD"/>
        </w:rPr>
        <w:t xml:space="preserve">tehnică </w:t>
      </w:r>
      <w:r w:rsidR="00973FF9" w:rsidRPr="009E5B39">
        <w:rPr>
          <w:rFonts w:asciiTheme="majorHAnsi" w:eastAsia="Times New Roman" w:hAnsiTheme="majorHAnsi" w:cstheme="majorHAnsi"/>
          <w:sz w:val="24"/>
          <w:szCs w:val="24"/>
          <w:lang w:val="ro-MD"/>
        </w:rPr>
        <w:t>grea</w:t>
      </w:r>
      <w:r w:rsidR="00CC5DC1" w:rsidRPr="009E5B39">
        <w:rPr>
          <w:vertAlign w:val="superscript"/>
          <w:lang w:val="ro-MD"/>
        </w:rPr>
        <w:footnoteReference w:id="108"/>
      </w:r>
      <w:r w:rsidR="00CC5DC1" w:rsidRPr="009E5B39">
        <w:rPr>
          <w:rFonts w:asciiTheme="majorHAnsi" w:eastAsia="Calibri" w:hAnsiTheme="majorHAnsi" w:cstheme="majorHAnsi"/>
          <w:bCs/>
          <w:sz w:val="24"/>
          <w:szCs w:val="24"/>
          <w:lang w:val="ro-MD"/>
        </w:rPr>
        <w:t xml:space="preserve">. </w:t>
      </w:r>
    </w:p>
    <w:p w14:paraId="1DA2891F" w14:textId="7F6C936C" w:rsidR="00DD6BA3" w:rsidRPr="009E5B39" w:rsidRDefault="00CC2FAC" w:rsidP="00EF4BC3">
      <w:pPr>
        <w:tabs>
          <w:tab w:val="left" w:pos="567"/>
        </w:tabs>
        <w:spacing w:after="0" w:line="276" w:lineRule="auto"/>
        <w:contextualSpacing/>
        <w:jc w:val="both"/>
        <w:rPr>
          <w:rFonts w:asciiTheme="majorHAnsi" w:eastAsia="Calibri" w:hAnsiTheme="majorHAnsi" w:cstheme="majorHAnsi"/>
          <w:bCs/>
          <w:sz w:val="24"/>
          <w:szCs w:val="24"/>
          <w:lang w:val="ro-MD"/>
        </w:rPr>
      </w:pPr>
      <w:r w:rsidRPr="009E5B39">
        <w:rPr>
          <w:rFonts w:asciiTheme="majorHAnsi" w:eastAsia="Calibri" w:hAnsiTheme="majorHAnsi" w:cstheme="majorHAnsi"/>
          <w:sz w:val="24"/>
          <w:szCs w:val="24"/>
          <w:lang w:val="ro-MD"/>
        </w:rPr>
        <w:tab/>
      </w:r>
      <w:r w:rsidR="00CC5DC1" w:rsidRPr="009E5B39">
        <w:rPr>
          <w:rFonts w:asciiTheme="majorHAnsi" w:eastAsia="Calibri" w:hAnsiTheme="majorHAnsi" w:cstheme="majorHAnsi"/>
          <w:sz w:val="24"/>
          <w:szCs w:val="24"/>
          <w:lang w:val="ro-MD"/>
        </w:rPr>
        <w:t xml:space="preserve">Pretura sectorului Ciocana a contractat de la </w:t>
      </w:r>
      <w:r w:rsidR="00CC5DC1" w:rsidRPr="009E5B39">
        <w:rPr>
          <w:rFonts w:asciiTheme="majorHAnsi" w:eastAsia="Calibri" w:hAnsiTheme="majorHAnsi" w:cstheme="majorHAnsi"/>
          <w:bCs/>
          <w:sz w:val="24"/>
          <w:szCs w:val="24"/>
          <w:lang w:val="ro-MD"/>
        </w:rPr>
        <w:t>3 agenți economici</w:t>
      </w:r>
      <w:r w:rsidR="00CC5DC1" w:rsidRPr="009E5B39">
        <w:rPr>
          <w:rFonts w:asciiTheme="majorHAnsi" w:eastAsia="Calibri" w:hAnsiTheme="majorHAnsi" w:cstheme="majorHAnsi"/>
          <w:sz w:val="24"/>
          <w:szCs w:val="24"/>
          <w:vertAlign w:val="superscript"/>
          <w:lang w:val="ro-MD"/>
        </w:rPr>
        <w:footnoteReference w:id="109"/>
      </w:r>
      <w:r w:rsidR="00CC5DC1" w:rsidRPr="009E5B39">
        <w:rPr>
          <w:rFonts w:asciiTheme="majorHAnsi" w:eastAsia="Calibri" w:hAnsiTheme="majorHAnsi" w:cstheme="majorHAnsi"/>
          <w:bCs/>
          <w:sz w:val="24"/>
          <w:szCs w:val="24"/>
          <w:lang w:val="ro-MD"/>
        </w:rPr>
        <w:t xml:space="preserve">  lucrări suplimentare</w:t>
      </w:r>
      <w:r w:rsidR="00CC5DC1" w:rsidRPr="009E5B39">
        <w:rPr>
          <w:rFonts w:asciiTheme="majorHAnsi" w:eastAsia="Calibri" w:hAnsiTheme="majorHAnsi" w:cstheme="majorHAnsi"/>
          <w:bCs/>
          <w:sz w:val="24"/>
          <w:szCs w:val="24"/>
          <w:vertAlign w:val="superscript"/>
          <w:lang w:val="ro-MD"/>
        </w:rPr>
        <w:footnoteReference w:id="110"/>
      </w:r>
      <w:r w:rsidR="00CC5DC1" w:rsidRPr="009E5B39">
        <w:rPr>
          <w:rFonts w:asciiTheme="majorHAnsi" w:eastAsia="Calibri" w:hAnsiTheme="majorHAnsi" w:cstheme="majorHAnsi"/>
          <w:bCs/>
          <w:sz w:val="24"/>
          <w:szCs w:val="24"/>
          <w:lang w:val="ro-MD"/>
        </w:rPr>
        <w:t>, care nu au fost prevăzute în devizul general</w:t>
      </w:r>
      <w:r w:rsidR="00CC5DC1" w:rsidRPr="009E5B39">
        <w:rPr>
          <w:rFonts w:asciiTheme="majorHAnsi" w:eastAsia="Calibri" w:hAnsiTheme="majorHAnsi" w:cstheme="majorHAnsi"/>
          <w:sz w:val="24"/>
          <w:szCs w:val="24"/>
          <w:vertAlign w:val="superscript"/>
          <w:lang w:val="ro-MD"/>
        </w:rPr>
        <w:footnoteReference w:id="111"/>
      </w:r>
      <w:r w:rsidR="00CC5DC1" w:rsidRPr="009E5B39">
        <w:rPr>
          <w:rFonts w:asciiTheme="majorHAnsi" w:eastAsia="Calibri" w:hAnsiTheme="majorHAnsi" w:cstheme="majorHAnsi"/>
          <w:bCs/>
          <w:sz w:val="24"/>
          <w:szCs w:val="24"/>
          <w:lang w:val="ro-MD"/>
        </w:rPr>
        <w:t xml:space="preserve"> elaborat de către IMP </w:t>
      </w:r>
      <w:r w:rsidR="00764299"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 xml:space="preserve">Chișinăuproiect”, în valoare de </w:t>
      </w:r>
      <w:r w:rsidR="00D87E23" w:rsidRPr="009E5B39">
        <w:rPr>
          <w:rFonts w:asciiTheme="majorHAnsi" w:eastAsia="Calibri" w:hAnsiTheme="majorHAnsi" w:cstheme="majorHAnsi"/>
          <w:b/>
          <w:bCs/>
          <w:sz w:val="24"/>
          <w:szCs w:val="24"/>
          <w:lang w:val="ro-MD"/>
        </w:rPr>
        <w:t>0,</w:t>
      </w:r>
      <w:r w:rsidR="00CC5DC1" w:rsidRPr="009E5B39">
        <w:rPr>
          <w:rFonts w:asciiTheme="majorHAnsi" w:eastAsia="Calibri" w:hAnsiTheme="majorHAnsi" w:cstheme="majorHAnsi"/>
          <w:b/>
          <w:bCs/>
          <w:sz w:val="24"/>
          <w:szCs w:val="24"/>
          <w:lang w:val="ro-MD"/>
        </w:rPr>
        <w:t>86 mi</w:t>
      </w:r>
      <w:r w:rsidR="00D87E23" w:rsidRPr="009E5B39">
        <w:rPr>
          <w:rFonts w:asciiTheme="majorHAnsi" w:eastAsia="Calibri" w:hAnsiTheme="majorHAnsi" w:cstheme="majorHAnsi"/>
          <w:b/>
          <w:bCs/>
          <w:sz w:val="24"/>
          <w:szCs w:val="24"/>
          <w:lang w:val="ro-MD"/>
        </w:rPr>
        <w:t>l</w:t>
      </w:r>
      <w:r w:rsidR="00A60A10" w:rsidRPr="009E5B39">
        <w:rPr>
          <w:rFonts w:asciiTheme="majorHAnsi" w:eastAsia="Calibri" w:hAnsiTheme="majorHAnsi" w:cstheme="majorHAnsi"/>
          <w:b/>
          <w:bCs/>
          <w:sz w:val="24"/>
          <w:szCs w:val="24"/>
          <w:lang w:val="ro-MD"/>
        </w:rPr>
        <w:t>.</w:t>
      </w:r>
      <w:r w:rsidR="00CC5DC1" w:rsidRPr="009E5B39">
        <w:rPr>
          <w:rFonts w:asciiTheme="majorHAnsi" w:eastAsia="Calibri" w:hAnsiTheme="majorHAnsi" w:cstheme="majorHAnsi"/>
          <w:b/>
          <w:bCs/>
          <w:sz w:val="24"/>
          <w:szCs w:val="24"/>
          <w:lang w:val="ro-MD"/>
        </w:rPr>
        <w:t xml:space="preserve"> lei. </w:t>
      </w:r>
      <w:r w:rsidR="00CC5DC1" w:rsidRPr="009E5B39">
        <w:rPr>
          <w:rFonts w:asciiTheme="majorHAnsi" w:eastAsia="Calibri" w:hAnsiTheme="majorHAnsi" w:cstheme="majorHAnsi"/>
          <w:bCs/>
          <w:sz w:val="24"/>
          <w:szCs w:val="24"/>
          <w:lang w:val="ro-MD"/>
        </w:rPr>
        <w:t xml:space="preserve">Aceste lucrării au fost recepționate cu </w:t>
      </w:r>
      <w:r w:rsidRPr="009E5B39">
        <w:rPr>
          <w:rFonts w:asciiTheme="majorHAnsi" w:eastAsia="Calibri" w:hAnsiTheme="majorHAnsi" w:cstheme="majorHAnsi"/>
          <w:bCs/>
          <w:sz w:val="24"/>
          <w:szCs w:val="24"/>
          <w:lang w:val="ro-MD"/>
        </w:rPr>
        <w:t>abater</w:t>
      </w:r>
      <w:r w:rsidR="00764299" w:rsidRPr="009E5B39">
        <w:rPr>
          <w:rFonts w:asciiTheme="majorHAnsi" w:eastAsia="Calibri" w:hAnsiTheme="majorHAnsi" w:cstheme="majorHAnsi"/>
          <w:bCs/>
          <w:sz w:val="24"/>
          <w:szCs w:val="24"/>
          <w:lang w:val="ro-MD"/>
        </w:rPr>
        <w:t>i</w:t>
      </w:r>
      <w:r w:rsidRPr="009E5B39">
        <w:rPr>
          <w:rFonts w:asciiTheme="majorHAnsi" w:eastAsia="Calibri" w:hAnsiTheme="majorHAnsi" w:cstheme="majorHAnsi"/>
          <w:bCs/>
          <w:sz w:val="24"/>
          <w:szCs w:val="24"/>
          <w:lang w:val="ro-MD"/>
        </w:rPr>
        <w:t xml:space="preserve"> </w:t>
      </w:r>
      <w:r w:rsidR="00CC5DC1" w:rsidRPr="009E5B39">
        <w:rPr>
          <w:rFonts w:asciiTheme="majorHAnsi" w:eastAsia="Calibri" w:hAnsiTheme="majorHAnsi" w:cstheme="majorHAnsi"/>
          <w:bCs/>
          <w:sz w:val="24"/>
          <w:szCs w:val="24"/>
          <w:lang w:val="ro-MD"/>
        </w:rPr>
        <w:t>de la prevederile cadrului normativ</w:t>
      </w:r>
      <w:r w:rsidR="00CC5DC1" w:rsidRPr="009E5B39">
        <w:rPr>
          <w:rFonts w:asciiTheme="majorHAnsi" w:eastAsia="Calibri" w:hAnsiTheme="majorHAnsi" w:cstheme="majorHAnsi"/>
          <w:sz w:val="24"/>
          <w:szCs w:val="24"/>
          <w:vertAlign w:val="superscript"/>
          <w:lang w:val="ro-MD"/>
        </w:rPr>
        <w:footnoteReference w:id="112"/>
      </w:r>
      <w:r w:rsidR="00CC5DC1" w:rsidRPr="009E5B39">
        <w:rPr>
          <w:rFonts w:asciiTheme="majorHAnsi" w:eastAsia="Calibri" w:hAnsiTheme="majorHAnsi" w:cstheme="majorHAnsi"/>
          <w:bCs/>
          <w:sz w:val="24"/>
          <w:szCs w:val="24"/>
          <w:lang w:val="ro-MD"/>
        </w:rPr>
        <w:t xml:space="preserve"> </w:t>
      </w:r>
      <w:r w:rsidR="00764299" w:rsidRPr="009E5B39">
        <w:rPr>
          <w:rFonts w:asciiTheme="majorHAnsi" w:eastAsia="Calibri" w:hAnsiTheme="majorHAnsi" w:cstheme="majorHAnsi"/>
          <w:bCs/>
          <w:sz w:val="24"/>
          <w:szCs w:val="24"/>
          <w:lang w:val="ro-MD"/>
        </w:rPr>
        <w:t xml:space="preserve">, </w:t>
      </w:r>
      <w:r w:rsidR="00CC5DC1" w:rsidRPr="009E5B39">
        <w:rPr>
          <w:rFonts w:asciiTheme="majorHAnsi" w:eastAsia="Calibri" w:hAnsiTheme="majorHAnsi" w:cstheme="majorHAnsi"/>
          <w:bCs/>
          <w:sz w:val="24"/>
          <w:szCs w:val="24"/>
          <w:lang w:val="ro-MD"/>
        </w:rPr>
        <w:t>în lipsa verificării calității de către un responsabil tehnic.</w:t>
      </w:r>
    </w:p>
    <w:p w14:paraId="0241F007" w14:textId="17220953" w:rsidR="00CC5DC1" w:rsidRPr="009E5B39" w:rsidRDefault="002E7BC9" w:rsidP="002E7BC9">
      <w:pPr>
        <w:tabs>
          <w:tab w:val="left" w:pos="567"/>
        </w:tabs>
        <w:spacing w:after="0" w:line="276" w:lineRule="auto"/>
        <w:jc w:val="both"/>
        <w:rPr>
          <w:rFonts w:asciiTheme="majorHAnsi" w:eastAsia="Calibri" w:hAnsiTheme="majorHAnsi" w:cstheme="majorHAnsi"/>
          <w:b/>
          <w:sz w:val="24"/>
          <w:szCs w:val="24"/>
          <w:lang w:val="ro-MD"/>
        </w:rPr>
      </w:pPr>
      <w:r w:rsidRPr="009E5B39">
        <w:rPr>
          <w:rFonts w:asciiTheme="majorHAnsi" w:eastAsia="Calibri" w:hAnsiTheme="majorHAnsi" w:cstheme="majorHAnsi"/>
          <w:b/>
          <w:i/>
          <w:sz w:val="24"/>
          <w:szCs w:val="24"/>
          <w:lang w:val="ro-MD"/>
        </w:rPr>
        <w:tab/>
      </w:r>
      <w:r w:rsidR="00CC5DC1" w:rsidRPr="009E5B39">
        <w:rPr>
          <w:rFonts w:asciiTheme="majorHAnsi" w:eastAsia="Calibri" w:hAnsiTheme="majorHAnsi" w:cstheme="majorHAnsi"/>
          <w:b/>
          <w:i/>
          <w:sz w:val="24"/>
          <w:szCs w:val="24"/>
          <w:lang w:val="ro-MD"/>
        </w:rPr>
        <w:t>Executarea și recepționarea lucrărilor contractate cu nerespectarea prevederilor cadrului normativ influențează negativ calitatea și durabilitatea acestora.</w:t>
      </w:r>
      <w:r w:rsidR="00CC5DC1" w:rsidRPr="009E5B39">
        <w:rPr>
          <w:rFonts w:asciiTheme="majorHAnsi" w:eastAsia="Calibri" w:hAnsiTheme="majorHAnsi" w:cstheme="majorHAnsi"/>
          <w:b/>
          <w:sz w:val="24"/>
          <w:szCs w:val="24"/>
          <w:lang w:val="ro-MD"/>
        </w:rPr>
        <w:t xml:space="preserve"> </w:t>
      </w:r>
      <w:r w:rsidR="00CA79A3" w:rsidRPr="009E5B39">
        <w:rPr>
          <w:rFonts w:asciiTheme="majorHAnsi" w:eastAsia="Times New Roman" w:hAnsiTheme="majorHAnsi" w:cstheme="majorHAnsi"/>
          <w:sz w:val="24"/>
          <w:szCs w:val="24"/>
          <w:bdr w:val="none" w:sz="0" w:space="0" w:color="auto" w:frame="1"/>
          <w:lang w:val="ro-MD" w:eastAsia="ru-RU"/>
        </w:rPr>
        <w:t>Contrar prevederilor cadrului normativ</w:t>
      </w:r>
      <w:r w:rsidR="00CA79A3" w:rsidRPr="009E5B39">
        <w:rPr>
          <w:rFonts w:eastAsia="Times New Roman"/>
          <w:bdr w:val="none" w:sz="0" w:space="0" w:color="auto" w:frame="1"/>
          <w:vertAlign w:val="superscript"/>
          <w:lang w:val="ro-MD" w:eastAsia="ru-RU"/>
        </w:rPr>
        <w:footnoteReference w:id="113"/>
      </w:r>
      <w:r w:rsidR="00CA79A3" w:rsidRPr="009E5B39">
        <w:rPr>
          <w:rFonts w:asciiTheme="majorHAnsi" w:eastAsia="Times New Roman" w:hAnsiTheme="majorHAnsi" w:cstheme="majorHAnsi"/>
          <w:sz w:val="24"/>
          <w:szCs w:val="24"/>
          <w:bdr w:val="none" w:sz="0" w:space="0" w:color="auto" w:frame="1"/>
          <w:lang w:val="ro-MD" w:eastAsia="ru-RU"/>
        </w:rPr>
        <w:t xml:space="preserve">, </w:t>
      </w:r>
      <w:r w:rsidR="00CA79A3" w:rsidRPr="009E5B39">
        <w:rPr>
          <w:rFonts w:asciiTheme="majorHAnsi" w:eastAsia="Times New Roman" w:hAnsiTheme="majorHAnsi" w:cstheme="majorHAnsi"/>
          <w:sz w:val="24"/>
          <w:szCs w:val="24"/>
          <w:lang w:val="ro-MD" w:eastAsia="ru-RU"/>
        </w:rPr>
        <w:t xml:space="preserve">Pretura sectorului Ciocana nu a asigurat: </w:t>
      </w:r>
      <w:r w:rsidR="00CA79A3" w:rsidRPr="009E5B39">
        <w:rPr>
          <w:rFonts w:asciiTheme="majorHAnsi" w:eastAsia="Times New Roman" w:hAnsiTheme="majorHAnsi" w:cstheme="majorHAnsi"/>
          <w:b/>
          <w:i/>
          <w:sz w:val="24"/>
          <w:szCs w:val="24"/>
          <w:lang w:val="ro-MD" w:eastAsia="ru-RU"/>
        </w:rPr>
        <w:t>i)</w:t>
      </w:r>
      <w:r w:rsidR="00CA79A3" w:rsidRPr="009E5B39">
        <w:rPr>
          <w:rFonts w:asciiTheme="majorHAnsi" w:eastAsia="Times New Roman" w:hAnsiTheme="majorHAnsi" w:cstheme="majorHAnsi"/>
          <w:sz w:val="24"/>
          <w:szCs w:val="24"/>
          <w:lang w:val="ro-MD" w:eastAsia="ru-RU"/>
        </w:rPr>
        <w:t xml:space="preserve"> instituirea comisiei de recepție pentru întocmirea procesului-verbal de recepție a lucrărilor de reconstrucție și modernizare de pe alee</w:t>
      </w:r>
      <w:r w:rsidR="00764299" w:rsidRPr="009E5B39">
        <w:rPr>
          <w:rFonts w:asciiTheme="majorHAnsi" w:eastAsia="Times New Roman" w:hAnsiTheme="majorHAnsi" w:cstheme="majorHAnsi"/>
          <w:sz w:val="24"/>
          <w:szCs w:val="24"/>
          <w:lang w:val="ro-MD" w:eastAsia="ru-RU"/>
        </w:rPr>
        <w:t>a din</w:t>
      </w:r>
      <w:r w:rsidR="00CA79A3" w:rsidRPr="009E5B39">
        <w:rPr>
          <w:rFonts w:asciiTheme="majorHAnsi" w:eastAsia="Times New Roman" w:hAnsiTheme="majorHAnsi" w:cstheme="majorHAnsi"/>
          <w:sz w:val="24"/>
          <w:szCs w:val="24"/>
          <w:lang w:val="ro-MD" w:eastAsia="ru-RU"/>
        </w:rPr>
        <w:t xml:space="preserve"> bd. Mircea cel Bătr</w:t>
      </w:r>
      <w:r w:rsidR="00764299" w:rsidRPr="009E5B39">
        <w:rPr>
          <w:rFonts w:asciiTheme="majorHAnsi" w:eastAsia="Times New Roman" w:hAnsiTheme="majorHAnsi" w:cstheme="majorHAnsi"/>
          <w:sz w:val="24"/>
          <w:szCs w:val="24"/>
          <w:lang w:val="ro-MD" w:eastAsia="ru-RU"/>
        </w:rPr>
        <w:t>â</w:t>
      </w:r>
      <w:r w:rsidR="00CA79A3" w:rsidRPr="009E5B39">
        <w:rPr>
          <w:rFonts w:asciiTheme="majorHAnsi" w:eastAsia="Times New Roman" w:hAnsiTheme="majorHAnsi" w:cstheme="majorHAnsi"/>
          <w:sz w:val="24"/>
          <w:szCs w:val="24"/>
          <w:lang w:val="ro-MD" w:eastAsia="ru-RU"/>
        </w:rPr>
        <w:t>n</w:t>
      </w:r>
      <w:r w:rsidR="00CA79A3" w:rsidRPr="009E5B39">
        <w:rPr>
          <w:rFonts w:eastAsia="Times New Roman"/>
          <w:vertAlign w:val="superscript"/>
          <w:lang w:val="ro-MD" w:eastAsia="ru-RU"/>
        </w:rPr>
        <w:footnoteReference w:id="114"/>
      </w:r>
      <w:r w:rsidR="00CA79A3" w:rsidRPr="009E5B39">
        <w:rPr>
          <w:rFonts w:asciiTheme="majorHAnsi" w:eastAsia="Times New Roman" w:hAnsiTheme="majorHAnsi" w:cstheme="majorHAnsi"/>
          <w:sz w:val="24"/>
          <w:szCs w:val="24"/>
          <w:lang w:val="ro-MD" w:eastAsia="ru-RU"/>
        </w:rPr>
        <w:t xml:space="preserve">; </w:t>
      </w:r>
      <w:r w:rsidR="00CA79A3" w:rsidRPr="009E5B39">
        <w:rPr>
          <w:rFonts w:asciiTheme="majorHAnsi" w:eastAsia="Times New Roman" w:hAnsiTheme="majorHAnsi" w:cstheme="majorHAnsi"/>
          <w:b/>
          <w:i/>
          <w:sz w:val="24"/>
          <w:szCs w:val="24"/>
          <w:lang w:val="ro-MD" w:eastAsia="ru-RU"/>
        </w:rPr>
        <w:t>ii)</w:t>
      </w:r>
      <w:r w:rsidR="00CA79A3" w:rsidRPr="009E5B39">
        <w:rPr>
          <w:rFonts w:asciiTheme="majorHAnsi" w:eastAsia="Times New Roman" w:hAnsiTheme="majorHAnsi" w:cstheme="majorHAnsi"/>
          <w:sz w:val="24"/>
          <w:szCs w:val="24"/>
          <w:lang w:val="ro-MD" w:eastAsia="ru-RU"/>
        </w:rPr>
        <w:t xml:space="preserve"> desemnarea persoanei respon</w:t>
      </w:r>
      <w:r w:rsidR="00F14EEC">
        <w:rPr>
          <w:rFonts w:asciiTheme="majorHAnsi" w:eastAsia="Times New Roman" w:hAnsiTheme="majorHAnsi" w:cstheme="majorHAnsi"/>
          <w:sz w:val="24"/>
          <w:szCs w:val="24"/>
          <w:lang w:val="ro-MD" w:eastAsia="ru-RU"/>
        </w:rPr>
        <w:t>s</w:t>
      </w:r>
      <w:r w:rsidR="00CA79A3" w:rsidRPr="009E5B39">
        <w:rPr>
          <w:rFonts w:asciiTheme="majorHAnsi" w:eastAsia="Times New Roman" w:hAnsiTheme="majorHAnsi" w:cstheme="majorHAnsi"/>
          <w:sz w:val="24"/>
          <w:szCs w:val="24"/>
          <w:lang w:val="ro-MD" w:eastAsia="ru-RU"/>
        </w:rPr>
        <w:t xml:space="preserve">abile de monitorizarea lucrărilor; </w:t>
      </w:r>
      <w:r w:rsidR="00CA79A3" w:rsidRPr="009E5B39">
        <w:rPr>
          <w:rFonts w:asciiTheme="majorHAnsi" w:eastAsia="Times New Roman" w:hAnsiTheme="majorHAnsi" w:cstheme="majorHAnsi"/>
          <w:b/>
          <w:i/>
          <w:sz w:val="24"/>
          <w:szCs w:val="24"/>
          <w:lang w:val="ro-MD" w:eastAsia="ru-RU"/>
        </w:rPr>
        <w:t>iii)</w:t>
      </w:r>
      <w:r w:rsidR="00CA79A3" w:rsidRPr="009E5B39">
        <w:rPr>
          <w:rFonts w:asciiTheme="majorHAnsi" w:eastAsia="Calibri" w:hAnsiTheme="majorHAnsi" w:cstheme="majorHAnsi"/>
          <w:b/>
          <w:sz w:val="24"/>
          <w:szCs w:val="24"/>
          <w:lang w:val="ro-MD"/>
        </w:rPr>
        <w:t xml:space="preserve"> </w:t>
      </w:r>
      <w:r w:rsidR="00CA79A3" w:rsidRPr="009E5B39">
        <w:rPr>
          <w:rFonts w:asciiTheme="majorHAnsi" w:eastAsia="Times New Roman" w:hAnsiTheme="majorHAnsi" w:cstheme="majorHAnsi"/>
          <w:sz w:val="24"/>
          <w:szCs w:val="24"/>
          <w:lang w:val="ro-MD" w:eastAsia="ru-RU"/>
        </w:rPr>
        <w:t>solicitarea expertizei tehnice</w:t>
      </w:r>
      <w:r w:rsidR="00764299" w:rsidRPr="009E5B39">
        <w:rPr>
          <w:rFonts w:asciiTheme="majorHAnsi" w:eastAsia="Times New Roman" w:hAnsiTheme="majorHAnsi" w:cstheme="majorHAnsi"/>
          <w:sz w:val="24"/>
          <w:szCs w:val="24"/>
          <w:lang w:val="ro-MD" w:eastAsia="ru-RU"/>
        </w:rPr>
        <w:t>,</w:t>
      </w:r>
      <w:r w:rsidR="00CA79A3" w:rsidRPr="009E5B39">
        <w:rPr>
          <w:rFonts w:asciiTheme="majorHAnsi" w:eastAsia="Times New Roman" w:hAnsiTheme="majorHAnsi" w:cstheme="majorHAnsi"/>
          <w:sz w:val="24"/>
          <w:szCs w:val="24"/>
          <w:lang w:val="ro-MD" w:eastAsia="ru-RU"/>
        </w:rPr>
        <w:t xml:space="preserve"> și nici nu a contractat un responsabil tehnic</w:t>
      </w:r>
      <w:r w:rsidR="00CA79A3" w:rsidRPr="009E5B39" w:rsidDel="00233D76">
        <w:rPr>
          <w:rFonts w:asciiTheme="majorHAnsi" w:eastAsia="Times New Roman" w:hAnsiTheme="majorHAnsi" w:cstheme="majorHAnsi"/>
          <w:sz w:val="24"/>
          <w:szCs w:val="24"/>
          <w:lang w:val="ro-MD" w:eastAsia="ru-RU"/>
        </w:rPr>
        <w:t xml:space="preserve"> </w:t>
      </w:r>
      <w:r w:rsidR="00CA79A3" w:rsidRPr="009E5B39">
        <w:rPr>
          <w:rFonts w:eastAsia="Times New Roman"/>
          <w:vertAlign w:val="superscript"/>
          <w:lang w:val="ro-MD" w:eastAsia="ru-RU"/>
        </w:rPr>
        <w:footnoteReference w:id="115"/>
      </w:r>
      <w:r w:rsidR="00CA79A3" w:rsidRPr="009E5B39">
        <w:rPr>
          <w:rFonts w:asciiTheme="majorHAnsi" w:eastAsia="Times New Roman" w:hAnsiTheme="majorHAnsi" w:cstheme="majorHAnsi"/>
          <w:sz w:val="24"/>
          <w:szCs w:val="24"/>
          <w:lang w:val="ro-MD" w:eastAsia="ru-RU"/>
        </w:rPr>
        <w:t xml:space="preserve">. </w:t>
      </w:r>
      <w:r w:rsidR="00F71361" w:rsidRPr="009E5B39">
        <w:rPr>
          <w:rFonts w:asciiTheme="majorHAnsi" w:eastAsia="Times New Roman" w:hAnsiTheme="majorHAnsi" w:cstheme="majorHAnsi"/>
          <w:sz w:val="24"/>
          <w:szCs w:val="24"/>
          <w:lang w:val="ro-MD" w:eastAsia="ru-RU"/>
        </w:rPr>
        <w:t xml:space="preserve">Verificările efectuate în teren (la 11.05.2022) au </w:t>
      </w:r>
      <w:r w:rsidR="00764299" w:rsidRPr="009E5B39">
        <w:rPr>
          <w:rFonts w:asciiTheme="majorHAnsi" w:eastAsia="Times New Roman" w:hAnsiTheme="majorHAnsi" w:cstheme="majorHAnsi"/>
          <w:sz w:val="24"/>
          <w:szCs w:val="24"/>
          <w:lang w:val="ro-MD" w:eastAsia="ru-RU"/>
        </w:rPr>
        <w:t>relevat</w:t>
      </w:r>
      <w:r w:rsidR="00F71361" w:rsidRPr="009E5B39">
        <w:rPr>
          <w:rFonts w:asciiTheme="majorHAnsi" w:eastAsia="Times New Roman" w:hAnsiTheme="majorHAnsi" w:cstheme="majorHAnsi"/>
          <w:sz w:val="24"/>
          <w:szCs w:val="24"/>
          <w:lang w:val="ro-MD" w:eastAsia="ru-RU"/>
        </w:rPr>
        <w:t xml:space="preserve"> mai multe neconformități și lucrări degradate</w:t>
      </w:r>
      <w:r w:rsidR="00F71361" w:rsidRPr="009E5B39">
        <w:rPr>
          <w:rStyle w:val="FootnoteReference"/>
          <w:rFonts w:asciiTheme="majorHAnsi" w:eastAsia="Times New Roman" w:hAnsiTheme="majorHAnsi" w:cstheme="majorHAnsi"/>
          <w:sz w:val="24"/>
          <w:szCs w:val="24"/>
          <w:lang w:val="ro-MD" w:eastAsia="ru-RU"/>
        </w:rPr>
        <w:footnoteReference w:id="116"/>
      </w:r>
      <w:r w:rsidR="00F71361" w:rsidRPr="009E5B39">
        <w:rPr>
          <w:rFonts w:asciiTheme="majorHAnsi" w:eastAsia="Times New Roman" w:hAnsiTheme="majorHAnsi" w:cstheme="majorHAnsi"/>
          <w:sz w:val="24"/>
          <w:szCs w:val="24"/>
          <w:lang w:val="ro-MD" w:eastAsia="ru-RU"/>
        </w:rPr>
        <w:t xml:space="preserve">. </w:t>
      </w:r>
    </w:p>
    <w:p w14:paraId="71B00A6D" w14:textId="7626B18C" w:rsidR="00CC5DC1" w:rsidRPr="009E5B39" w:rsidRDefault="00D40CB4" w:rsidP="00EF4BC3">
      <w:pPr>
        <w:spacing w:after="0" w:line="276" w:lineRule="auto"/>
        <w:ind w:firstLine="720"/>
        <w:contextualSpacing/>
        <w:jc w:val="both"/>
        <w:rPr>
          <w:rFonts w:asciiTheme="majorHAnsi" w:eastAsia="Calibri" w:hAnsiTheme="majorHAnsi" w:cstheme="majorHAnsi"/>
          <w:sz w:val="24"/>
          <w:szCs w:val="24"/>
          <w:lang w:val="ro-MD"/>
        </w:rPr>
      </w:pPr>
      <w:r w:rsidRPr="009E5B39">
        <w:rPr>
          <w:rFonts w:asciiTheme="majorHAnsi" w:eastAsia="Calibri" w:hAnsiTheme="majorHAnsi" w:cstheme="majorHAnsi"/>
          <w:sz w:val="24"/>
          <w:szCs w:val="24"/>
          <w:lang w:val="ro-MD"/>
        </w:rPr>
        <w:t xml:space="preserve">Pretura </w:t>
      </w:r>
      <w:r w:rsidR="00764299" w:rsidRPr="009E5B39">
        <w:rPr>
          <w:rFonts w:asciiTheme="majorHAnsi" w:eastAsia="Calibri" w:hAnsiTheme="majorHAnsi" w:cstheme="majorHAnsi"/>
          <w:sz w:val="24"/>
          <w:szCs w:val="24"/>
          <w:lang w:val="ro-MD"/>
        </w:rPr>
        <w:t xml:space="preserve">sect. </w:t>
      </w:r>
      <w:r w:rsidRPr="009E5B39">
        <w:rPr>
          <w:rFonts w:asciiTheme="majorHAnsi" w:eastAsia="Calibri" w:hAnsiTheme="majorHAnsi" w:cstheme="majorHAnsi"/>
          <w:sz w:val="24"/>
          <w:szCs w:val="24"/>
          <w:lang w:val="ro-MD"/>
        </w:rPr>
        <w:t xml:space="preserve">Ciocana a acceptat livrarea de către </w:t>
      </w:r>
      <w:r w:rsidR="00CC5DC1" w:rsidRPr="009E5B39">
        <w:rPr>
          <w:rFonts w:asciiTheme="majorHAnsi" w:eastAsia="Calibri" w:hAnsiTheme="majorHAnsi" w:cstheme="majorHAnsi"/>
          <w:sz w:val="24"/>
          <w:szCs w:val="24"/>
          <w:lang w:val="ro-MD"/>
        </w:rPr>
        <w:t>Vest-Grup SRL a echipamentul</w:t>
      </w:r>
      <w:r w:rsidRPr="009E5B39">
        <w:rPr>
          <w:rFonts w:asciiTheme="majorHAnsi" w:eastAsia="Calibri" w:hAnsiTheme="majorHAnsi" w:cstheme="majorHAnsi"/>
          <w:sz w:val="24"/>
          <w:szCs w:val="24"/>
          <w:lang w:val="ro-MD"/>
        </w:rPr>
        <w:t>ui</w:t>
      </w:r>
      <w:r w:rsidR="00CC5DC1" w:rsidRPr="009E5B39">
        <w:rPr>
          <w:rFonts w:asciiTheme="majorHAnsi" w:eastAsia="Calibri" w:hAnsiTheme="majorHAnsi" w:cstheme="majorHAnsi"/>
          <w:sz w:val="24"/>
          <w:szCs w:val="24"/>
          <w:lang w:val="ro-MD"/>
        </w:rPr>
        <w:t xml:space="preserve"> sportiv</w:t>
      </w:r>
      <w:r w:rsidR="00CC5DC1" w:rsidRPr="009E5B39">
        <w:rPr>
          <w:rFonts w:asciiTheme="majorHAnsi" w:eastAsia="Calibri" w:hAnsiTheme="majorHAnsi" w:cstheme="majorHAnsi"/>
          <w:sz w:val="24"/>
          <w:szCs w:val="24"/>
          <w:vertAlign w:val="superscript"/>
          <w:lang w:val="ro-MD"/>
        </w:rPr>
        <w:footnoteReference w:id="117"/>
      </w:r>
      <w:r w:rsidR="00CC5DC1" w:rsidRPr="009E5B39">
        <w:rPr>
          <w:rFonts w:asciiTheme="majorHAnsi" w:eastAsia="Calibri" w:hAnsiTheme="majorHAnsi" w:cstheme="majorHAnsi"/>
          <w:sz w:val="24"/>
          <w:szCs w:val="24"/>
          <w:lang w:val="ro-MD"/>
        </w:rPr>
        <w:t xml:space="preserve"> pentru alee la un preț majorat față de cel contractat</w:t>
      </w:r>
      <w:r w:rsidR="00CC5DC1" w:rsidRPr="009E5B39">
        <w:rPr>
          <w:rFonts w:asciiTheme="majorHAnsi" w:eastAsia="Calibri" w:hAnsiTheme="majorHAnsi" w:cstheme="majorHAnsi"/>
          <w:sz w:val="24"/>
          <w:szCs w:val="24"/>
          <w:vertAlign w:val="superscript"/>
          <w:lang w:val="ro-MD"/>
        </w:rPr>
        <w:footnoteReference w:id="118"/>
      </w:r>
      <w:r w:rsidR="00CC5DC1" w:rsidRPr="009E5B39">
        <w:rPr>
          <w:rFonts w:asciiTheme="majorHAnsi" w:eastAsia="Calibri" w:hAnsiTheme="majorHAnsi" w:cstheme="majorHAnsi"/>
          <w:sz w:val="24"/>
          <w:szCs w:val="24"/>
          <w:lang w:val="ro-MD"/>
        </w:rPr>
        <w:t xml:space="preserve">, ceea ce a generat suportarea cheltuielilor neregulamentare în </w:t>
      </w:r>
      <w:r w:rsidR="00764299" w:rsidRPr="009E5B39">
        <w:rPr>
          <w:rFonts w:asciiTheme="majorHAnsi" w:eastAsia="Calibri" w:hAnsiTheme="majorHAnsi" w:cstheme="majorHAnsi"/>
          <w:sz w:val="24"/>
          <w:szCs w:val="24"/>
          <w:lang w:val="ro-MD"/>
        </w:rPr>
        <w:t>sumă</w:t>
      </w:r>
      <w:r w:rsidR="00CC5DC1" w:rsidRPr="009E5B39">
        <w:rPr>
          <w:rFonts w:asciiTheme="majorHAnsi" w:eastAsia="Calibri" w:hAnsiTheme="majorHAnsi" w:cstheme="majorHAnsi"/>
          <w:sz w:val="24"/>
          <w:szCs w:val="24"/>
          <w:lang w:val="ro-MD"/>
        </w:rPr>
        <w:t xml:space="preserve"> de 2,6 mii lei</w:t>
      </w:r>
      <w:r w:rsidRPr="009E5B39">
        <w:rPr>
          <w:rFonts w:asciiTheme="majorHAnsi" w:eastAsia="Calibri" w:hAnsiTheme="majorHAnsi" w:cstheme="majorHAnsi"/>
          <w:sz w:val="24"/>
          <w:szCs w:val="24"/>
          <w:vertAlign w:val="superscript"/>
          <w:lang w:val="ro-MD"/>
        </w:rPr>
        <w:footnoteReference w:id="119"/>
      </w:r>
      <w:r w:rsidRPr="009E5B39">
        <w:rPr>
          <w:rFonts w:asciiTheme="majorHAnsi" w:eastAsia="Calibri" w:hAnsiTheme="majorHAnsi" w:cstheme="majorHAnsi"/>
          <w:sz w:val="24"/>
          <w:szCs w:val="24"/>
          <w:lang w:val="ro-MD"/>
        </w:rPr>
        <w:t>.</w:t>
      </w:r>
    </w:p>
    <w:p w14:paraId="41470D6F" w14:textId="6FDEF883" w:rsidR="00E35985" w:rsidRPr="009E5B39" w:rsidRDefault="00D40CB4" w:rsidP="00EF4BC3">
      <w:pPr>
        <w:tabs>
          <w:tab w:val="left" w:pos="567"/>
        </w:tabs>
        <w:spacing w:after="0" w:line="276" w:lineRule="auto"/>
        <w:contextualSpacing/>
        <w:jc w:val="both"/>
        <w:rPr>
          <w:rFonts w:asciiTheme="majorHAnsi" w:eastAsia="Calibri" w:hAnsiTheme="majorHAnsi" w:cstheme="majorHAnsi"/>
          <w:sz w:val="24"/>
          <w:szCs w:val="24"/>
          <w:u w:val="single"/>
          <w:lang w:val="ro-MD"/>
        </w:rPr>
      </w:pPr>
      <w:r w:rsidRPr="009E5B39">
        <w:rPr>
          <w:rFonts w:asciiTheme="majorHAnsi" w:eastAsia="Calibri" w:hAnsiTheme="majorHAnsi" w:cstheme="majorHAnsi"/>
          <w:sz w:val="24"/>
          <w:szCs w:val="24"/>
          <w:lang w:val="ro-MD"/>
        </w:rPr>
        <w:tab/>
      </w:r>
      <w:r w:rsidRPr="009E5B39">
        <w:rPr>
          <w:rFonts w:asciiTheme="majorHAnsi" w:eastAsia="Calibri" w:hAnsiTheme="majorHAnsi" w:cstheme="majorHAnsi"/>
          <w:sz w:val="24"/>
          <w:szCs w:val="24"/>
          <w:lang w:val="ro-MD"/>
        </w:rPr>
        <w:tab/>
      </w:r>
      <w:r w:rsidR="00CC5DC1" w:rsidRPr="009E5B39">
        <w:rPr>
          <w:rFonts w:asciiTheme="majorHAnsi" w:eastAsia="Calibri" w:hAnsiTheme="majorHAnsi" w:cstheme="majorHAnsi"/>
          <w:sz w:val="24"/>
          <w:szCs w:val="24"/>
          <w:lang w:val="ro-MD"/>
        </w:rPr>
        <w:t>Deși au fost contractate lucrări de</w:t>
      </w:r>
      <w:r w:rsidR="00CC5DC1" w:rsidRPr="009E5B39">
        <w:rPr>
          <w:rFonts w:asciiTheme="majorHAnsi" w:eastAsia="Calibri" w:hAnsiTheme="majorHAnsi" w:cstheme="majorHAnsi"/>
          <w:b/>
          <w:i/>
          <w:sz w:val="24"/>
          <w:szCs w:val="24"/>
          <w:lang w:val="ro-MD"/>
        </w:rPr>
        <w:t xml:space="preserve"> </w:t>
      </w:r>
      <w:r w:rsidR="00CC5DC1" w:rsidRPr="009E5B39">
        <w:rPr>
          <w:rFonts w:asciiTheme="majorHAnsi" w:eastAsia="Calibri" w:hAnsiTheme="majorHAnsi" w:cstheme="majorHAnsi"/>
          <w:bCs/>
          <w:sz w:val="24"/>
          <w:szCs w:val="24"/>
          <w:lang w:val="ro-MD"/>
        </w:rPr>
        <w:t>amenajare și modernizare</w:t>
      </w:r>
      <w:r w:rsidR="00442899" w:rsidRPr="009E5B39">
        <w:rPr>
          <w:rFonts w:asciiTheme="majorHAnsi" w:eastAsia="Calibri" w:hAnsiTheme="majorHAnsi" w:cstheme="majorHAnsi"/>
          <w:bCs/>
          <w:sz w:val="24"/>
          <w:szCs w:val="24"/>
          <w:lang w:val="ro-MD"/>
        </w:rPr>
        <w:t xml:space="preserve"> </w:t>
      </w:r>
      <w:r w:rsidR="00CC5DC1" w:rsidRPr="009E5B39">
        <w:rPr>
          <w:rFonts w:asciiTheme="majorHAnsi" w:eastAsia="Calibri" w:hAnsiTheme="majorHAnsi" w:cstheme="majorHAnsi"/>
          <w:bCs/>
          <w:sz w:val="24"/>
          <w:szCs w:val="24"/>
          <w:lang w:val="ro-MD"/>
        </w:rPr>
        <w:t xml:space="preserve">a terenului de joacă și a terenului de </w:t>
      </w:r>
      <w:r w:rsidR="00F14EEC" w:rsidRPr="009E5B39">
        <w:rPr>
          <w:rFonts w:asciiTheme="majorHAnsi" w:eastAsia="Calibri" w:hAnsiTheme="majorHAnsi" w:cstheme="majorHAnsi"/>
          <w:bCs/>
          <w:sz w:val="24"/>
          <w:szCs w:val="24"/>
          <w:lang w:val="ro-MD"/>
        </w:rPr>
        <w:t>fitness</w:t>
      </w:r>
      <w:r w:rsidR="00CC5DC1" w:rsidRPr="009E5B39">
        <w:rPr>
          <w:rFonts w:asciiTheme="majorHAnsi" w:eastAsia="Calibri" w:hAnsiTheme="majorHAnsi" w:cstheme="majorHAnsi"/>
          <w:bCs/>
          <w:sz w:val="24"/>
          <w:szCs w:val="24"/>
          <w:lang w:val="ro-MD"/>
        </w:rPr>
        <w:t xml:space="preserve"> de la doi agenți economici</w:t>
      </w:r>
      <w:r w:rsidR="00CC5DC1" w:rsidRPr="009E5B39">
        <w:rPr>
          <w:rFonts w:asciiTheme="majorHAnsi" w:eastAsia="Calibri" w:hAnsiTheme="majorHAnsi" w:cstheme="majorHAnsi"/>
          <w:bCs/>
          <w:sz w:val="24"/>
          <w:szCs w:val="24"/>
          <w:vertAlign w:val="superscript"/>
          <w:lang w:val="ro-MD"/>
        </w:rPr>
        <w:footnoteReference w:id="120"/>
      </w:r>
      <w:r w:rsidR="00CC5DC1" w:rsidRPr="009E5B39">
        <w:rPr>
          <w:rFonts w:asciiTheme="majorHAnsi" w:eastAsia="Calibri" w:hAnsiTheme="majorHAnsi" w:cstheme="majorHAnsi"/>
          <w:bCs/>
          <w:sz w:val="24"/>
          <w:szCs w:val="24"/>
          <w:lang w:val="ro-MD"/>
        </w:rPr>
        <w:t>, aceșt</w:t>
      </w:r>
      <w:r w:rsidR="00764299" w:rsidRPr="009E5B39">
        <w:rPr>
          <w:rFonts w:asciiTheme="majorHAnsi" w:eastAsia="Calibri" w:hAnsiTheme="majorHAnsi" w:cstheme="majorHAnsi"/>
          <w:bCs/>
          <w:sz w:val="24"/>
          <w:szCs w:val="24"/>
          <w:lang w:val="ro-MD"/>
        </w:rPr>
        <w:t>i</w:t>
      </w:r>
      <w:r w:rsidR="00CC5DC1" w:rsidRPr="009E5B39">
        <w:rPr>
          <w:rFonts w:asciiTheme="majorHAnsi" w:eastAsia="Calibri" w:hAnsiTheme="majorHAnsi" w:cstheme="majorHAnsi"/>
          <w:bCs/>
          <w:sz w:val="24"/>
          <w:szCs w:val="24"/>
          <w:lang w:val="ro-MD"/>
        </w:rPr>
        <w:t>a au prezentat procese</w:t>
      </w:r>
      <w:r w:rsidR="00764299" w:rsidRPr="009E5B39">
        <w:rPr>
          <w:rFonts w:asciiTheme="majorHAnsi" w:eastAsia="Calibri" w:hAnsiTheme="majorHAnsi" w:cstheme="majorHAnsi"/>
          <w:bCs/>
          <w:sz w:val="24"/>
          <w:szCs w:val="24"/>
          <w:lang w:val="ro-MD"/>
        </w:rPr>
        <w:t>-</w:t>
      </w:r>
      <w:r w:rsidR="00CC5DC1" w:rsidRPr="009E5B39">
        <w:rPr>
          <w:rFonts w:asciiTheme="majorHAnsi" w:eastAsia="Calibri" w:hAnsiTheme="majorHAnsi" w:cstheme="majorHAnsi"/>
          <w:bCs/>
          <w:sz w:val="24"/>
          <w:szCs w:val="24"/>
          <w:lang w:val="ro-MD"/>
        </w:rPr>
        <w:t>verbale de executare a lucrărilor cu indicatori identici</w:t>
      </w:r>
      <w:r w:rsidR="00CC5DC1" w:rsidRPr="009E5B39">
        <w:rPr>
          <w:rFonts w:asciiTheme="majorHAnsi" w:eastAsia="Calibri" w:hAnsiTheme="majorHAnsi" w:cstheme="majorHAnsi"/>
          <w:bCs/>
          <w:sz w:val="24"/>
          <w:szCs w:val="24"/>
          <w:vertAlign w:val="superscript"/>
          <w:lang w:val="ro-MD"/>
        </w:rPr>
        <w:footnoteReference w:id="121"/>
      </w:r>
      <w:r w:rsidR="00CC5DC1" w:rsidRPr="009E5B39">
        <w:rPr>
          <w:rFonts w:asciiTheme="majorHAnsi" w:eastAsia="Calibri" w:hAnsiTheme="majorHAnsi" w:cstheme="majorHAnsi"/>
          <w:bCs/>
          <w:sz w:val="24"/>
          <w:szCs w:val="24"/>
          <w:lang w:val="ro-MD"/>
        </w:rPr>
        <w:t xml:space="preserve">, dar cu </w:t>
      </w:r>
      <w:r w:rsidR="00764299" w:rsidRPr="009E5B39">
        <w:rPr>
          <w:rFonts w:asciiTheme="majorHAnsi" w:eastAsia="Calibri" w:hAnsiTheme="majorHAnsi" w:cstheme="majorHAnsi"/>
          <w:bCs/>
          <w:sz w:val="24"/>
          <w:szCs w:val="24"/>
          <w:lang w:val="ro-MD"/>
        </w:rPr>
        <w:t xml:space="preserve">o </w:t>
      </w:r>
      <w:r w:rsidR="00CC5DC1" w:rsidRPr="009E5B39">
        <w:rPr>
          <w:rFonts w:asciiTheme="majorHAnsi" w:eastAsia="Calibri" w:hAnsiTheme="majorHAnsi" w:cstheme="majorHAnsi"/>
          <w:bCs/>
          <w:sz w:val="24"/>
          <w:szCs w:val="24"/>
          <w:lang w:val="ro-MD"/>
        </w:rPr>
        <w:t xml:space="preserve">diferență de preț (pentru utilizarea aceluiași utilaj) de </w:t>
      </w:r>
      <w:r w:rsidR="00CC5DC1" w:rsidRPr="009E5B39">
        <w:rPr>
          <w:rFonts w:asciiTheme="majorHAnsi" w:eastAsia="Calibri" w:hAnsiTheme="majorHAnsi" w:cstheme="majorHAnsi"/>
          <w:b/>
          <w:bCs/>
          <w:sz w:val="24"/>
          <w:szCs w:val="24"/>
          <w:lang w:val="ro-MD"/>
        </w:rPr>
        <w:t>35,41 mii lei</w:t>
      </w:r>
      <w:r w:rsidR="00CC5DC1" w:rsidRPr="009E5B39">
        <w:rPr>
          <w:rFonts w:asciiTheme="majorHAnsi" w:eastAsia="Calibri" w:hAnsiTheme="majorHAnsi" w:cstheme="majorHAnsi"/>
          <w:bCs/>
          <w:sz w:val="24"/>
          <w:szCs w:val="24"/>
          <w:lang w:val="ro-MD"/>
        </w:rPr>
        <w:t xml:space="preserve">. </w:t>
      </w:r>
    </w:p>
    <w:p w14:paraId="53562C3B" w14:textId="4F41B5F8" w:rsidR="00E35985" w:rsidRPr="009E5B39" w:rsidRDefault="002E7BC9" w:rsidP="003C5073">
      <w:pPr>
        <w:spacing w:after="0" w:line="276" w:lineRule="auto"/>
        <w:contextualSpacing/>
        <w:jc w:val="both"/>
        <w:rPr>
          <w:rFonts w:asciiTheme="majorHAnsi" w:hAnsiTheme="majorHAnsi" w:cstheme="majorHAnsi"/>
          <w:b/>
          <w:sz w:val="24"/>
          <w:szCs w:val="24"/>
          <w:lang w:val="ro-MD"/>
        </w:rPr>
      </w:pPr>
      <w:r w:rsidRPr="009E5B39">
        <w:rPr>
          <w:rFonts w:asciiTheme="majorHAnsi" w:hAnsiTheme="majorHAnsi" w:cstheme="majorHAnsi"/>
          <w:b/>
          <w:i/>
          <w:sz w:val="24"/>
          <w:szCs w:val="24"/>
          <w:lang w:val="ro-MD"/>
        </w:rPr>
        <w:t xml:space="preserve">4.2.16. </w:t>
      </w:r>
      <w:r w:rsidR="00E35985" w:rsidRPr="009E5B39">
        <w:rPr>
          <w:rFonts w:asciiTheme="majorHAnsi" w:hAnsiTheme="majorHAnsi" w:cstheme="majorHAnsi"/>
          <w:b/>
          <w:i/>
          <w:sz w:val="24"/>
          <w:szCs w:val="24"/>
          <w:lang w:val="ro-MD"/>
        </w:rPr>
        <w:t xml:space="preserve">Preturile de sector au decis, au contractat și achitat serviciile de instalare a sistemului de supraveghere video în locurile publice din mun. Chișinău (scuaruri, parcuri, pasaje subterane de pietoni, havuzuri, etc.) fără ca aceste acțiuni să fie aprobate/coordonate cu CMC și primăria municipiului, precum și în lipsa unui acord cu Inspectoratul de Poliție. Pentru aceste cheltuieli nu au fost elaborate și aprobate programe bugetare și planificate alocații, fapt ce contravine prevederilor art.11 din Legea nr.181/2014, achitarea acestora fiind din contul cheltuielilor planificate și raportate pentru programa „Dezvoltare și amenajare” (gr.0620). Neacordarea accesului la datele stocate, precum și netransmiterea unei copii de rezervă a acestora de către agenții economici creează riscul că serviciile contractate nu se materializează în realitate, fiind generate cheltuieli neregulamentare din bugetul municipal. </w:t>
      </w:r>
      <w:r w:rsidR="00E35985" w:rsidRPr="009E5B39">
        <w:rPr>
          <w:rFonts w:asciiTheme="majorHAnsi" w:hAnsiTheme="majorHAnsi" w:cstheme="majorHAnsi"/>
          <w:sz w:val="24"/>
          <w:szCs w:val="24"/>
          <w:lang w:val="ro-MD"/>
        </w:rPr>
        <w:t xml:space="preserve">Auditul constată unele iregularități și neclarități cu referire la această achiziție, cum ar fi: </w:t>
      </w:r>
    </w:p>
    <w:p w14:paraId="2BEBB43E" w14:textId="77777777" w:rsidR="00E35985" w:rsidRPr="009E5B39" w:rsidRDefault="00E35985" w:rsidP="00EF4BC3">
      <w:pPr>
        <w:numPr>
          <w:ilvl w:val="0"/>
          <w:numId w:val="57"/>
        </w:numPr>
        <w:spacing w:after="0" w:line="276" w:lineRule="auto"/>
        <w:ind w:left="0" w:firstLine="284"/>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Deși serviciul este contractat și achitat din mijloace municipale, pretura nu are acces la baza de date, fiind asigurat accesul Inspectoratului de Poliție în lipsa unui acord semnat cu acesta de către CMC sau PMC;</w:t>
      </w:r>
    </w:p>
    <w:p w14:paraId="0C6E7C14" w14:textId="486343D4" w:rsidR="00E35985" w:rsidRPr="009E5B39" w:rsidRDefault="00E35985" w:rsidP="00EF4BC3">
      <w:pPr>
        <w:numPr>
          <w:ilvl w:val="0"/>
          <w:numId w:val="57"/>
        </w:numPr>
        <w:spacing w:after="0" w:line="276" w:lineRule="auto"/>
        <w:ind w:left="0" w:firstLine="284"/>
        <w:contextualSpacing/>
        <w:jc w:val="both"/>
        <w:rPr>
          <w:rFonts w:asciiTheme="majorHAnsi" w:hAnsiTheme="majorHAnsi" w:cstheme="majorHAnsi"/>
          <w:sz w:val="24"/>
          <w:szCs w:val="24"/>
          <w:lang w:val="ro-MD"/>
        </w:rPr>
      </w:pPr>
      <w:r w:rsidRPr="009E5B39">
        <w:rPr>
          <w:rFonts w:asciiTheme="majorHAnsi" w:hAnsiTheme="majorHAnsi" w:cstheme="majorHAnsi"/>
          <w:i/>
          <w:sz w:val="24"/>
          <w:szCs w:val="24"/>
          <w:lang w:val="ro-MD"/>
        </w:rPr>
        <w:t>Lipsa unei strategii/modalități unice per municipiu de asigurare a supravegherii video a locurilor publice</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w:t>
      </w:r>
      <w:r w:rsidR="00CE2B23" w:rsidRPr="009E5B39">
        <w:rPr>
          <w:rFonts w:asciiTheme="majorHAnsi" w:hAnsiTheme="majorHAnsi" w:cstheme="majorHAnsi"/>
          <w:sz w:val="24"/>
          <w:szCs w:val="24"/>
          <w:lang w:val="ro-MD"/>
        </w:rPr>
        <w:t>P</w:t>
      </w:r>
      <w:r w:rsidRPr="009E5B39">
        <w:rPr>
          <w:rFonts w:asciiTheme="majorHAnsi" w:hAnsiTheme="majorHAnsi" w:cstheme="majorHAnsi"/>
          <w:sz w:val="24"/>
          <w:szCs w:val="24"/>
          <w:lang w:val="ro-MD"/>
        </w:rPr>
        <w:t xml:space="preserve">returile </w:t>
      </w:r>
      <w:r w:rsidR="00CE2B23" w:rsidRPr="009E5B39">
        <w:rPr>
          <w:rFonts w:asciiTheme="majorHAnsi" w:hAnsiTheme="majorHAnsi" w:cstheme="majorHAnsi"/>
          <w:sz w:val="24"/>
          <w:szCs w:val="24"/>
          <w:lang w:val="ro-MD"/>
        </w:rPr>
        <w:t xml:space="preserve">sectoarelor </w:t>
      </w:r>
      <w:r w:rsidRPr="009E5B39">
        <w:rPr>
          <w:rFonts w:asciiTheme="majorHAnsi" w:hAnsiTheme="majorHAnsi" w:cstheme="majorHAnsi"/>
          <w:sz w:val="24"/>
          <w:szCs w:val="24"/>
          <w:lang w:val="ro-MD"/>
        </w:rPr>
        <w:t xml:space="preserve">Botanica, Rîșcani, Buiucani au contractat servicii de acces la infrastructura IT a furnizorului, proprietar al echipamentelor și infrastructurii IT </w:t>
      </w:r>
      <w:r w:rsidR="00CE2B23" w:rsidRPr="009E5B39">
        <w:rPr>
          <w:rFonts w:asciiTheme="majorHAnsi" w:hAnsiTheme="majorHAnsi" w:cstheme="majorHAnsi"/>
          <w:sz w:val="24"/>
          <w:szCs w:val="24"/>
          <w:lang w:val="ro-MD"/>
        </w:rPr>
        <w:t>fiind</w:t>
      </w:r>
      <w:r w:rsidRPr="009E5B39">
        <w:rPr>
          <w:rFonts w:asciiTheme="majorHAnsi" w:hAnsiTheme="majorHAnsi" w:cstheme="majorHAnsi"/>
          <w:sz w:val="24"/>
          <w:szCs w:val="24"/>
          <w:lang w:val="ro-MD"/>
        </w:rPr>
        <w:t xml:space="preserve"> agentul economic; </w:t>
      </w:r>
      <w:r w:rsidR="00CE2B23" w:rsidRPr="009E5B39">
        <w:rPr>
          <w:rFonts w:asciiTheme="majorHAnsi" w:hAnsiTheme="majorHAnsi" w:cstheme="majorHAnsi"/>
          <w:sz w:val="24"/>
          <w:szCs w:val="24"/>
          <w:lang w:val="ro-MD"/>
        </w:rPr>
        <w:t>P</w:t>
      </w:r>
      <w:r w:rsidRPr="009E5B39">
        <w:rPr>
          <w:rFonts w:asciiTheme="majorHAnsi" w:hAnsiTheme="majorHAnsi" w:cstheme="majorHAnsi"/>
          <w:sz w:val="24"/>
          <w:szCs w:val="24"/>
          <w:lang w:val="ro-MD"/>
        </w:rPr>
        <w:t xml:space="preserve">retura </w:t>
      </w:r>
      <w:r w:rsidR="00CE2B23" w:rsidRPr="009E5B39">
        <w:rPr>
          <w:rFonts w:asciiTheme="majorHAnsi" w:hAnsiTheme="majorHAnsi" w:cstheme="majorHAnsi"/>
          <w:sz w:val="24"/>
          <w:szCs w:val="24"/>
          <w:lang w:val="ro-MD"/>
        </w:rPr>
        <w:t xml:space="preserve">sect. </w:t>
      </w:r>
      <w:r w:rsidRPr="009E5B39">
        <w:rPr>
          <w:rFonts w:asciiTheme="majorHAnsi" w:hAnsiTheme="majorHAnsi" w:cstheme="majorHAnsi"/>
          <w:sz w:val="24"/>
          <w:szCs w:val="24"/>
          <w:lang w:val="ro-MD"/>
        </w:rPr>
        <w:t>Centru a achiziționat sistemul de supraveghere – camere video și serverul, utiliz</w:t>
      </w:r>
      <w:r w:rsidR="00CE2B23" w:rsidRPr="009E5B39">
        <w:rPr>
          <w:rFonts w:asciiTheme="majorHAnsi" w:hAnsiTheme="majorHAnsi" w:cstheme="majorHAnsi"/>
          <w:sz w:val="24"/>
          <w:szCs w:val="24"/>
          <w:lang w:val="ro-MD"/>
        </w:rPr>
        <w:t>â</w:t>
      </w:r>
      <w:r w:rsidRPr="009E5B39">
        <w:rPr>
          <w:rFonts w:asciiTheme="majorHAnsi" w:hAnsiTheme="majorHAnsi" w:cstheme="majorHAnsi"/>
          <w:sz w:val="24"/>
          <w:szCs w:val="24"/>
          <w:lang w:val="ro-MD"/>
        </w:rPr>
        <w:t xml:space="preserve">nd în acest scop mijloace financiare în sumă de </w:t>
      </w:r>
      <w:r w:rsidR="00D87E23" w:rsidRPr="009E5B39">
        <w:rPr>
          <w:rFonts w:asciiTheme="majorHAnsi" w:hAnsiTheme="majorHAnsi" w:cstheme="majorHAnsi"/>
          <w:sz w:val="24"/>
          <w:szCs w:val="24"/>
          <w:lang w:val="ro-MD"/>
        </w:rPr>
        <w:t>0,</w:t>
      </w:r>
      <w:r w:rsidRPr="009E5B39">
        <w:rPr>
          <w:rFonts w:asciiTheme="majorHAnsi" w:hAnsiTheme="majorHAnsi" w:cstheme="majorHAnsi"/>
          <w:sz w:val="24"/>
          <w:szCs w:val="24"/>
          <w:lang w:val="ro-MD"/>
        </w:rPr>
        <w:t>94 mi</w:t>
      </w:r>
      <w:r w:rsidR="00D87E23" w:rsidRPr="009E5B39">
        <w:rPr>
          <w:rFonts w:asciiTheme="majorHAnsi" w:hAnsiTheme="majorHAnsi" w:cstheme="majorHAnsi"/>
          <w:sz w:val="24"/>
          <w:szCs w:val="24"/>
          <w:lang w:val="ro-MD"/>
        </w:rPr>
        <w:t>l</w:t>
      </w:r>
      <w:r w:rsidR="00CE2B2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p>
    <w:p w14:paraId="059ABEAC" w14:textId="232DEA78" w:rsidR="00E35985" w:rsidRPr="009E5B39" w:rsidRDefault="00E35985" w:rsidP="00EF4BC3">
      <w:pPr>
        <w:numPr>
          <w:ilvl w:val="0"/>
          <w:numId w:val="57"/>
        </w:numPr>
        <w:spacing w:after="0" w:line="276" w:lineRule="auto"/>
        <w:ind w:left="0" w:firstLine="284"/>
        <w:contextualSpacing/>
        <w:jc w:val="both"/>
        <w:rPr>
          <w:rFonts w:asciiTheme="majorHAnsi" w:hAnsiTheme="majorHAnsi" w:cstheme="majorHAnsi"/>
          <w:b/>
          <w:sz w:val="24"/>
          <w:szCs w:val="24"/>
          <w:lang w:val="ro-MD"/>
        </w:rPr>
      </w:pPr>
      <w:r w:rsidRPr="009E5B39">
        <w:rPr>
          <w:rFonts w:asciiTheme="majorHAnsi" w:hAnsiTheme="majorHAnsi" w:cstheme="majorHAnsi"/>
          <w:i/>
          <w:sz w:val="24"/>
          <w:szCs w:val="24"/>
          <w:lang w:val="ro-MD"/>
        </w:rPr>
        <w:t>Cu nerespectarea prevederilor art.76 alin.(1) din Legea nr.131/2015</w:t>
      </w:r>
      <w:r w:rsidR="00CE2B23"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serviciul de supraveghere video a fost achiziționat prin încheierea mai multor contracte de valoare mică </w:t>
      </w:r>
      <w:r w:rsidRPr="009E5B39">
        <w:rPr>
          <w:rFonts w:asciiTheme="majorHAnsi" w:hAnsiTheme="majorHAnsi" w:cstheme="majorHAnsi"/>
          <w:sz w:val="24"/>
          <w:szCs w:val="24"/>
          <w:lang w:val="ro-MD"/>
        </w:rPr>
        <w:t>(</w:t>
      </w:r>
      <w:r w:rsidR="00CE2B23" w:rsidRPr="009E5B39">
        <w:rPr>
          <w:rFonts w:asciiTheme="majorHAnsi" w:hAnsiTheme="majorHAnsi" w:cstheme="majorHAnsi"/>
          <w:sz w:val="24"/>
          <w:szCs w:val="24"/>
          <w:lang w:val="ro-MD"/>
        </w:rPr>
        <w:t>P</w:t>
      </w:r>
      <w:r w:rsidRPr="009E5B39">
        <w:rPr>
          <w:rFonts w:asciiTheme="majorHAnsi" w:hAnsiTheme="majorHAnsi" w:cstheme="majorHAnsi"/>
          <w:sz w:val="24"/>
          <w:szCs w:val="24"/>
          <w:lang w:val="ro-MD"/>
        </w:rPr>
        <w:t xml:space="preserve">retura </w:t>
      </w:r>
      <w:r w:rsidR="00CE2B23" w:rsidRPr="009E5B39">
        <w:rPr>
          <w:rFonts w:asciiTheme="majorHAnsi" w:hAnsiTheme="majorHAnsi" w:cstheme="majorHAnsi"/>
          <w:sz w:val="24"/>
          <w:szCs w:val="24"/>
          <w:lang w:val="ro-MD"/>
        </w:rPr>
        <w:t xml:space="preserve">sect. </w:t>
      </w:r>
      <w:r w:rsidRPr="009E5B39">
        <w:rPr>
          <w:rFonts w:asciiTheme="majorHAnsi" w:hAnsiTheme="majorHAnsi" w:cstheme="majorHAnsi"/>
          <w:sz w:val="24"/>
          <w:szCs w:val="24"/>
          <w:lang w:val="ro-MD"/>
        </w:rPr>
        <w:t xml:space="preserve">Rîșcani a încheiat 6 contracte la 07.03.2022, în valoare totală de </w:t>
      </w:r>
      <w:r w:rsidR="00D87E23" w:rsidRPr="009E5B39">
        <w:rPr>
          <w:rFonts w:asciiTheme="majorHAnsi" w:hAnsiTheme="majorHAnsi" w:cstheme="majorHAnsi"/>
          <w:sz w:val="24"/>
          <w:szCs w:val="24"/>
          <w:lang w:val="ro-MD"/>
        </w:rPr>
        <w:t>0,</w:t>
      </w:r>
      <w:r w:rsidRPr="009E5B39">
        <w:rPr>
          <w:rFonts w:asciiTheme="majorHAnsi" w:hAnsiTheme="majorHAnsi" w:cstheme="majorHAnsi"/>
          <w:sz w:val="24"/>
          <w:szCs w:val="24"/>
          <w:lang w:val="ro-MD"/>
        </w:rPr>
        <w:t>2</w:t>
      </w:r>
      <w:r w:rsidR="00D87E23" w:rsidRPr="009E5B39">
        <w:rPr>
          <w:rFonts w:asciiTheme="majorHAnsi" w:hAnsiTheme="majorHAnsi" w:cstheme="majorHAnsi"/>
          <w:sz w:val="24"/>
          <w:szCs w:val="24"/>
          <w:lang w:val="ro-MD"/>
        </w:rPr>
        <w:t>5</w:t>
      </w:r>
      <w:r w:rsidRPr="009E5B39">
        <w:rPr>
          <w:rFonts w:asciiTheme="majorHAnsi" w:hAnsiTheme="majorHAnsi" w:cstheme="majorHAnsi"/>
          <w:sz w:val="24"/>
          <w:szCs w:val="24"/>
          <w:lang w:val="ro-MD"/>
        </w:rPr>
        <w:t xml:space="preserve"> mi</w:t>
      </w:r>
      <w:r w:rsidR="00D87E23" w:rsidRPr="009E5B39">
        <w:rPr>
          <w:rFonts w:asciiTheme="majorHAnsi" w:hAnsiTheme="majorHAnsi" w:cstheme="majorHAnsi"/>
          <w:sz w:val="24"/>
          <w:szCs w:val="24"/>
          <w:lang w:val="ro-MD"/>
        </w:rPr>
        <w:t>l</w:t>
      </w:r>
      <w:r w:rsidR="00CE2B2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pentru supravegherea fiecărui obiect separat); </w:t>
      </w:r>
    </w:p>
    <w:p w14:paraId="1C9170D4" w14:textId="1F036572" w:rsidR="00E35985" w:rsidRPr="009E5B39" w:rsidRDefault="00E35985" w:rsidP="00EF4BC3">
      <w:pPr>
        <w:numPr>
          <w:ilvl w:val="0"/>
          <w:numId w:val="57"/>
        </w:numPr>
        <w:spacing w:after="0" w:line="276" w:lineRule="auto"/>
        <w:ind w:left="0" w:firstLine="284"/>
        <w:contextualSpacing/>
        <w:jc w:val="both"/>
        <w:rPr>
          <w:rFonts w:asciiTheme="majorHAnsi" w:hAnsiTheme="majorHAnsi" w:cstheme="majorHAnsi"/>
          <w:b/>
          <w:sz w:val="24"/>
          <w:szCs w:val="24"/>
          <w:lang w:val="ro-MD"/>
        </w:rPr>
      </w:pPr>
      <w:r w:rsidRPr="009E5B39">
        <w:rPr>
          <w:rFonts w:asciiTheme="majorHAnsi" w:hAnsiTheme="majorHAnsi" w:cstheme="majorHAnsi"/>
          <w:i/>
          <w:sz w:val="24"/>
          <w:szCs w:val="24"/>
          <w:lang w:val="ro-MD"/>
        </w:rPr>
        <w:t>Deși serviciul de supraveghere este contractat de la același agent economic</w:t>
      </w:r>
      <w:r w:rsidRPr="009E5B39">
        <w:rPr>
          <w:rFonts w:asciiTheme="majorHAnsi" w:hAnsiTheme="majorHAnsi" w:cstheme="majorHAnsi"/>
          <w:i/>
          <w:sz w:val="24"/>
          <w:szCs w:val="24"/>
          <w:vertAlign w:val="superscript"/>
          <w:lang w:val="ro-MD"/>
        </w:rPr>
        <w:footnoteReference w:id="122"/>
      </w:r>
      <w:r w:rsidRPr="009E5B39">
        <w:rPr>
          <w:rFonts w:asciiTheme="majorHAnsi" w:hAnsiTheme="majorHAnsi" w:cstheme="majorHAnsi"/>
          <w:i/>
          <w:sz w:val="24"/>
          <w:szCs w:val="24"/>
          <w:lang w:val="ro-MD"/>
        </w:rPr>
        <w:t xml:space="preserve">, prețul unitar al serviciului diferă – la </w:t>
      </w:r>
      <w:r w:rsidR="00DE77D8" w:rsidRPr="009E5B39">
        <w:rPr>
          <w:rFonts w:asciiTheme="majorHAnsi" w:hAnsiTheme="majorHAnsi" w:cstheme="majorHAnsi"/>
          <w:i/>
          <w:sz w:val="24"/>
          <w:szCs w:val="24"/>
          <w:lang w:val="ro-MD"/>
        </w:rPr>
        <w:t>P</w:t>
      </w:r>
      <w:r w:rsidRPr="009E5B39">
        <w:rPr>
          <w:rFonts w:asciiTheme="majorHAnsi" w:hAnsiTheme="majorHAnsi" w:cstheme="majorHAnsi"/>
          <w:i/>
          <w:sz w:val="24"/>
          <w:szCs w:val="24"/>
          <w:lang w:val="ro-MD"/>
        </w:rPr>
        <w:t>retura</w:t>
      </w:r>
      <w:r w:rsidR="00DE77D8" w:rsidRPr="009E5B39">
        <w:rPr>
          <w:rFonts w:asciiTheme="majorHAnsi" w:hAnsiTheme="majorHAnsi" w:cstheme="majorHAnsi"/>
          <w:i/>
          <w:sz w:val="24"/>
          <w:szCs w:val="24"/>
          <w:lang w:val="ro-MD"/>
        </w:rPr>
        <w:t xml:space="preserve"> sect.</w:t>
      </w:r>
      <w:r w:rsidRPr="009E5B39">
        <w:rPr>
          <w:rFonts w:asciiTheme="majorHAnsi" w:hAnsiTheme="majorHAnsi" w:cstheme="majorHAnsi"/>
          <w:i/>
          <w:sz w:val="24"/>
          <w:szCs w:val="24"/>
          <w:lang w:val="ro-MD"/>
        </w:rPr>
        <w:t xml:space="preserve"> Botanica prețul per unitate de supraveghere (cameră video) în anul 2021 a constituit 246 lei, iar la </w:t>
      </w:r>
      <w:r w:rsidR="00DE77D8" w:rsidRPr="009E5B39">
        <w:rPr>
          <w:rFonts w:asciiTheme="majorHAnsi" w:hAnsiTheme="majorHAnsi" w:cstheme="majorHAnsi"/>
          <w:i/>
          <w:sz w:val="24"/>
          <w:szCs w:val="24"/>
          <w:lang w:val="ro-MD"/>
        </w:rPr>
        <w:t>P</w:t>
      </w:r>
      <w:r w:rsidRPr="009E5B39">
        <w:rPr>
          <w:rFonts w:asciiTheme="majorHAnsi" w:hAnsiTheme="majorHAnsi" w:cstheme="majorHAnsi"/>
          <w:i/>
          <w:sz w:val="24"/>
          <w:szCs w:val="24"/>
          <w:lang w:val="ro-MD"/>
        </w:rPr>
        <w:t xml:space="preserve">retura </w:t>
      </w:r>
      <w:r w:rsidR="00DE77D8" w:rsidRPr="009E5B39">
        <w:rPr>
          <w:rFonts w:asciiTheme="majorHAnsi" w:hAnsiTheme="majorHAnsi" w:cstheme="majorHAnsi"/>
          <w:i/>
          <w:sz w:val="24"/>
          <w:szCs w:val="24"/>
          <w:lang w:val="ro-MD"/>
        </w:rPr>
        <w:t xml:space="preserve">sect. </w:t>
      </w:r>
      <w:r w:rsidRPr="009E5B39">
        <w:rPr>
          <w:rFonts w:asciiTheme="majorHAnsi" w:hAnsiTheme="majorHAnsi" w:cstheme="majorHAnsi"/>
          <w:i/>
          <w:sz w:val="24"/>
          <w:szCs w:val="24"/>
          <w:lang w:val="ro-MD"/>
        </w:rPr>
        <w:t xml:space="preserve">Rîșcani – 186 lei;  </w:t>
      </w:r>
    </w:p>
    <w:p w14:paraId="12A22C2A" w14:textId="5AC5410F" w:rsidR="00E35985" w:rsidRPr="009E5B39" w:rsidRDefault="00E35985" w:rsidP="00EF4BC3">
      <w:pPr>
        <w:numPr>
          <w:ilvl w:val="0"/>
          <w:numId w:val="57"/>
        </w:numPr>
        <w:spacing w:after="0" w:line="276" w:lineRule="auto"/>
        <w:ind w:left="0" w:firstLine="284"/>
        <w:contextualSpacing/>
        <w:jc w:val="both"/>
        <w:rPr>
          <w:rFonts w:asciiTheme="majorHAnsi" w:hAnsiTheme="majorHAnsi" w:cstheme="majorHAnsi"/>
          <w:b/>
          <w:sz w:val="24"/>
          <w:szCs w:val="24"/>
          <w:lang w:val="ro-MD"/>
        </w:rPr>
      </w:pPr>
      <w:r w:rsidRPr="009E5B39">
        <w:rPr>
          <w:rFonts w:asciiTheme="majorHAnsi" w:hAnsiTheme="majorHAnsi" w:cstheme="majorHAnsi"/>
          <w:i/>
          <w:sz w:val="24"/>
          <w:szCs w:val="24"/>
          <w:lang w:val="ro-MD"/>
        </w:rPr>
        <w:t>Nu este clar cine decide asupra numărului de camere video necesare pentru monitorizarea obiectivului, pentru unele acesta variază de la perioadă la perioadă</w:t>
      </w:r>
      <w:r w:rsidR="00DE77D8" w:rsidRPr="009E5B39">
        <w:rPr>
          <w:rFonts w:asciiTheme="majorHAnsi" w:hAnsiTheme="majorHAnsi" w:cstheme="majorHAnsi"/>
          <w:i/>
          <w:sz w:val="24"/>
          <w:szCs w:val="24"/>
          <w:lang w:val="ro-MD"/>
        </w:rPr>
        <w:t>. C</w:t>
      </w:r>
      <w:r w:rsidRPr="009E5B39">
        <w:rPr>
          <w:rFonts w:asciiTheme="majorHAnsi" w:hAnsiTheme="majorHAnsi" w:cstheme="majorHAnsi"/>
          <w:i/>
          <w:sz w:val="24"/>
          <w:szCs w:val="24"/>
          <w:lang w:val="ro-MD"/>
        </w:rPr>
        <w:t xml:space="preserve">a exemplu: str. Teilor </w:t>
      </w:r>
      <w:r w:rsidR="00DE77D8"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în lun</w:t>
      </w:r>
      <w:r w:rsidR="00DE77D8" w:rsidRPr="009E5B39">
        <w:rPr>
          <w:rFonts w:asciiTheme="majorHAnsi" w:hAnsiTheme="majorHAnsi" w:cstheme="majorHAnsi"/>
          <w:i/>
          <w:sz w:val="24"/>
          <w:szCs w:val="24"/>
          <w:lang w:val="ro-MD"/>
        </w:rPr>
        <w:t>ile</w:t>
      </w:r>
      <w:r w:rsidRPr="009E5B39">
        <w:rPr>
          <w:rFonts w:asciiTheme="majorHAnsi" w:hAnsiTheme="majorHAnsi" w:cstheme="majorHAnsi"/>
          <w:i/>
          <w:sz w:val="24"/>
          <w:szCs w:val="24"/>
          <w:lang w:val="ro-MD"/>
        </w:rPr>
        <w:t xml:space="preserve"> august și septembrie 2021 – 15 camere, începând cu luna octombrie - 20 camere; subterana din str. Decebal</w:t>
      </w:r>
      <w:r w:rsidR="00DE77D8"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perioada septembrie-noiembrie </w:t>
      </w:r>
      <w:r w:rsidR="00DE77D8" w:rsidRPr="009E5B39">
        <w:rPr>
          <w:rFonts w:asciiTheme="majorHAnsi" w:hAnsiTheme="majorHAnsi" w:cstheme="majorHAnsi"/>
          <w:i/>
          <w:sz w:val="24"/>
          <w:szCs w:val="24"/>
          <w:lang w:val="ro-MD"/>
        </w:rPr>
        <w:t xml:space="preserve">- </w:t>
      </w:r>
      <w:r w:rsidRPr="009E5B39">
        <w:rPr>
          <w:rFonts w:asciiTheme="majorHAnsi" w:hAnsiTheme="majorHAnsi" w:cstheme="majorHAnsi"/>
          <w:i/>
          <w:sz w:val="24"/>
          <w:szCs w:val="24"/>
          <w:lang w:val="ro-MD"/>
        </w:rPr>
        <w:t xml:space="preserve">16 camere, din decembrie 2021 – 22 camere, etc.; </w:t>
      </w:r>
    </w:p>
    <w:p w14:paraId="7285151B" w14:textId="2FB8A4C8" w:rsidR="00E35985" w:rsidRPr="009E5B39" w:rsidRDefault="00E35985" w:rsidP="00EF4BC3">
      <w:pPr>
        <w:numPr>
          <w:ilvl w:val="0"/>
          <w:numId w:val="57"/>
        </w:numPr>
        <w:spacing w:after="0" w:line="276" w:lineRule="auto"/>
        <w:ind w:left="0" w:firstLine="284"/>
        <w:contextualSpacing/>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Contractele includ clauze privind aplicarea plăților pecuniare în cazul rezilierii/neprelungirii contractului fără motive, neindic</w:t>
      </w:r>
      <w:r w:rsidR="00DE77D8" w:rsidRPr="009E5B39">
        <w:rPr>
          <w:rFonts w:asciiTheme="majorHAnsi" w:hAnsiTheme="majorHAnsi" w:cstheme="majorHAnsi"/>
          <w:i/>
          <w:sz w:val="24"/>
          <w:szCs w:val="24"/>
          <w:lang w:val="ro-MD"/>
        </w:rPr>
        <w:t>ându-se</w:t>
      </w:r>
      <w:r w:rsidRPr="009E5B39">
        <w:rPr>
          <w:rFonts w:asciiTheme="majorHAnsi" w:hAnsiTheme="majorHAnsi" w:cstheme="majorHAnsi"/>
          <w:i/>
          <w:sz w:val="24"/>
          <w:szCs w:val="24"/>
          <w:lang w:val="ro-MD"/>
        </w:rPr>
        <w:t xml:space="preserve"> care ar fi acestea. În caz de reziliere a contractului</w:t>
      </w:r>
      <w:r w:rsidR="00DE77D8"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pretura urmează să achite compensarea cheltuielilor pentru infrastructura și lansarea proiectului, însă nu este indicat dacă ulterior infrastructura va fi transmisă în proprietate preturii. Astfel, pretura </w:t>
      </w:r>
      <w:r w:rsidR="00DE77D8" w:rsidRPr="009E5B39">
        <w:rPr>
          <w:rFonts w:asciiTheme="majorHAnsi" w:hAnsiTheme="majorHAnsi" w:cstheme="majorHAnsi"/>
          <w:i/>
          <w:sz w:val="24"/>
          <w:szCs w:val="24"/>
          <w:lang w:val="ro-MD"/>
        </w:rPr>
        <w:t>este</w:t>
      </w:r>
      <w:r w:rsidRPr="009E5B39">
        <w:rPr>
          <w:rFonts w:asciiTheme="majorHAnsi" w:hAnsiTheme="majorHAnsi" w:cstheme="majorHAnsi"/>
          <w:i/>
          <w:sz w:val="24"/>
          <w:szCs w:val="24"/>
          <w:lang w:val="ro-MD"/>
        </w:rPr>
        <w:t xml:space="preserve"> obligată să contracteze </w:t>
      </w:r>
      <w:r w:rsidR="00DE77D8" w:rsidRPr="009E5B39">
        <w:rPr>
          <w:rFonts w:asciiTheme="majorHAnsi" w:hAnsiTheme="majorHAnsi" w:cstheme="majorHAnsi"/>
          <w:i/>
          <w:sz w:val="24"/>
          <w:szCs w:val="24"/>
          <w:lang w:val="ro-MD"/>
        </w:rPr>
        <w:t xml:space="preserve">anual </w:t>
      </w:r>
      <w:r w:rsidRPr="009E5B39">
        <w:rPr>
          <w:rFonts w:asciiTheme="majorHAnsi" w:hAnsiTheme="majorHAnsi" w:cstheme="majorHAnsi"/>
          <w:i/>
          <w:sz w:val="24"/>
          <w:szCs w:val="24"/>
          <w:lang w:val="ro-MD"/>
        </w:rPr>
        <w:t>serviciul de supraveghere dintr-o singură sursă - de la agentul economic în cauză, iar în cazul în care infrastructura va fi transmisă preturii</w:t>
      </w:r>
      <w:r w:rsidR="00D80F33"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se creează riscul  că nu va fi posibil</w:t>
      </w:r>
      <w:r w:rsidR="00D80F33" w:rsidRPr="009E5B39">
        <w:rPr>
          <w:rFonts w:asciiTheme="majorHAnsi" w:hAnsiTheme="majorHAnsi" w:cstheme="majorHAnsi"/>
          <w:i/>
          <w:sz w:val="24"/>
          <w:szCs w:val="24"/>
          <w:lang w:val="ro-MD"/>
        </w:rPr>
        <w:t>ă</w:t>
      </w:r>
      <w:r w:rsidRPr="009E5B39">
        <w:rPr>
          <w:rFonts w:asciiTheme="majorHAnsi" w:hAnsiTheme="majorHAnsi" w:cstheme="majorHAnsi"/>
          <w:i/>
          <w:sz w:val="24"/>
          <w:szCs w:val="24"/>
          <w:lang w:val="ro-MD"/>
        </w:rPr>
        <w:t xml:space="preserve"> contractarea serviciului de supraveghere de la alt agent economic</w:t>
      </w:r>
      <w:r w:rsidR="00D80F33"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pe motivul incompatibilității acesteia.  </w:t>
      </w:r>
    </w:p>
    <w:p w14:paraId="7687A271" w14:textId="4B57AD08" w:rsidR="00E35985" w:rsidRPr="009E5B39" w:rsidRDefault="00E35985" w:rsidP="00FC30EB">
      <w:pPr>
        <w:spacing w:after="0" w:line="276" w:lineRule="auto"/>
        <w:jc w:val="both"/>
        <w:rPr>
          <w:rFonts w:asciiTheme="majorHAnsi" w:hAnsiTheme="majorHAnsi" w:cstheme="majorHAnsi"/>
          <w:b/>
          <w:sz w:val="24"/>
          <w:szCs w:val="24"/>
          <w:lang w:val="ro-MD"/>
        </w:rPr>
      </w:pPr>
      <w:r w:rsidRPr="009E5B39">
        <w:rPr>
          <w:rFonts w:asciiTheme="majorHAnsi" w:hAnsiTheme="majorHAnsi" w:cstheme="majorHAnsi"/>
          <w:b/>
          <w:i/>
          <w:sz w:val="24"/>
          <w:szCs w:val="24"/>
          <w:lang w:val="ro-MD"/>
        </w:rPr>
        <w:t>4.2.1</w:t>
      </w:r>
      <w:r w:rsidR="00F91BD6" w:rsidRPr="009E5B39">
        <w:rPr>
          <w:rFonts w:asciiTheme="majorHAnsi" w:hAnsiTheme="majorHAnsi" w:cstheme="majorHAnsi"/>
          <w:b/>
          <w:i/>
          <w:sz w:val="24"/>
          <w:szCs w:val="24"/>
          <w:lang w:val="ro-MD"/>
        </w:rPr>
        <w:t>7</w:t>
      </w:r>
      <w:r w:rsidRPr="009E5B39">
        <w:rPr>
          <w:rFonts w:asciiTheme="majorHAnsi" w:hAnsiTheme="majorHAnsi" w:cstheme="majorHAnsi"/>
          <w:b/>
          <w:i/>
          <w:sz w:val="24"/>
          <w:szCs w:val="24"/>
          <w:lang w:val="ro-MD"/>
        </w:rPr>
        <w:t xml:space="preserve">.  </w:t>
      </w:r>
      <w:r w:rsidRPr="009E5B39">
        <w:rPr>
          <w:rFonts w:asciiTheme="majorHAnsi" w:eastAsia="Calibri" w:hAnsiTheme="majorHAnsi" w:cstheme="majorHAnsi"/>
          <w:b/>
          <w:bCs/>
          <w:i/>
          <w:sz w:val="24"/>
          <w:szCs w:val="24"/>
          <w:lang w:val="ro-MD"/>
        </w:rPr>
        <w:t>Evacuarea/demolarea construcțiilor neautorizate din mun. Chișinău se efectu</w:t>
      </w:r>
      <w:r w:rsidR="00D80F33" w:rsidRPr="009E5B39">
        <w:rPr>
          <w:rFonts w:asciiTheme="majorHAnsi" w:eastAsia="Calibri" w:hAnsiTheme="majorHAnsi" w:cstheme="majorHAnsi"/>
          <w:b/>
          <w:bCs/>
          <w:i/>
          <w:sz w:val="24"/>
          <w:szCs w:val="24"/>
          <w:lang w:val="ro-MD"/>
        </w:rPr>
        <w:t>e</w:t>
      </w:r>
      <w:r w:rsidRPr="009E5B39">
        <w:rPr>
          <w:rFonts w:asciiTheme="majorHAnsi" w:eastAsia="Calibri" w:hAnsiTheme="majorHAnsi" w:cstheme="majorHAnsi"/>
          <w:b/>
          <w:bCs/>
          <w:i/>
          <w:sz w:val="24"/>
          <w:szCs w:val="24"/>
          <w:lang w:val="ro-MD"/>
        </w:rPr>
        <w:t>ază cu abateri de la prevederile cadrului normativ, ceea ce creează</w:t>
      </w:r>
      <w:r w:rsidRPr="009E5B39">
        <w:rPr>
          <w:rFonts w:asciiTheme="majorHAnsi" w:eastAsia="Calibri" w:hAnsiTheme="majorHAnsi" w:cstheme="majorHAnsi"/>
          <w:bCs/>
          <w:i/>
          <w:sz w:val="24"/>
          <w:szCs w:val="24"/>
          <w:lang w:val="ro-MD"/>
        </w:rPr>
        <w:t xml:space="preserve"> </w:t>
      </w:r>
      <w:r w:rsidRPr="009E5B39">
        <w:rPr>
          <w:rFonts w:asciiTheme="majorHAnsi" w:eastAsia="Calibri" w:hAnsiTheme="majorHAnsi" w:cstheme="majorHAnsi"/>
          <w:b/>
          <w:bCs/>
          <w:i/>
          <w:sz w:val="24"/>
          <w:szCs w:val="24"/>
          <w:lang w:val="ro-MD"/>
        </w:rPr>
        <w:t>premise pentru atacarea în instanță a acestor acțiuni de către proprietarii bunurilor evacuate/demolate, precum și generează cheltuieli nerecuperabile din bugetul municipal</w:t>
      </w:r>
      <w:r w:rsidR="00D80F33" w:rsidRPr="009E5B39">
        <w:rPr>
          <w:rFonts w:asciiTheme="majorHAnsi" w:eastAsia="Calibri" w:hAnsiTheme="majorHAnsi" w:cstheme="majorHAnsi"/>
          <w:b/>
          <w:bCs/>
          <w:i/>
          <w:sz w:val="24"/>
          <w:szCs w:val="24"/>
          <w:lang w:val="ro-MD"/>
        </w:rPr>
        <w:t>,</w:t>
      </w:r>
      <w:r w:rsidRPr="009E5B39">
        <w:rPr>
          <w:rFonts w:asciiTheme="majorHAnsi" w:eastAsia="Calibri" w:hAnsiTheme="majorHAnsi" w:cstheme="majorHAnsi"/>
          <w:b/>
          <w:bCs/>
          <w:i/>
          <w:sz w:val="24"/>
          <w:szCs w:val="24"/>
          <w:lang w:val="ro-MD"/>
        </w:rPr>
        <w:t xml:space="preserve"> care în perioada </w:t>
      </w:r>
      <w:r w:rsidR="00D80F33" w:rsidRPr="009E5B39">
        <w:rPr>
          <w:rFonts w:asciiTheme="majorHAnsi" w:eastAsia="Calibri" w:hAnsiTheme="majorHAnsi" w:cstheme="majorHAnsi"/>
          <w:b/>
          <w:bCs/>
          <w:i/>
          <w:sz w:val="24"/>
          <w:szCs w:val="24"/>
          <w:lang w:val="ro-MD"/>
        </w:rPr>
        <w:t xml:space="preserve">anilor </w:t>
      </w:r>
      <w:r w:rsidRPr="009E5B39">
        <w:rPr>
          <w:rFonts w:asciiTheme="majorHAnsi" w:eastAsia="Calibri" w:hAnsiTheme="majorHAnsi" w:cstheme="majorHAnsi"/>
          <w:b/>
          <w:bCs/>
          <w:i/>
          <w:sz w:val="24"/>
          <w:szCs w:val="24"/>
          <w:lang w:val="ro-MD"/>
        </w:rPr>
        <w:t xml:space="preserve">2018-2020 au însumat circa </w:t>
      </w:r>
      <w:r w:rsidR="00FE6034" w:rsidRPr="009E5B39">
        <w:rPr>
          <w:rFonts w:asciiTheme="majorHAnsi" w:eastAsia="Calibri" w:hAnsiTheme="majorHAnsi" w:cstheme="majorHAnsi"/>
          <w:b/>
          <w:bCs/>
          <w:i/>
          <w:sz w:val="24"/>
          <w:szCs w:val="24"/>
          <w:lang w:val="ro-MD"/>
        </w:rPr>
        <w:t>6</w:t>
      </w:r>
      <w:r w:rsidR="00D87E23" w:rsidRPr="009E5B39">
        <w:rPr>
          <w:rFonts w:asciiTheme="majorHAnsi" w:eastAsia="Calibri" w:hAnsiTheme="majorHAnsi" w:cstheme="majorHAnsi"/>
          <w:b/>
          <w:bCs/>
          <w:i/>
          <w:sz w:val="24"/>
          <w:szCs w:val="24"/>
          <w:lang w:val="ro-MD"/>
        </w:rPr>
        <w:t>,</w:t>
      </w:r>
      <w:r w:rsidR="00FE6034" w:rsidRPr="009E5B39">
        <w:rPr>
          <w:rFonts w:asciiTheme="majorHAnsi" w:eastAsia="Calibri" w:hAnsiTheme="majorHAnsi" w:cstheme="majorHAnsi"/>
          <w:b/>
          <w:bCs/>
          <w:i/>
          <w:sz w:val="24"/>
          <w:szCs w:val="24"/>
          <w:lang w:val="ro-MD"/>
        </w:rPr>
        <w:t xml:space="preserve">36 </w:t>
      </w:r>
      <w:r w:rsidRPr="009E5B39">
        <w:rPr>
          <w:rFonts w:asciiTheme="majorHAnsi" w:eastAsia="Calibri" w:hAnsiTheme="majorHAnsi" w:cstheme="majorHAnsi"/>
          <w:b/>
          <w:bCs/>
          <w:i/>
          <w:sz w:val="24"/>
          <w:szCs w:val="24"/>
          <w:lang w:val="ro-MD"/>
        </w:rPr>
        <w:t>mi</w:t>
      </w:r>
      <w:r w:rsidR="00D87E23" w:rsidRPr="009E5B39">
        <w:rPr>
          <w:rFonts w:asciiTheme="majorHAnsi" w:eastAsia="Calibri" w:hAnsiTheme="majorHAnsi" w:cstheme="majorHAnsi"/>
          <w:b/>
          <w:bCs/>
          <w:i/>
          <w:sz w:val="24"/>
          <w:szCs w:val="24"/>
          <w:lang w:val="ro-MD"/>
        </w:rPr>
        <w:t>l</w:t>
      </w:r>
      <w:r w:rsidR="00D80F33" w:rsidRPr="009E5B39">
        <w:rPr>
          <w:rFonts w:asciiTheme="majorHAnsi" w:eastAsia="Calibri" w:hAnsiTheme="majorHAnsi" w:cstheme="majorHAnsi"/>
          <w:b/>
          <w:bCs/>
          <w:i/>
          <w:sz w:val="24"/>
          <w:szCs w:val="24"/>
          <w:lang w:val="ro-MD"/>
        </w:rPr>
        <w:t>.</w:t>
      </w:r>
      <w:r w:rsidRPr="009E5B39">
        <w:rPr>
          <w:rFonts w:asciiTheme="majorHAnsi" w:eastAsia="Calibri" w:hAnsiTheme="majorHAnsi" w:cstheme="majorHAnsi"/>
          <w:b/>
          <w:bCs/>
          <w:i/>
          <w:sz w:val="24"/>
          <w:szCs w:val="24"/>
          <w:lang w:val="ro-MD"/>
        </w:rPr>
        <w:t xml:space="preserve"> lei, sau </w:t>
      </w:r>
      <w:r w:rsidR="00FE6034" w:rsidRPr="009E5B39">
        <w:rPr>
          <w:rFonts w:asciiTheme="majorHAnsi" w:eastAsia="Calibri" w:hAnsiTheme="majorHAnsi" w:cstheme="majorHAnsi"/>
          <w:b/>
          <w:bCs/>
          <w:i/>
          <w:sz w:val="24"/>
          <w:szCs w:val="24"/>
          <w:lang w:val="ro-MD"/>
        </w:rPr>
        <w:t xml:space="preserve">65,75 </w:t>
      </w:r>
      <w:r w:rsidRPr="009E5B39">
        <w:rPr>
          <w:rFonts w:asciiTheme="majorHAnsi" w:eastAsia="Calibri" w:hAnsiTheme="majorHAnsi" w:cstheme="majorHAnsi"/>
          <w:b/>
          <w:bCs/>
          <w:i/>
          <w:sz w:val="24"/>
          <w:szCs w:val="24"/>
          <w:lang w:val="ro-MD"/>
        </w:rPr>
        <w:t xml:space="preserve">% din suma cheltuielilor suportate din bugetul municipal. </w:t>
      </w:r>
      <w:r w:rsidRPr="009E5B39">
        <w:rPr>
          <w:rFonts w:asciiTheme="majorHAnsi" w:eastAsia="Times New Roman" w:hAnsiTheme="majorHAnsi" w:cstheme="majorHAnsi"/>
          <w:b/>
          <w:i/>
          <w:sz w:val="24"/>
          <w:szCs w:val="24"/>
          <w:lang w:val="ro-MD"/>
        </w:rPr>
        <w:t>APL nu dispune de proceduri interne aferente procesului de evacuare/demolare/evidență/păstrare/recuperare a bunului și cheltuielilor suportate, precum și nu a stabilit care sunt acțiunile agentului constatator, în cazul depistării construcțiilor neautorizate abandonate.</w:t>
      </w:r>
      <w:r w:rsidRPr="009E5B39">
        <w:rPr>
          <w:rFonts w:asciiTheme="majorHAnsi" w:eastAsia="Times New Roman" w:hAnsiTheme="majorHAnsi" w:cstheme="majorHAnsi"/>
          <w:b/>
          <w:sz w:val="24"/>
          <w:szCs w:val="24"/>
          <w:lang w:val="ro-MD"/>
        </w:rPr>
        <w:t xml:space="preserve"> </w:t>
      </w:r>
      <w:r w:rsidRPr="009E5B39">
        <w:rPr>
          <w:rFonts w:asciiTheme="majorHAnsi" w:eastAsia="Calibri" w:hAnsiTheme="majorHAnsi" w:cstheme="majorHAnsi"/>
          <w:bCs/>
          <w:sz w:val="24"/>
          <w:szCs w:val="24"/>
          <w:lang w:val="ro-MD"/>
        </w:rPr>
        <w:t>Astfel,</w:t>
      </w:r>
    </w:p>
    <w:p w14:paraId="4C6FD025" w14:textId="12481E68" w:rsidR="00E35985" w:rsidRPr="009E5B39" w:rsidRDefault="00E35985" w:rsidP="00EF4BC3">
      <w:pPr>
        <w:spacing w:after="0" w:line="276" w:lineRule="auto"/>
        <w:ind w:firstLine="708"/>
        <w:jc w:val="both"/>
        <w:rPr>
          <w:rFonts w:asciiTheme="majorHAnsi" w:eastAsia="Calibri" w:hAnsiTheme="majorHAnsi" w:cstheme="majorHAnsi"/>
          <w:sz w:val="24"/>
          <w:szCs w:val="24"/>
          <w:lang w:val="ro-MD"/>
        </w:rPr>
      </w:pPr>
      <w:r w:rsidRPr="009E5B39">
        <w:rPr>
          <w:rFonts w:asciiTheme="majorHAnsi" w:eastAsia="Calibri" w:hAnsiTheme="majorHAnsi" w:cstheme="majorHAnsi"/>
          <w:bCs/>
          <w:sz w:val="24"/>
          <w:szCs w:val="24"/>
          <w:lang w:val="ro-MD"/>
        </w:rPr>
        <w:t>Codul contravențional al Republicii Moldova</w:t>
      </w:r>
      <w:r w:rsidRPr="009E5B39">
        <w:rPr>
          <w:rFonts w:asciiTheme="majorHAnsi" w:eastAsia="Calibri" w:hAnsiTheme="majorHAnsi" w:cstheme="majorHAnsi"/>
          <w:bCs/>
          <w:sz w:val="24"/>
          <w:szCs w:val="24"/>
          <w:vertAlign w:val="superscript"/>
          <w:lang w:val="ro-MD"/>
        </w:rPr>
        <w:footnoteReference w:id="123"/>
      </w:r>
      <w:r w:rsidRPr="009E5B39">
        <w:rPr>
          <w:rFonts w:asciiTheme="majorHAnsi" w:eastAsia="Calibri" w:hAnsiTheme="majorHAnsi" w:cstheme="majorHAnsi"/>
          <w:bCs/>
          <w:sz w:val="24"/>
          <w:szCs w:val="24"/>
          <w:lang w:val="ro-MD"/>
        </w:rPr>
        <w:t xml:space="preserve"> prevede că pentru evacuarea unei unități de comerț este necesar</w:t>
      </w:r>
      <w:r w:rsidR="00D80F33" w:rsidRPr="009E5B39">
        <w:rPr>
          <w:rFonts w:asciiTheme="majorHAnsi" w:eastAsia="Calibri" w:hAnsiTheme="majorHAnsi" w:cstheme="majorHAnsi"/>
          <w:bCs/>
          <w:sz w:val="24"/>
          <w:szCs w:val="24"/>
          <w:lang w:val="ro-MD"/>
        </w:rPr>
        <w:t>ă</w:t>
      </w:r>
      <w:r w:rsidRPr="009E5B39">
        <w:rPr>
          <w:rFonts w:asciiTheme="majorHAnsi" w:eastAsia="Calibri" w:hAnsiTheme="majorHAnsi" w:cstheme="majorHAnsi"/>
          <w:bCs/>
          <w:sz w:val="24"/>
          <w:szCs w:val="24"/>
          <w:lang w:val="ro-MD"/>
        </w:rPr>
        <w:t xml:space="preserve"> inițierea procedurii administrative, care pre</w:t>
      </w:r>
      <w:r w:rsidR="00D80F33" w:rsidRPr="009E5B39">
        <w:rPr>
          <w:rFonts w:asciiTheme="majorHAnsi" w:eastAsia="Calibri" w:hAnsiTheme="majorHAnsi" w:cstheme="majorHAnsi"/>
          <w:bCs/>
          <w:sz w:val="24"/>
          <w:szCs w:val="24"/>
          <w:lang w:val="ro-MD"/>
        </w:rPr>
        <w:t>supune</w:t>
      </w:r>
      <w:r w:rsidRPr="009E5B39">
        <w:rPr>
          <w:rFonts w:asciiTheme="majorHAnsi" w:eastAsia="Calibri" w:hAnsiTheme="majorHAnsi" w:cstheme="majorHAnsi"/>
          <w:bCs/>
          <w:sz w:val="24"/>
          <w:szCs w:val="24"/>
          <w:lang w:val="ro-MD"/>
        </w:rPr>
        <w:t xml:space="preserve"> un șir de acțiuni: </w:t>
      </w:r>
      <w:r w:rsidRPr="009E5B39">
        <w:rPr>
          <w:rFonts w:asciiTheme="majorHAnsi" w:eastAsia="Calibri" w:hAnsiTheme="majorHAnsi" w:cstheme="majorHAnsi"/>
          <w:b/>
          <w:bCs/>
          <w:i/>
          <w:sz w:val="24"/>
          <w:szCs w:val="24"/>
          <w:lang w:val="ro-MD"/>
        </w:rPr>
        <w:t>i)</w:t>
      </w:r>
      <w:r w:rsidRPr="009E5B39">
        <w:rPr>
          <w:rFonts w:asciiTheme="majorHAnsi" w:eastAsia="Calibri" w:hAnsiTheme="majorHAnsi" w:cstheme="majorHAnsi"/>
          <w:bCs/>
          <w:sz w:val="24"/>
          <w:szCs w:val="24"/>
          <w:lang w:val="ro-MD"/>
        </w:rPr>
        <w:t xml:space="preserve"> înștiințarea participanților referitor la inițierea procedurii administrative; </w:t>
      </w:r>
      <w:r w:rsidRPr="009E5B39">
        <w:rPr>
          <w:rFonts w:asciiTheme="majorHAnsi" w:eastAsia="Calibri" w:hAnsiTheme="majorHAnsi" w:cstheme="majorHAnsi"/>
          <w:b/>
          <w:bCs/>
          <w:i/>
          <w:sz w:val="24"/>
          <w:szCs w:val="24"/>
          <w:lang w:val="ro-MD"/>
        </w:rPr>
        <w:t>ii)</w:t>
      </w:r>
      <w:r w:rsidRPr="009E5B39">
        <w:rPr>
          <w:rFonts w:asciiTheme="majorHAnsi" w:eastAsia="Calibri" w:hAnsiTheme="majorHAnsi" w:cstheme="majorHAnsi"/>
          <w:bCs/>
          <w:sz w:val="24"/>
          <w:szCs w:val="24"/>
          <w:lang w:val="ro-MD"/>
        </w:rPr>
        <w:t xml:space="preserve"> citarea contrav</w:t>
      </w:r>
      <w:r w:rsidR="00D80F33" w:rsidRPr="009E5B39">
        <w:rPr>
          <w:rFonts w:asciiTheme="majorHAnsi" w:eastAsia="Calibri" w:hAnsiTheme="majorHAnsi" w:cstheme="majorHAnsi"/>
          <w:bCs/>
          <w:sz w:val="24"/>
          <w:szCs w:val="24"/>
          <w:lang w:val="ro-MD"/>
        </w:rPr>
        <w:t>en</w:t>
      </w:r>
      <w:r w:rsidRPr="009E5B39">
        <w:rPr>
          <w:rFonts w:asciiTheme="majorHAnsi" w:eastAsia="Calibri" w:hAnsiTheme="majorHAnsi" w:cstheme="majorHAnsi"/>
          <w:bCs/>
          <w:sz w:val="24"/>
          <w:szCs w:val="24"/>
          <w:lang w:val="ro-MD"/>
        </w:rPr>
        <w:t xml:space="preserve">ientului; </w:t>
      </w:r>
      <w:r w:rsidRPr="009E5B39">
        <w:rPr>
          <w:rFonts w:asciiTheme="majorHAnsi" w:eastAsia="Calibri" w:hAnsiTheme="majorHAnsi" w:cstheme="majorHAnsi"/>
          <w:b/>
          <w:bCs/>
          <w:i/>
          <w:sz w:val="24"/>
          <w:szCs w:val="24"/>
          <w:lang w:val="ro-MD"/>
        </w:rPr>
        <w:t>iii)</w:t>
      </w:r>
      <w:r w:rsidRPr="009E5B39">
        <w:rPr>
          <w:rFonts w:asciiTheme="majorHAnsi" w:eastAsia="Calibri" w:hAnsiTheme="majorHAnsi" w:cstheme="majorHAnsi"/>
          <w:bCs/>
          <w:sz w:val="24"/>
          <w:szCs w:val="24"/>
          <w:lang w:val="ro-MD"/>
        </w:rPr>
        <w:t xml:space="preserve"> întocmirea procesului</w:t>
      </w:r>
      <w:r w:rsidR="00D80F33" w:rsidRPr="009E5B39">
        <w:rPr>
          <w:rFonts w:asciiTheme="majorHAnsi" w:eastAsia="Calibri" w:hAnsiTheme="majorHAnsi" w:cstheme="majorHAnsi"/>
          <w:bCs/>
          <w:sz w:val="24"/>
          <w:szCs w:val="24"/>
          <w:lang w:val="ro-MD"/>
        </w:rPr>
        <w:t>-</w:t>
      </w:r>
      <w:r w:rsidRPr="009E5B39">
        <w:rPr>
          <w:rFonts w:asciiTheme="majorHAnsi" w:eastAsia="Calibri" w:hAnsiTheme="majorHAnsi" w:cstheme="majorHAnsi"/>
          <w:bCs/>
          <w:sz w:val="24"/>
          <w:szCs w:val="24"/>
          <w:lang w:val="ro-MD"/>
        </w:rPr>
        <w:t xml:space="preserve">verbal al ședinței administrative; </w:t>
      </w:r>
      <w:r w:rsidRPr="009E5B39">
        <w:rPr>
          <w:rFonts w:asciiTheme="majorHAnsi" w:eastAsia="Calibri" w:hAnsiTheme="majorHAnsi" w:cstheme="majorHAnsi"/>
          <w:b/>
          <w:bCs/>
          <w:i/>
          <w:sz w:val="24"/>
          <w:szCs w:val="24"/>
          <w:lang w:val="ro-MD"/>
        </w:rPr>
        <w:t xml:space="preserve">iv) </w:t>
      </w:r>
      <w:r w:rsidRPr="009E5B39">
        <w:rPr>
          <w:rFonts w:asciiTheme="majorHAnsi" w:eastAsia="Calibri" w:hAnsiTheme="majorHAnsi" w:cstheme="majorHAnsi"/>
          <w:bCs/>
          <w:sz w:val="24"/>
          <w:szCs w:val="24"/>
          <w:lang w:val="ro-MD"/>
        </w:rPr>
        <w:t>cercetarea la fața locului, etc.</w:t>
      </w:r>
      <w:r w:rsidR="00B46B6E" w:rsidRPr="009E5B39">
        <w:rPr>
          <w:rFonts w:asciiTheme="majorHAnsi" w:eastAsia="Calibri" w:hAnsiTheme="majorHAnsi" w:cstheme="majorHAnsi"/>
          <w:bCs/>
          <w:sz w:val="24"/>
          <w:szCs w:val="24"/>
          <w:lang w:val="ro-MD"/>
        </w:rPr>
        <w:t>, î</w:t>
      </w:r>
      <w:r w:rsidRPr="009E5B39">
        <w:rPr>
          <w:rFonts w:asciiTheme="majorHAnsi" w:eastAsia="Calibri" w:hAnsiTheme="majorHAnsi" w:cstheme="majorHAnsi"/>
          <w:bCs/>
          <w:sz w:val="24"/>
          <w:szCs w:val="24"/>
          <w:lang w:val="ro-MD"/>
        </w:rPr>
        <w:t>nsă în mun. Chișinău demolarea construcțiilor neautorizate se efectuează în baza Dispoziți</w:t>
      </w:r>
      <w:r w:rsidR="00B46B6E" w:rsidRPr="009E5B39">
        <w:rPr>
          <w:rFonts w:asciiTheme="majorHAnsi" w:eastAsia="Calibri" w:hAnsiTheme="majorHAnsi" w:cstheme="majorHAnsi"/>
          <w:bCs/>
          <w:sz w:val="24"/>
          <w:szCs w:val="24"/>
          <w:lang w:val="ro-MD"/>
        </w:rPr>
        <w:t>ilor</w:t>
      </w:r>
      <w:r w:rsidRPr="009E5B39">
        <w:rPr>
          <w:rFonts w:asciiTheme="majorHAnsi" w:eastAsia="Calibri" w:hAnsiTheme="majorHAnsi" w:cstheme="majorHAnsi"/>
          <w:bCs/>
          <w:sz w:val="24"/>
          <w:szCs w:val="24"/>
          <w:lang w:val="ro-MD"/>
        </w:rPr>
        <w:t xml:space="preserve"> </w:t>
      </w:r>
      <w:r w:rsidR="00D80F33" w:rsidRPr="009E5B39">
        <w:rPr>
          <w:rFonts w:asciiTheme="majorHAnsi" w:eastAsia="Calibri" w:hAnsiTheme="majorHAnsi" w:cstheme="majorHAnsi"/>
          <w:bCs/>
          <w:sz w:val="24"/>
          <w:szCs w:val="24"/>
          <w:lang w:val="ro-MD"/>
        </w:rPr>
        <w:t>p</w:t>
      </w:r>
      <w:r w:rsidRPr="009E5B39">
        <w:rPr>
          <w:rFonts w:asciiTheme="majorHAnsi" w:eastAsia="Calibri" w:hAnsiTheme="majorHAnsi" w:cstheme="majorHAnsi"/>
          <w:bCs/>
          <w:sz w:val="24"/>
          <w:szCs w:val="24"/>
          <w:lang w:val="ro-MD"/>
        </w:rPr>
        <w:t>retorilor</w:t>
      </w:r>
      <w:r w:rsidR="00375A8D" w:rsidRPr="009E5B39">
        <w:rPr>
          <w:rFonts w:asciiTheme="majorHAnsi" w:eastAsia="Calibri" w:hAnsiTheme="majorHAnsi" w:cstheme="majorHAnsi"/>
          <w:bCs/>
          <w:sz w:val="24"/>
          <w:szCs w:val="24"/>
          <w:lang w:val="ro-MD"/>
        </w:rPr>
        <w:t xml:space="preserve"> </w:t>
      </w:r>
      <w:r w:rsidRPr="009E5B39">
        <w:rPr>
          <w:rFonts w:asciiTheme="majorHAnsi" w:eastAsia="Calibri" w:hAnsiTheme="majorHAnsi" w:cstheme="majorHAnsi"/>
          <w:bCs/>
          <w:sz w:val="24"/>
          <w:szCs w:val="24"/>
          <w:lang w:val="ro-MD"/>
        </w:rPr>
        <w:t>sectoare</w:t>
      </w:r>
      <w:r w:rsidR="00375A8D" w:rsidRPr="009E5B39">
        <w:rPr>
          <w:rFonts w:asciiTheme="majorHAnsi" w:eastAsia="Calibri" w:hAnsiTheme="majorHAnsi" w:cstheme="majorHAnsi"/>
          <w:bCs/>
          <w:sz w:val="24"/>
          <w:szCs w:val="24"/>
          <w:lang w:val="ro-MD"/>
        </w:rPr>
        <w:t>lor</w:t>
      </w:r>
      <w:r w:rsidRPr="009E5B39">
        <w:rPr>
          <w:rFonts w:asciiTheme="majorHAnsi" w:eastAsia="Calibri" w:hAnsiTheme="majorHAnsi" w:cstheme="majorHAnsi"/>
          <w:bCs/>
          <w:sz w:val="24"/>
          <w:szCs w:val="24"/>
          <w:lang w:val="ro-MD"/>
        </w:rPr>
        <w:t xml:space="preserve">, fără a </w:t>
      </w:r>
      <w:r w:rsidR="00B46B6E" w:rsidRPr="009E5B39">
        <w:rPr>
          <w:rFonts w:asciiTheme="majorHAnsi" w:eastAsia="Calibri" w:hAnsiTheme="majorHAnsi" w:cstheme="majorHAnsi"/>
          <w:bCs/>
          <w:sz w:val="24"/>
          <w:szCs w:val="24"/>
          <w:lang w:val="ro-MD"/>
        </w:rPr>
        <w:t xml:space="preserve">se </w:t>
      </w:r>
      <w:r w:rsidRPr="009E5B39">
        <w:rPr>
          <w:rFonts w:asciiTheme="majorHAnsi" w:eastAsia="Calibri" w:hAnsiTheme="majorHAnsi" w:cstheme="majorHAnsi"/>
          <w:bCs/>
          <w:sz w:val="24"/>
          <w:szCs w:val="24"/>
          <w:lang w:val="ro-MD"/>
        </w:rPr>
        <w:t xml:space="preserve">ține cont de acțiunile necesare </w:t>
      </w:r>
      <w:r w:rsidR="00B46B6E" w:rsidRPr="009E5B39">
        <w:rPr>
          <w:rFonts w:asciiTheme="majorHAnsi" w:eastAsia="Calibri" w:hAnsiTheme="majorHAnsi" w:cstheme="majorHAnsi"/>
          <w:bCs/>
          <w:sz w:val="24"/>
          <w:szCs w:val="24"/>
          <w:lang w:val="ro-MD"/>
        </w:rPr>
        <w:t xml:space="preserve">de </w:t>
      </w:r>
      <w:r w:rsidRPr="009E5B39">
        <w:rPr>
          <w:rFonts w:asciiTheme="majorHAnsi" w:eastAsia="Calibri" w:hAnsiTheme="majorHAnsi" w:cstheme="majorHAnsi"/>
          <w:bCs/>
          <w:sz w:val="24"/>
          <w:szCs w:val="24"/>
          <w:lang w:val="ro-MD"/>
        </w:rPr>
        <w:t>a fi întreprinse p</w:t>
      </w:r>
      <w:r w:rsidR="00B46B6E" w:rsidRPr="009E5B39">
        <w:rPr>
          <w:rFonts w:asciiTheme="majorHAnsi" w:eastAsia="Calibri" w:hAnsiTheme="majorHAnsi" w:cstheme="majorHAnsi"/>
          <w:bCs/>
          <w:sz w:val="24"/>
          <w:szCs w:val="24"/>
          <w:lang w:val="ro-MD"/>
        </w:rPr>
        <w:t>â</w:t>
      </w:r>
      <w:r w:rsidRPr="009E5B39">
        <w:rPr>
          <w:rFonts w:asciiTheme="majorHAnsi" w:eastAsia="Calibri" w:hAnsiTheme="majorHAnsi" w:cstheme="majorHAnsi"/>
          <w:bCs/>
          <w:sz w:val="24"/>
          <w:szCs w:val="24"/>
          <w:lang w:val="ro-MD"/>
        </w:rPr>
        <w:t xml:space="preserve">nă la demolare/evacuare, care se transmit spre executare ÎMSL din sector. </w:t>
      </w:r>
      <w:r w:rsidRPr="009E5B39">
        <w:rPr>
          <w:rFonts w:asciiTheme="majorHAnsi" w:eastAsia="Calibri" w:hAnsiTheme="majorHAnsi" w:cstheme="majorHAnsi"/>
          <w:sz w:val="24"/>
          <w:szCs w:val="24"/>
          <w:lang w:val="ro-MD"/>
        </w:rPr>
        <w:t>Auditul constată că</w:t>
      </w:r>
      <w:r w:rsidR="00B46B6E"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în majoritatea cazurilor</w:t>
      </w:r>
      <w:r w:rsidR="00B46B6E"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w:t>
      </w:r>
      <w:r w:rsidR="00B46B6E" w:rsidRPr="009E5B39">
        <w:rPr>
          <w:rFonts w:asciiTheme="majorHAnsi" w:eastAsia="Calibri" w:hAnsiTheme="majorHAnsi" w:cstheme="majorHAnsi"/>
          <w:sz w:val="24"/>
          <w:szCs w:val="24"/>
          <w:lang w:val="ro-MD"/>
        </w:rPr>
        <w:t>p</w:t>
      </w:r>
      <w:r w:rsidRPr="009E5B39">
        <w:rPr>
          <w:rFonts w:asciiTheme="majorHAnsi" w:eastAsia="Calibri" w:hAnsiTheme="majorHAnsi" w:cstheme="majorHAnsi"/>
          <w:sz w:val="24"/>
          <w:szCs w:val="24"/>
          <w:lang w:val="ro-MD"/>
        </w:rPr>
        <w:t>returile nu întreprind acțiuni de identificare a proprietarului obiectului evacuat/demolat, deși anterior aceste chioșcuri au primit schem</w:t>
      </w:r>
      <w:r w:rsidR="00B46B6E" w:rsidRPr="009E5B39">
        <w:rPr>
          <w:rFonts w:asciiTheme="majorHAnsi" w:eastAsia="Calibri" w:hAnsiTheme="majorHAnsi" w:cstheme="majorHAnsi"/>
          <w:sz w:val="24"/>
          <w:szCs w:val="24"/>
          <w:lang w:val="ro-MD"/>
        </w:rPr>
        <w:t>a</w:t>
      </w:r>
      <w:r w:rsidRPr="009E5B39">
        <w:rPr>
          <w:rFonts w:asciiTheme="majorHAnsi" w:eastAsia="Calibri" w:hAnsiTheme="majorHAnsi" w:cstheme="majorHAnsi"/>
          <w:sz w:val="24"/>
          <w:szCs w:val="24"/>
          <w:lang w:val="ro-MD"/>
        </w:rPr>
        <w:t xml:space="preserve"> de amplasare de la preturi și autorizați</w:t>
      </w:r>
      <w:r w:rsidR="00B46B6E" w:rsidRPr="009E5B39">
        <w:rPr>
          <w:rFonts w:asciiTheme="majorHAnsi" w:eastAsia="Calibri" w:hAnsiTheme="majorHAnsi" w:cstheme="majorHAnsi"/>
          <w:sz w:val="24"/>
          <w:szCs w:val="24"/>
          <w:lang w:val="ro-MD"/>
        </w:rPr>
        <w:t>a</w:t>
      </w:r>
      <w:r w:rsidRPr="009E5B39">
        <w:rPr>
          <w:rFonts w:asciiTheme="majorHAnsi" w:eastAsia="Calibri" w:hAnsiTheme="majorHAnsi" w:cstheme="majorHAnsi"/>
          <w:sz w:val="24"/>
          <w:szCs w:val="24"/>
          <w:lang w:val="ro-MD"/>
        </w:rPr>
        <w:t xml:space="preserve"> de comerț de la Direcția Comerț sau </w:t>
      </w:r>
      <w:r w:rsidR="00B46B6E" w:rsidRPr="009E5B39">
        <w:rPr>
          <w:rFonts w:asciiTheme="majorHAnsi" w:eastAsia="Calibri" w:hAnsiTheme="majorHAnsi" w:cstheme="majorHAnsi"/>
          <w:sz w:val="24"/>
          <w:szCs w:val="24"/>
          <w:lang w:val="ro-MD"/>
        </w:rPr>
        <w:t xml:space="preserve">de la </w:t>
      </w:r>
      <w:r w:rsidRPr="009E5B39">
        <w:rPr>
          <w:rFonts w:asciiTheme="majorHAnsi" w:eastAsia="Calibri" w:hAnsiTheme="majorHAnsi" w:cstheme="majorHAnsi"/>
          <w:sz w:val="24"/>
          <w:szCs w:val="24"/>
          <w:lang w:val="ro-MD"/>
        </w:rPr>
        <w:t>Pretură, făcându-se mențiunea „neidentificat”</w:t>
      </w:r>
      <w:r w:rsidR="00B46B6E" w:rsidRPr="009E5B39">
        <w:rPr>
          <w:rFonts w:asciiTheme="majorHAnsi" w:eastAsia="Calibri" w:hAnsiTheme="majorHAnsi" w:cstheme="majorHAnsi"/>
          <w:sz w:val="24"/>
          <w:szCs w:val="24"/>
          <w:lang w:val="ro-MD"/>
        </w:rPr>
        <w:t>. Acest fapt</w:t>
      </w:r>
      <w:r w:rsidRPr="009E5B39">
        <w:rPr>
          <w:rFonts w:asciiTheme="majorHAnsi" w:eastAsia="Calibri" w:hAnsiTheme="majorHAnsi" w:cstheme="majorHAnsi"/>
          <w:sz w:val="24"/>
          <w:szCs w:val="24"/>
          <w:lang w:val="ro-MD"/>
        </w:rPr>
        <w:t xml:space="preserve"> denotă nerespectarea procedurii prevăzute de Codul contravențional, precum și privează APL de posibilitatea de a recupera cheltuielile suportate pentru evacuare</w:t>
      </w:r>
      <w:r w:rsidR="00B46B6E" w:rsidRPr="009E5B39">
        <w:rPr>
          <w:rFonts w:asciiTheme="majorHAnsi" w:eastAsia="Calibri" w:hAnsiTheme="majorHAnsi" w:cstheme="majorHAnsi"/>
          <w:sz w:val="24"/>
          <w:szCs w:val="24"/>
          <w:lang w:val="ro-MD"/>
        </w:rPr>
        <w:t>a</w:t>
      </w:r>
      <w:r w:rsidRPr="009E5B39">
        <w:rPr>
          <w:rFonts w:asciiTheme="majorHAnsi" w:eastAsia="Calibri" w:hAnsiTheme="majorHAnsi" w:cstheme="majorHAnsi"/>
          <w:sz w:val="24"/>
          <w:szCs w:val="24"/>
          <w:lang w:val="ro-MD"/>
        </w:rPr>
        <w:t>/demolarea obiectului, cre</w:t>
      </w:r>
      <w:r w:rsidR="00B46B6E" w:rsidRPr="009E5B39">
        <w:rPr>
          <w:rFonts w:asciiTheme="majorHAnsi" w:eastAsia="Calibri" w:hAnsiTheme="majorHAnsi" w:cstheme="majorHAnsi"/>
          <w:sz w:val="24"/>
          <w:szCs w:val="24"/>
          <w:lang w:val="ro-MD"/>
        </w:rPr>
        <w:t>ând</w:t>
      </w:r>
      <w:r w:rsidRPr="009E5B39">
        <w:rPr>
          <w:rFonts w:asciiTheme="majorHAnsi" w:eastAsia="Calibri" w:hAnsiTheme="majorHAnsi" w:cstheme="majorHAnsi"/>
          <w:sz w:val="24"/>
          <w:szCs w:val="24"/>
          <w:lang w:val="ro-MD"/>
        </w:rPr>
        <w:t xml:space="preserve"> riscul ca acțiunile întreprinse să fie atacate în instanța de judecată și APL </w:t>
      </w:r>
      <w:r w:rsidR="00B46B6E" w:rsidRPr="009E5B39">
        <w:rPr>
          <w:rFonts w:asciiTheme="majorHAnsi" w:eastAsia="Calibri" w:hAnsiTheme="majorHAnsi" w:cstheme="majorHAnsi"/>
          <w:sz w:val="24"/>
          <w:szCs w:val="24"/>
          <w:lang w:val="ro-MD"/>
        </w:rPr>
        <w:t xml:space="preserve">să-i fie impuse </w:t>
      </w:r>
      <w:r w:rsidRPr="009E5B39">
        <w:rPr>
          <w:rFonts w:asciiTheme="majorHAnsi" w:eastAsia="Calibri" w:hAnsiTheme="majorHAnsi" w:cstheme="majorHAnsi"/>
          <w:sz w:val="24"/>
          <w:szCs w:val="24"/>
          <w:lang w:val="ro-MD"/>
        </w:rPr>
        <w:t xml:space="preserve">unele plăți pecuniare. Pentru evacuarea/demolarea construcțiilor neautorizate, în perioada </w:t>
      </w:r>
      <w:r w:rsidR="00B46B6E" w:rsidRPr="009E5B39">
        <w:rPr>
          <w:rFonts w:asciiTheme="majorHAnsi" w:eastAsia="Calibri" w:hAnsiTheme="majorHAnsi" w:cstheme="majorHAnsi"/>
          <w:sz w:val="24"/>
          <w:szCs w:val="24"/>
          <w:lang w:val="ro-MD"/>
        </w:rPr>
        <w:t xml:space="preserve">anilor </w:t>
      </w:r>
      <w:r w:rsidRPr="009E5B39">
        <w:rPr>
          <w:rFonts w:asciiTheme="majorHAnsi" w:eastAsia="Calibri" w:hAnsiTheme="majorHAnsi" w:cstheme="majorHAnsi"/>
          <w:sz w:val="24"/>
          <w:szCs w:val="24"/>
          <w:lang w:val="ro-MD"/>
        </w:rPr>
        <w:t xml:space="preserve">2018-2020, din bugetul municipal au fost suportate cheltuieli în sumă de </w:t>
      </w:r>
      <w:r w:rsidRPr="009E5B39">
        <w:rPr>
          <w:rFonts w:asciiTheme="majorHAnsi" w:eastAsia="Calibri" w:hAnsiTheme="majorHAnsi" w:cstheme="majorHAnsi"/>
          <w:b/>
          <w:sz w:val="24"/>
          <w:szCs w:val="24"/>
          <w:lang w:val="ro-MD"/>
        </w:rPr>
        <w:t>9</w:t>
      </w:r>
      <w:r w:rsidR="00D87E23"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6</w:t>
      </w:r>
      <w:r w:rsidR="00D87E23" w:rsidRPr="009E5B39">
        <w:rPr>
          <w:rFonts w:asciiTheme="majorHAnsi" w:eastAsia="Calibri" w:hAnsiTheme="majorHAnsi" w:cstheme="majorHAnsi"/>
          <w:b/>
          <w:sz w:val="24"/>
          <w:szCs w:val="24"/>
          <w:lang w:val="ro-MD"/>
        </w:rPr>
        <w:t>8</w:t>
      </w:r>
      <w:r w:rsidRPr="009E5B39">
        <w:rPr>
          <w:rFonts w:asciiTheme="majorHAnsi" w:eastAsia="Calibri" w:hAnsiTheme="majorHAnsi" w:cstheme="majorHAnsi"/>
          <w:b/>
          <w:sz w:val="24"/>
          <w:szCs w:val="24"/>
          <w:lang w:val="ro-MD"/>
        </w:rPr>
        <w:t xml:space="preserve"> mi</w:t>
      </w:r>
      <w:r w:rsidR="00D87E23" w:rsidRPr="009E5B39">
        <w:rPr>
          <w:rFonts w:asciiTheme="majorHAnsi" w:eastAsia="Calibri" w:hAnsiTheme="majorHAnsi" w:cstheme="majorHAnsi"/>
          <w:b/>
          <w:sz w:val="24"/>
          <w:szCs w:val="24"/>
          <w:lang w:val="ro-MD"/>
        </w:rPr>
        <w:t>l</w:t>
      </w:r>
      <w:r w:rsidR="00D80F33"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 xml:space="preserve"> lei</w:t>
      </w:r>
      <w:r w:rsidRPr="009E5B39">
        <w:rPr>
          <w:rFonts w:asciiTheme="majorHAnsi" w:eastAsia="Calibri" w:hAnsiTheme="majorHAnsi" w:cstheme="majorHAnsi"/>
          <w:sz w:val="24"/>
          <w:szCs w:val="24"/>
          <w:lang w:val="ro-MD"/>
        </w:rPr>
        <w:t xml:space="preserve">, </w:t>
      </w:r>
      <w:r w:rsidR="00B46B6E" w:rsidRPr="009E5B39">
        <w:rPr>
          <w:rFonts w:asciiTheme="majorHAnsi" w:eastAsia="Calibri" w:hAnsiTheme="majorHAnsi" w:cstheme="majorHAnsi"/>
          <w:sz w:val="24"/>
          <w:szCs w:val="24"/>
          <w:lang w:val="ro-MD"/>
        </w:rPr>
        <w:t>dar</w:t>
      </w:r>
      <w:r w:rsidRPr="009E5B39">
        <w:rPr>
          <w:rFonts w:asciiTheme="majorHAnsi" w:eastAsia="Calibri" w:hAnsiTheme="majorHAnsi" w:cstheme="majorHAnsi"/>
          <w:sz w:val="24"/>
          <w:szCs w:val="24"/>
          <w:lang w:val="ro-MD"/>
        </w:rPr>
        <w:t xml:space="preserve"> </w:t>
      </w:r>
      <w:r w:rsidR="0080673A" w:rsidRPr="009E5B39">
        <w:rPr>
          <w:rFonts w:asciiTheme="majorHAnsi" w:eastAsia="Calibri" w:hAnsiTheme="majorHAnsi" w:cstheme="majorHAnsi"/>
          <w:sz w:val="24"/>
          <w:szCs w:val="24"/>
          <w:lang w:val="ro-MD"/>
        </w:rPr>
        <w:t>s-au</w:t>
      </w:r>
      <w:r w:rsidR="00B46B6E"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 xml:space="preserve">recuperat numai </w:t>
      </w:r>
      <w:r w:rsidR="00D87E23" w:rsidRPr="009E5B39">
        <w:rPr>
          <w:rFonts w:asciiTheme="majorHAnsi" w:eastAsia="Calibri" w:hAnsiTheme="majorHAnsi" w:cstheme="majorHAnsi"/>
          <w:b/>
          <w:sz w:val="24"/>
          <w:szCs w:val="24"/>
          <w:lang w:val="ro-MD"/>
        </w:rPr>
        <w:t>0,</w:t>
      </w:r>
      <w:r w:rsidRPr="009E5B39">
        <w:rPr>
          <w:rFonts w:asciiTheme="majorHAnsi" w:eastAsia="Calibri" w:hAnsiTheme="majorHAnsi" w:cstheme="majorHAnsi"/>
          <w:b/>
          <w:sz w:val="24"/>
          <w:szCs w:val="24"/>
          <w:lang w:val="ro-MD"/>
        </w:rPr>
        <w:t>97 mi</w:t>
      </w:r>
      <w:r w:rsidR="00D87E23" w:rsidRPr="009E5B39">
        <w:rPr>
          <w:rFonts w:asciiTheme="majorHAnsi" w:eastAsia="Calibri" w:hAnsiTheme="majorHAnsi" w:cstheme="majorHAnsi"/>
          <w:b/>
          <w:sz w:val="24"/>
          <w:szCs w:val="24"/>
          <w:lang w:val="ro-MD"/>
        </w:rPr>
        <w:t>l</w:t>
      </w:r>
      <w:r w:rsidR="00D80F33"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 xml:space="preserve"> lei</w:t>
      </w:r>
      <w:r w:rsidRPr="009E5B39">
        <w:rPr>
          <w:rFonts w:asciiTheme="majorHAnsi" w:eastAsia="Calibri" w:hAnsiTheme="majorHAnsi" w:cstheme="majorHAnsi"/>
          <w:sz w:val="24"/>
          <w:szCs w:val="24"/>
          <w:lang w:val="ro-MD"/>
        </w:rPr>
        <w:t>, sau 10% din total</w:t>
      </w:r>
      <w:r w:rsidR="0080673A" w:rsidRPr="009E5B39">
        <w:rPr>
          <w:rFonts w:asciiTheme="majorHAnsi" w:eastAsia="Calibri" w:hAnsiTheme="majorHAnsi" w:cstheme="majorHAnsi"/>
          <w:sz w:val="24"/>
          <w:szCs w:val="24"/>
          <w:lang w:val="ro-MD"/>
        </w:rPr>
        <w:t>ul</w:t>
      </w:r>
      <w:r w:rsidRPr="009E5B39">
        <w:rPr>
          <w:rFonts w:asciiTheme="majorHAnsi" w:eastAsia="Calibri" w:hAnsiTheme="majorHAnsi" w:cstheme="majorHAnsi"/>
          <w:sz w:val="24"/>
          <w:szCs w:val="24"/>
          <w:lang w:val="ro-MD"/>
        </w:rPr>
        <w:t xml:space="preserve"> cheltuieli</w:t>
      </w:r>
      <w:r w:rsidR="0080673A" w:rsidRPr="009E5B39">
        <w:rPr>
          <w:rFonts w:asciiTheme="majorHAnsi" w:eastAsia="Calibri" w:hAnsiTheme="majorHAnsi" w:cstheme="majorHAnsi"/>
          <w:sz w:val="24"/>
          <w:szCs w:val="24"/>
          <w:lang w:val="ro-MD"/>
        </w:rPr>
        <w:t>lor</w:t>
      </w:r>
      <w:r w:rsidRPr="009E5B39">
        <w:rPr>
          <w:rFonts w:asciiTheme="majorHAnsi" w:eastAsia="Calibri" w:hAnsiTheme="majorHAnsi" w:cstheme="majorHAnsi"/>
          <w:sz w:val="24"/>
          <w:szCs w:val="24"/>
          <w:lang w:val="ro-MD"/>
        </w:rPr>
        <w:t xml:space="preserve">.       </w:t>
      </w:r>
    </w:p>
    <w:p w14:paraId="11089B0F" w14:textId="55DF9BF4" w:rsidR="006A69F0" w:rsidRPr="009E5B39" w:rsidRDefault="00E35985" w:rsidP="00EF4BC3">
      <w:pPr>
        <w:spacing w:after="0" w:line="276" w:lineRule="auto"/>
        <w:ind w:firstLine="720"/>
        <w:jc w:val="both"/>
        <w:rPr>
          <w:rFonts w:asciiTheme="majorHAnsi" w:hAnsiTheme="majorHAnsi" w:cstheme="majorHAnsi"/>
          <w:sz w:val="24"/>
          <w:szCs w:val="24"/>
          <w:lang w:val="ro-MD"/>
        </w:rPr>
      </w:pPr>
      <w:r w:rsidRPr="009E5B39">
        <w:rPr>
          <w:rFonts w:asciiTheme="majorHAnsi" w:eastAsia="Times New Roman" w:hAnsiTheme="majorHAnsi" w:cstheme="majorHAnsi"/>
          <w:sz w:val="24"/>
          <w:szCs w:val="24"/>
          <w:lang w:val="ro-MD"/>
        </w:rPr>
        <w:t>Preturile secto</w:t>
      </w:r>
      <w:r w:rsidR="00B21419" w:rsidRPr="009E5B39">
        <w:rPr>
          <w:rFonts w:asciiTheme="majorHAnsi" w:eastAsia="Times New Roman" w:hAnsiTheme="majorHAnsi" w:cstheme="majorHAnsi"/>
          <w:sz w:val="24"/>
          <w:szCs w:val="24"/>
          <w:lang w:val="ro-MD"/>
        </w:rPr>
        <w:t>arelor</w:t>
      </w:r>
      <w:r w:rsidRPr="009E5B39">
        <w:rPr>
          <w:rFonts w:asciiTheme="majorHAnsi" w:eastAsia="Times New Roman" w:hAnsiTheme="majorHAnsi" w:cstheme="majorHAnsi"/>
          <w:b/>
          <w:sz w:val="24"/>
          <w:szCs w:val="24"/>
          <w:lang w:val="ro-MD"/>
        </w:rPr>
        <w:t xml:space="preserve"> </w:t>
      </w:r>
      <w:r w:rsidRPr="009E5B39">
        <w:rPr>
          <w:rFonts w:asciiTheme="majorHAnsi" w:hAnsiTheme="majorHAnsi" w:cstheme="majorHAnsi"/>
          <w:sz w:val="24"/>
          <w:szCs w:val="24"/>
          <w:lang w:val="ro-MD"/>
        </w:rPr>
        <w:t>nu asigură evidența cantitativă a obiectelor evacuate/demolate transmise la păstra</w:t>
      </w:r>
      <w:r w:rsidR="00B21419" w:rsidRPr="009E5B39">
        <w:rPr>
          <w:rFonts w:asciiTheme="majorHAnsi" w:hAnsiTheme="majorHAnsi" w:cstheme="majorHAnsi"/>
          <w:sz w:val="24"/>
          <w:szCs w:val="24"/>
          <w:lang w:val="ro-MD"/>
        </w:rPr>
        <w:t>r</w:t>
      </w:r>
      <w:r w:rsidRPr="009E5B39">
        <w:rPr>
          <w:rFonts w:asciiTheme="majorHAnsi" w:hAnsiTheme="majorHAnsi" w:cstheme="majorHAnsi"/>
          <w:sz w:val="24"/>
          <w:szCs w:val="24"/>
          <w:lang w:val="ro-MD"/>
        </w:rPr>
        <w:t>e ÎM SL – pe obiect evacuat, adresa amplasării, proprietarul bunului, etc.</w:t>
      </w:r>
      <w:r w:rsidR="0080673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precum și a cheltuielilor suportate pentru evacuarea/demolarea acestuia, cheltuielilor recuperate, etc.</w:t>
      </w:r>
      <w:r w:rsidR="0080673A" w:rsidRPr="009E5B39">
        <w:rPr>
          <w:rFonts w:asciiTheme="majorHAnsi" w:hAnsiTheme="majorHAnsi" w:cstheme="majorHAnsi"/>
          <w:sz w:val="24"/>
          <w:szCs w:val="24"/>
          <w:lang w:val="ro-MD"/>
        </w:rPr>
        <w:t>, a</w:t>
      </w:r>
      <w:r w:rsidRPr="009E5B39">
        <w:rPr>
          <w:rFonts w:asciiTheme="majorHAnsi" w:hAnsiTheme="majorHAnsi" w:cstheme="majorHAnsi"/>
          <w:sz w:val="24"/>
          <w:szCs w:val="24"/>
          <w:lang w:val="ro-MD"/>
        </w:rPr>
        <w:t>stfel</w:t>
      </w:r>
      <w:r w:rsidR="0080673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necunosc</w:t>
      </w:r>
      <w:r w:rsidR="00B21419" w:rsidRPr="009E5B39">
        <w:rPr>
          <w:rFonts w:asciiTheme="majorHAnsi" w:hAnsiTheme="majorHAnsi" w:cstheme="majorHAnsi"/>
          <w:sz w:val="24"/>
          <w:szCs w:val="24"/>
          <w:lang w:val="ro-MD"/>
        </w:rPr>
        <w:t>ându-se</w:t>
      </w:r>
      <w:r w:rsidRPr="009E5B39">
        <w:rPr>
          <w:rFonts w:asciiTheme="majorHAnsi" w:hAnsiTheme="majorHAnsi" w:cstheme="majorHAnsi"/>
          <w:sz w:val="24"/>
          <w:szCs w:val="24"/>
          <w:lang w:val="ro-MD"/>
        </w:rPr>
        <w:t xml:space="preserve"> numărul obiectelor demolate/evacuate benevol de către proprietar sau de către ÎM, costul per</w:t>
      </w:r>
      <w:r w:rsidR="00B21419"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obiect, ceea ce nu oferă posibilitatea verificării corectitudinii cheltuielilor executate. La transmiterea</w:t>
      </w:r>
      <w:r w:rsidR="00B2141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predarea obiectului evacuat/demolat la păstrare nu se întocmesc careva acte care ar confirma această tranzacție (acte de primire-predare, lista obiectelor transmise la păstrare, etc.) și caracteristicile de identificare a obiectului, ceea ce face imposibilă inventarierea acestora și verificarea integrității </w:t>
      </w:r>
      <w:r w:rsidR="00B21419" w:rsidRPr="009E5B39">
        <w:rPr>
          <w:rFonts w:asciiTheme="majorHAnsi" w:hAnsiTheme="majorHAnsi" w:cstheme="majorHAnsi"/>
          <w:sz w:val="24"/>
          <w:szCs w:val="24"/>
          <w:lang w:val="ro-MD"/>
        </w:rPr>
        <w:t>lor</w:t>
      </w:r>
      <w:r w:rsidRPr="009E5B39">
        <w:rPr>
          <w:rFonts w:asciiTheme="majorHAnsi" w:hAnsiTheme="majorHAnsi" w:cstheme="majorHAnsi"/>
          <w:sz w:val="24"/>
          <w:szCs w:val="24"/>
          <w:lang w:val="ro-MD"/>
        </w:rPr>
        <w:t xml:space="preserve">. </w:t>
      </w:r>
    </w:p>
    <w:p w14:paraId="090CFB64" w14:textId="13391E68" w:rsidR="00CE3CB4" w:rsidRPr="009E5B39" w:rsidRDefault="00CB78BB" w:rsidP="00121F16">
      <w:pPr>
        <w:pStyle w:val="ListParagraph"/>
        <w:numPr>
          <w:ilvl w:val="0"/>
          <w:numId w:val="57"/>
        </w:numPr>
        <w:spacing w:line="276" w:lineRule="auto"/>
        <w:ind w:left="0" w:firstLine="426"/>
        <w:jc w:val="both"/>
        <w:rPr>
          <w:rFonts w:asciiTheme="majorHAnsi" w:hAnsiTheme="majorHAnsi" w:cstheme="majorHAnsi"/>
          <w:b/>
          <w:sz w:val="24"/>
          <w:szCs w:val="24"/>
          <w:lang w:val="ro-MD"/>
        </w:rPr>
      </w:pPr>
      <w:r w:rsidRPr="009E5B39">
        <w:rPr>
          <w:rFonts w:asciiTheme="majorHAnsi" w:eastAsia="Calibri" w:hAnsiTheme="majorHAnsi" w:cstheme="majorHAnsi"/>
          <w:sz w:val="24"/>
          <w:szCs w:val="24"/>
          <w:lang w:val="ro-MD"/>
        </w:rPr>
        <w:t>Pretura sec</w:t>
      </w:r>
      <w:r w:rsidR="0080673A" w:rsidRPr="009E5B39">
        <w:rPr>
          <w:rFonts w:asciiTheme="majorHAnsi" w:eastAsia="Calibri" w:hAnsiTheme="majorHAnsi" w:cstheme="majorHAnsi"/>
          <w:sz w:val="24"/>
          <w:szCs w:val="24"/>
          <w:lang w:val="ro-MD"/>
        </w:rPr>
        <w:t>t</w:t>
      </w:r>
      <w:r w:rsidRPr="009E5B39">
        <w:rPr>
          <w:rFonts w:asciiTheme="majorHAnsi" w:eastAsia="Calibri" w:hAnsiTheme="majorHAnsi" w:cstheme="majorHAnsi"/>
          <w:sz w:val="24"/>
          <w:szCs w:val="24"/>
          <w:lang w:val="ro-MD"/>
        </w:rPr>
        <w:t>. Ciocana</w:t>
      </w:r>
      <w:r w:rsidR="0080673A"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p</w:t>
      </w:r>
      <w:r w:rsidR="00614D36" w:rsidRPr="009E5B39">
        <w:rPr>
          <w:rFonts w:asciiTheme="majorHAnsi" w:eastAsia="Calibri" w:hAnsiTheme="majorHAnsi" w:cstheme="majorHAnsi"/>
          <w:sz w:val="24"/>
          <w:szCs w:val="24"/>
          <w:lang w:val="ro-MD"/>
        </w:rPr>
        <w:t>e parcursul anilor 2018-2020</w:t>
      </w:r>
      <w:r w:rsidR="0080673A" w:rsidRPr="009E5B39">
        <w:rPr>
          <w:rFonts w:asciiTheme="majorHAnsi" w:eastAsia="Calibri" w:hAnsiTheme="majorHAnsi" w:cstheme="majorHAnsi"/>
          <w:sz w:val="24"/>
          <w:szCs w:val="24"/>
          <w:lang w:val="ro-MD"/>
        </w:rPr>
        <w:t>,</w:t>
      </w:r>
      <w:r w:rsidR="00614D36" w:rsidRPr="009E5B39">
        <w:rPr>
          <w:rFonts w:asciiTheme="majorHAnsi" w:eastAsia="Calibri" w:hAnsiTheme="majorHAnsi" w:cstheme="majorHAnsi"/>
          <w:sz w:val="24"/>
          <w:szCs w:val="24"/>
          <w:lang w:val="ro-MD"/>
        </w:rPr>
        <w:t xml:space="preserve"> nu a întocmit procese-verbale privind  contravențiile, stabilite la art. 179 Cod</w:t>
      </w:r>
      <w:r w:rsidR="0080673A" w:rsidRPr="009E5B39">
        <w:rPr>
          <w:rFonts w:asciiTheme="majorHAnsi" w:eastAsia="Calibri" w:hAnsiTheme="majorHAnsi" w:cstheme="majorHAnsi"/>
          <w:sz w:val="24"/>
          <w:szCs w:val="24"/>
          <w:lang w:val="ro-MD"/>
        </w:rPr>
        <w:t xml:space="preserve">ul </w:t>
      </w:r>
      <w:r w:rsidR="00614D36" w:rsidRPr="009E5B39">
        <w:rPr>
          <w:rFonts w:asciiTheme="majorHAnsi" w:eastAsia="Calibri" w:hAnsiTheme="majorHAnsi" w:cstheme="majorHAnsi"/>
          <w:sz w:val="24"/>
          <w:szCs w:val="24"/>
          <w:lang w:val="ro-MD"/>
        </w:rPr>
        <w:t xml:space="preserve"> </w:t>
      </w:r>
      <w:r w:rsidR="0080673A" w:rsidRPr="009E5B39">
        <w:rPr>
          <w:rFonts w:asciiTheme="majorHAnsi" w:eastAsia="Calibri" w:hAnsiTheme="majorHAnsi" w:cstheme="majorHAnsi"/>
          <w:sz w:val="24"/>
          <w:szCs w:val="24"/>
          <w:lang w:val="ro-MD"/>
        </w:rPr>
        <w:t>c</w:t>
      </w:r>
      <w:r w:rsidR="00614D36" w:rsidRPr="009E5B39">
        <w:rPr>
          <w:rFonts w:asciiTheme="majorHAnsi" w:eastAsia="Calibri" w:hAnsiTheme="majorHAnsi" w:cstheme="majorHAnsi"/>
          <w:sz w:val="24"/>
          <w:szCs w:val="24"/>
          <w:lang w:val="ro-MD"/>
        </w:rPr>
        <w:t>on</w:t>
      </w:r>
      <w:r w:rsidR="0080673A" w:rsidRPr="009E5B39">
        <w:rPr>
          <w:rFonts w:asciiTheme="majorHAnsi" w:eastAsia="Calibri" w:hAnsiTheme="majorHAnsi" w:cstheme="majorHAnsi"/>
          <w:sz w:val="24"/>
          <w:szCs w:val="24"/>
          <w:lang w:val="ro-MD"/>
        </w:rPr>
        <w:t>t</w:t>
      </w:r>
      <w:r w:rsidR="00614D36" w:rsidRPr="009E5B39">
        <w:rPr>
          <w:rFonts w:asciiTheme="majorHAnsi" w:eastAsia="Calibri" w:hAnsiTheme="majorHAnsi" w:cstheme="majorHAnsi"/>
          <w:sz w:val="24"/>
          <w:szCs w:val="24"/>
          <w:lang w:val="ro-MD"/>
        </w:rPr>
        <w:t>ravențional (efectuarea construcțiilor neautorizate)</w:t>
      </w:r>
      <w:r w:rsidR="00B21419"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ceea ce nu corespunde atribuțiilor prevăzute în pct.3.1 și </w:t>
      </w:r>
      <w:r w:rsidR="00B21419" w:rsidRPr="009E5B39">
        <w:rPr>
          <w:rFonts w:asciiTheme="majorHAnsi" w:eastAsia="Calibri" w:hAnsiTheme="majorHAnsi" w:cstheme="majorHAnsi"/>
          <w:sz w:val="24"/>
          <w:szCs w:val="24"/>
          <w:lang w:val="ro-MD"/>
        </w:rPr>
        <w:t>pct.</w:t>
      </w:r>
      <w:r w:rsidRPr="009E5B39">
        <w:rPr>
          <w:rFonts w:asciiTheme="majorHAnsi" w:eastAsia="Calibri" w:hAnsiTheme="majorHAnsi" w:cstheme="majorHAnsi"/>
          <w:sz w:val="24"/>
          <w:szCs w:val="24"/>
          <w:lang w:val="ro-MD"/>
        </w:rPr>
        <w:t xml:space="preserve">3.2 din </w:t>
      </w:r>
      <w:r w:rsidR="00B21419" w:rsidRPr="009E5B39">
        <w:rPr>
          <w:rFonts w:asciiTheme="majorHAnsi" w:eastAsia="Calibri" w:hAnsiTheme="majorHAnsi" w:cstheme="majorHAnsi"/>
          <w:sz w:val="24"/>
          <w:szCs w:val="24"/>
          <w:lang w:val="ro-MD"/>
        </w:rPr>
        <w:t>R</w:t>
      </w:r>
      <w:r w:rsidRPr="009E5B39">
        <w:rPr>
          <w:rFonts w:asciiTheme="majorHAnsi" w:eastAsia="Calibri" w:hAnsiTheme="majorHAnsi" w:cstheme="majorHAnsi"/>
          <w:sz w:val="24"/>
          <w:szCs w:val="24"/>
          <w:lang w:val="ro-MD"/>
        </w:rPr>
        <w:t>egulamentul secției</w:t>
      </w:r>
      <w:r w:rsidRPr="009E5B39">
        <w:rPr>
          <w:vertAlign w:val="superscript"/>
          <w:lang w:val="ro-MD"/>
        </w:rPr>
        <w:footnoteReference w:id="124"/>
      </w:r>
      <w:r w:rsidR="00614D36"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 xml:space="preserve">De exemplu, proprietarul terenului de pe </w:t>
      </w:r>
      <w:r w:rsidR="00204445" w:rsidRPr="009E5B39">
        <w:rPr>
          <w:rFonts w:asciiTheme="majorHAnsi" w:eastAsia="Calibri" w:hAnsiTheme="majorHAnsi" w:cstheme="majorHAnsi"/>
          <w:sz w:val="24"/>
          <w:szCs w:val="24"/>
          <w:lang w:val="ro-MD"/>
        </w:rPr>
        <w:t>str.</w:t>
      </w:r>
      <w:r w:rsidRPr="009E5B39">
        <w:rPr>
          <w:rFonts w:asciiTheme="majorHAnsi" w:eastAsia="Calibri" w:hAnsiTheme="majorHAnsi" w:cstheme="majorHAnsi"/>
          <w:sz w:val="24"/>
          <w:szCs w:val="24"/>
          <w:lang w:val="ro-MD"/>
        </w:rPr>
        <w:t xml:space="preserve"> Igor Vieru 20 a construit o anexă neautorizată pe teren proprietate publică (</w:t>
      </w:r>
      <w:r w:rsidRPr="009E5B39">
        <w:rPr>
          <w:rFonts w:asciiTheme="majorHAnsi" w:eastAsia="Calibri" w:hAnsiTheme="majorHAnsi" w:cstheme="majorHAnsi"/>
          <w:i/>
          <w:iCs/>
          <w:sz w:val="24"/>
          <w:szCs w:val="24"/>
          <w:lang w:val="ro-MD"/>
        </w:rPr>
        <w:t xml:space="preserve">pozele se anexează în </w:t>
      </w:r>
      <w:r w:rsidR="006711E4" w:rsidRPr="009E5B39">
        <w:rPr>
          <w:rFonts w:asciiTheme="majorHAnsi" w:eastAsia="Calibri" w:hAnsiTheme="majorHAnsi" w:cstheme="majorHAnsi"/>
          <w:b/>
          <w:i/>
          <w:iCs/>
          <w:sz w:val="24"/>
          <w:szCs w:val="24"/>
          <w:lang w:val="ro-MD"/>
        </w:rPr>
        <w:t>Anexa nr.1</w:t>
      </w:r>
      <w:r w:rsidR="008B0380" w:rsidRPr="009E5B39">
        <w:rPr>
          <w:rFonts w:asciiTheme="majorHAnsi" w:eastAsia="Calibri" w:hAnsiTheme="majorHAnsi" w:cstheme="majorHAnsi"/>
          <w:b/>
          <w:i/>
          <w:iCs/>
          <w:sz w:val="24"/>
          <w:szCs w:val="24"/>
          <w:lang w:val="ro-MD"/>
        </w:rPr>
        <w:t>0</w:t>
      </w:r>
      <w:r w:rsidRPr="009E5B39">
        <w:rPr>
          <w:rFonts w:asciiTheme="majorHAnsi" w:eastAsia="Calibri" w:hAnsiTheme="majorHAnsi" w:cstheme="majorHAnsi"/>
          <w:i/>
          <w:iCs/>
          <w:sz w:val="24"/>
          <w:szCs w:val="24"/>
          <w:lang w:val="ro-MD"/>
        </w:rPr>
        <w:t xml:space="preserve"> la Raport</w:t>
      </w:r>
      <w:r w:rsidR="00B21419" w:rsidRPr="009E5B39">
        <w:rPr>
          <w:rFonts w:asciiTheme="majorHAnsi" w:eastAsia="Calibri" w:hAnsiTheme="majorHAnsi" w:cstheme="majorHAnsi"/>
          <w:i/>
          <w:iCs/>
          <w:sz w:val="24"/>
          <w:szCs w:val="24"/>
          <w:lang w:val="ro-MD"/>
        </w:rPr>
        <w:t>ul de audit</w:t>
      </w:r>
      <w:r w:rsidRPr="009E5B39">
        <w:rPr>
          <w:rFonts w:asciiTheme="majorHAnsi" w:eastAsia="Calibri" w:hAnsiTheme="majorHAnsi" w:cstheme="majorHAnsi"/>
          <w:sz w:val="24"/>
          <w:szCs w:val="24"/>
          <w:lang w:val="ro-MD"/>
        </w:rPr>
        <w:t xml:space="preserve">), în lipsa autorizațiilor de construcție eliberate regulamentar. </w:t>
      </w:r>
      <w:r w:rsidR="00614D36" w:rsidRPr="009E5B39">
        <w:rPr>
          <w:rFonts w:asciiTheme="majorHAnsi" w:eastAsia="Calibri" w:hAnsiTheme="majorHAnsi" w:cstheme="majorHAnsi"/>
          <w:sz w:val="24"/>
          <w:szCs w:val="24"/>
          <w:lang w:val="ro-MD"/>
        </w:rPr>
        <w:t xml:space="preserve">Secția </w:t>
      </w:r>
      <w:r w:rsidRPr="009E5B39">
        <w:rPr>
          <w:rFonts w:asciiTheme="majorHAnsi" w:eastAsia="Calibri" w:hAnsiTheme="majorHAnsi" w:cstheme="majorHAnsi"/>
          <w:sz w:val="24"/>
          <w:szCs w:val="24"/>
          <w:lang w:val="ro-MD"/>
        </w:rPr>
        <w:t xml:space="preserve">arhitectură a Preturii </w:t>
      </w:r>
      <w:r w:rsidR="00614D36" w:rsidRPr="009E5B39">
        <w:rPr>
          <w:rFonts w:asciiTheme="majorHAnsi" w:eastAsia="Calibri" w:hAnsiTheme="majorHAnsi" w:cstheme="majorHAnsi"/>
          <w:sz w:val="24"/>
          <w:szCs w:val="24"/>
          <w:lang w:val="ro-MD"/>
        </w:rPr>
        <w:t>nu dispune de informații privind autorizațiile de construcție și</w:t>
      </w:r>
      <w:r w:rsidRPr="009E5B39">
        <w:rPr>
          <w:rFonts w:asciiTheme="majorHAnsi" w:eastAsia="Calibri" w:hAnsiTheme="majorHAnsi" w:cstheme="majorHAnsi"/>
          <w:sz w:val="24"/>
          <w:szCs w:val="24"/>
          <w:lang w:val="ro-MD"/>
        </w:rPr>
        <w:t xml:space="preserve"> de</w:t>
      </w:r>
      <w:r w:rsidR="00614D36" w:rsidRPr="009E5B39">
        <w:rPr>
          <w:rFonts w:asciiTheme="majorHAnsi" w:eastAsia="Calibri" w:hAnsiTheme="majorHAnsi" w:cstheme="majorHAnsi"/>
          <w:sz w:val="24"/>
          <w:szCs w:val="24"/>
          <w:lang w:val="ro-MD"/>
        </w:rPr>
        <w:t xml:space="preserve"> demolare eliberate de către DGAURF, pentru a </w:t>
      </w:r>
      <w:r w:rsidR="00204445" w:rsidRPr="009E5B39">
        <w:rPr>
          <w:rFonts w:asciiTheme="majorHAnsi" w:eastAsia="Calibri" w:hAnsiTheme="majorHAnsi" w:cstheme="majorHAnsi"/>
          <w:sz w:val="24"/>
          <w:szCs w:val="24"/>
          <w:lang w:val="ro-MD"/>
        </w:rPr>
        <w:t xml:space="preserve">se </w:t>
      </w:r>
      <w:r w:rsidR="00614D36" w:rsidRPr="009E5B39">
        <w:rPr>
          <w:rFonts w:asciiTheme="majorHAnsi" w:eastAsia="Calibri" w:hAnsiTheme="majorHAnsi" w:cstheme="majorHAnsi"/>
          <w:sz w:val="24"/>
          <w:szCs w:val="24"/>
          <w:lang w:val="ro-MD"/>
        </w:rPr>
        <w:t>putea verifica respectarea acestora</w:t>
      </w:r>
      <w:r w:rsidR="00204445" w:rsidRPr="009E5B39">
        <w:rPr>
          <w:rFonts w:asciiTheme="majorHAnsi" w:eastAsia="Calibri" w:hAnsiTheme="majorHAnsi" w:cstheme="majorHAnsi"/>
          <w:sz w:val="24"/>
          <w:szCs w:val="24"/>
          <w:lang w:val="ro-MD"/>
        </w:rPr>
        <w:t>,</w:t>
      </w:r>
      <w:r w:rsidR="00614D36" w:rsidRPr="009E5B39">
        <w:rPr>
          <w:rFonts w:asciiTheme="majorHAnsi" w:eastAsia="Calibri" w:hAnsiTheme="majorHAnsi" w:cstheme="majorHAnsi"/>
          <w:sz w:val="24"/>
          <w:szCs w:val="24"/>
          <w:lang w:val="ro-MD"/>
        </w:rPr>
        <w:t xml:space="preserve"> și nu </w:t>
      </w:r>
      <w:r w:rsidRPr="009E5B39">
        <w:rPr>
          <w:rFonts w:asciiTheme="majorHAnsi" w:eastAsia="Calibri" w:hAnsiTheme="majorHAnsi" w:cstheme="majorHAnsi"/>
          <w:sz w:val="24"/>
          <w:szCs w:val="24"/>
          <w:lang w:val="ro-MD"/>
        </w:rPr>
        <w:t xml:space="preserve">întreprinde acțiuni pentru verificarea legalității construcțiilor efectuate </w:t>
      </w:r>
      <w:r w:rsidR="00204445" w:rsidRPr="009E5B39">
        <w:rPr>
          <w:rFonts w:asciiTheme="majorHAnsi" w:eastAsia="Calibri" w:hAnsiTheme="majorHAnsi" w:cstheme="majorHAnsi"/>
          <w:sz w:val="24"/>
          <w:szCs w:val="24"/>
          <w:lang w:val="ro-MD"/>
        </w:rPr>
        <w:t>î</w:t>
      </w:r>
      <w:r w:rsidRPr="009E5B39">
        <w:rPr>
          <w:rFonts w:asciiTheme="majorHAnsi" w:eastAsia="Calibri" w:hAnsiTheme="majorHAnsi" w:cstheme="majorHAnsi"/>
          <w:sz w:val="24"/>
          <w:szCs w:val="24"/>
          <w:lang w:val="ro-MD"/>
        </w:rPr>
        <w:t>n sector</w:t>
      </w:r>
      <w:r w:rsidR="00614D36" w:rsidRPr="009E5B39">
        <w:rPr>
          <w:rFonts w:asciiTheme="majorHAnsi" w:eastAsia="Calibri" w:hAnsiTheme="majorHAnsi" w:cstheme="majorHAnsi"/>
          <w:sz w:val="24"/>
          <w:szCs w:val="24"/>
          <w:lang w:val="ro-MD"/>
        </w:rPr>
        <w:t xml:space="preserve">. </w:t>
      </w:r>
    </w:p>
    <w:p w14:paraId="0F45F9EE" w14:textId="26B090B9" w:rsidR="002D2F55" w:rsidRPr="009E5B39" w:rsidRDefault="005C1595" w:rsidP="00121F16">
      <w:pPr>
        <w:pStyle w:val="Heading2"/>
        <w:spacing w:line="276" w:lineRule="auto"/>
        <w:jc w:val="both"/>
        <w:rPr>
          <w:rFonts w:cstheme="majorHAnsi"/>
          <w:b/>
          <w:iCs/>
          <w:color w:val="auto"/>
          <w:sz w:val="24"/>
          <w:szCs w:val="24"/>
          <w:shd w:val="clear" w:color="auto" w:fill="FFFFFF"/>
          <w:lang w:val="ro-MD"/>
        </w:rPr>
      </w:pPr>
      <w:bookmarkStart w:id="11" w:name="_Toc116026879"/>
      <w:r w:rsidRPr="009E5B39">
        <w:rPr>
          <w:rFonts w:cstheme="majorHAnsi"/>
          <w:b/>
          <w:iCs/>
          <w:sz w:val="24"/>
          <w:szCs w:val="24"/>
          <w:shd w:val="clear" w:color="auto" w:fill="FFFFFF"/>
          <w:lang w:val="ro-MD"/>
        </w:rPr>
        <w:t xml:space="preserve">4.3. </w:t>
      </w:r>
      <w:r w:rsidR="00204445" w:rsidRPr="009E5B39">
        <w:rPr>
          <w:rFonts w:cstheme="majorHAnsi"/>
          <w:b/>
          <w:iCs/>
          <w:sz w:val="24"/>
          <w:szCs w:val="24"/>
          <w:shd w:val="clear" w:color="auto" w:fill="FFFFFF"/>
          <w:lang w:val="ro-MD"/>
        </w:rPr>
        <w:t>Obiectivul III</w:t>
      </w:r>
      <w:r w:rsidR="002B5A5A" w:rsidRPr="009E5B39">
        <w:rPr>
          <w:rFonts w:cstheme="majorHAnsi"/>
          <w:b/>
          <w:iCs/>
          <w:sz w:val="24"/>
          <w:szCs w:val="24"/>
          <w:shd w:val="clear" w:color="auto" w:fill="FFFFFF"/>
          <w:lang w:val="ro-MD"/>
        </w:rPr>
        <w:t xml:space="preserve"> :</w:t>
      </w:r>
      <w:r w:rsidR="00204445" w:rsidRPr="009E5B39">
        <w:rPr>
          <w:rFonts w:cstheme="majorHAnsi"/>
          <w:b/>
          <w:iCs/>
          <w:sz w:val="24"/>
          <w:szCs w:val="24"/>
          <w:shd w:val="clear" w:color="auto" w:fill="FFFFFF"/>
          <w:lang w:val="ro-MD"/>
        </w:rPr>
        <w:t xml:space="preserve"> </w:t>
      </w:r>
      <w:r w:rsidR="002D2F55" w:rsidRPr="009E5B39">
        <w:rPr>
          <w:rFonts w:cstheme="majorHAnsi"/>
          <w:b/>
          <w:iCs/>
          <w:color w:val="auto"/>
          <w:sz w:val="24"/>
          <w:szCs w:val="24"/>
          <w:shd w:val="clear" w:color="auto" w:fill="FFFFFF"/>
          <w:lang w:val="ro-MD"/>
        </w:rPr>
        <w:t>A înregistrat, a administrat și a gestionat UAT în modul corespunzător patrimoniul public?</w:t>
      </w:r>
      <w:bookmarkEnd w:id="11"/>
    </w:p>
    <w:p w14:paraId="1D0737A9" w14:textId="637EDC79" w:rsidR="00874722" w:rsidRPr="009E5B39" w:rsidRDefault="003A3FAB" w:rsidP="003C5073">
      <w:pPr>
        <w:spacing w:after="0" w:line="276" w:lineRule="auto"/>
        <w:ind w:firstLine="709"/>
        <w:jc w:val="both"/>
        <w:rPr>
          <w:rFonts w:asciiTheme="majorHAnsi" w:hAnsiTheme="majorHAnsi" w:cstheme="majorHAnsi"/>
          <w:sz w:val="24"/>
          <w:szCs w:val="24"/>
          <w:lang w:val="ro-MD"/>
        </w:rPr>
      </w:pPr>
      <w:r w:rsidRPr="009E5B39">
        <w:rPr>
          <w:rFonts w:ascii="Calibri Light" w:eastAsia="Calibri" w:hAnsi="Calibri Light" w:cs="Tahoma"/>
          <w:sz w:val="24"/>
          <w:lang w:val="ro-MD"/>
        </w:rPr>
        <w:t xml:space="preserve">Misiunea de audit a constatat că sistemul de management al gestionării patrimoniului public al APL nu a fost conformat prevederilor legale, astfel fiind afectat de un șir de deficiențe </w:t>
      </w:r>
      <w:r w:rsidR="0026150B" w:rsidRPr="009E5B39">
        <w:rPr>
          <w:rFonts w:ascii="Calibri Light" w:eastAsia="Calibri" w:hAnsi="Calibri Light" w:cs="Tahoma"/>
          <w:sz w:val="24"/>
          <w:lang w:val="ro-MD"/>
        </w:rPr>
        <w:t>și</w:t>
      </w:r>
      <w:r w:rsidRPr="009E5B39">
        <w:rPr>
          <w:rFonts w:ascii="Calibri Light" w:eastAsia="Calibri" w:hAnsi="Calibri Light" w:cs="Tahoma"/>
          <w:sz w:val="24"/>
          <w:lang w:val="ro-MD"/>
        </w:rPr>
        <w:t xml:space="preserve"> lacune, exprimate prin lipsa unei evidențe corespunzătoare a patrimon</w:t>
      </w:r>
      <w:r w:rsidR="00CE3CB4" w:rsidRPr="009E5B39">
        <w:rPr>
          <w:rFonts w:ascii="Calibri Light" w:eastAsia="Calibri" w:hAnsi="Calibri Light" w:cs="Tahoma"/>
          <w:sz w:val="24"/>
          <w:lang w:val="ro-MD"/>
        </w:rPr>
        <w:t>iului public, inclusiv transmis</w:t>
      </w:r>
      <w:r w:rsidRPr="009E5B39">
        <w:rPr>
          <w:rFonts w:ascii="Calibri Light" w:eastAsia="Calibri" w:hAnsi="Calibri Light" w:cs="Tahoma"/>
          <w:sz w:val="24"/>
          <w:lang w:val="ro-MD"/>
        </w:rPr>
        <w:t xml:space="preserve"> entităților fondate, </w:t>
      </w:r>
      <w:r w:rsidR="00CE3CB4" w:rsidRPr="009E5B39">
        <w:rPr>
          <w:rFonts w:ascii="Calibri Light" w:eastAsia="Calibri" w:hAnsi="Calibri Light" w:cs="Tahoma"/>
          <w:sz w:val="24"/>
          <w:lang w:val="ro-MD"/>
        </w:rPr>
        <w:t>deposedarea UAT de bunuri proprietate publică, folosirea</w:t>
      </w:r>
      <w:r w:rsidR="00E31732" w:rsidRPr="009E5B39">
        <w:rPr>
          <w:rFonts w:ascii="Calibri Light" w:eastAsia="Calibri" w:hAnsi="Calibri Light" w:cs="Tahoma"/>
          <w:sz w:val="24"/>
          <w:lang w:val="ro-MD"/>
        </w:rPr>
        <w:t xml:space="preserve"> abuzivă a patrimoniului public</w:t>
      </w:r>
      <w:r w:rsidR="00CE3CB4" w:rsidRPr="009E5B39">
        <w:rPr>
          <w:rFonts w:ascii="Calibri Light" w:eastAsia="Calibri" w:hAnsi="Calibri Light" w:cs="Tahoma"/>
          <w:sz w:val="24"/>
          <w:lang w:val="ro-MD"/>
        </w:rPr>
        <w:t>.</w:t>
      </w:r>
      <w:r w:rsidRPr="009E5B39">
        <w:rPr>
          <w:rFonts w:ascii="Calibri Light" w:eastAsia="Calibri" w:hAnsi="Calibri Light" w:cs="Tahoma"/>
          <w:sz w:val="24"/>
          <w:lang w:val="ro-MD"/>
        </w:rPr>
        <w:t xml:space="preserve"> Toate acestea sunt determinate de lipsa în cadrul APL a unei politici exhaustive de reglementare a modului de gestionare a patrimoniului public local, care, în consecință, lipsește bugetul UAT de venituri pasibile încasării, necesare pentru asigurarea îndeplinirii obligațiilor funcționale.</w:t>
      </w:r>
    </w:p>
    <w:p w14:paraId="786BD224" w14:textId="12D53276" w:rsidR="00340903" w:rsidRPr="009E5B39" w:rsidRDefault="00340903" w:rsidP="00940DE6">
      <w:pPr>
        <w:pStyle w:val="ListParagraph"/>
        <w:numPr>
          <w:ilvl w:val="2"/>
          <w:numId w:val="29"/>
        </w:numPr>
        <w:spacing w:after="0" w:line="276" w:lineRule="auto"/>
        <w:ind w:left="0" w:firstLine="0"/>
        <w:jc w:val="both"/>
        <w:rPr>
          <w:rFonts w:ascii="Calibri Light" w:eastAsia="Calibri" w:hAnsi="Calibri Light" w:cs="Tahoma"/>
          <w:b/>
          <w:i/>
          <w:sz w:val="24"/>
          <w:lang w:val="ro-MD"/>
        </w:rPr>
      </w:pPr>
      <w:r w:rsidRPr="009E5B39">
        <w:rPr>
          <w:rFonts w:ascii="Calibri Light" w:eastAsia="Calibri" w:hAnsi="Calibri Light" w:cs="Tahoma"/>
          <w:b/>
          <w:i/>
          <w:sz w:val="24"/>
          <w:lang w:val="ro-MD"/>
        </w:rPr>
        <w:t xml:space="preserve">Procesul de delimitare a proprietății publice municipale și </w:t>
      </w:r>
      <w:r w:rsidR="00D95CAF" w:rsidRPr="009E5B39">
        <w:rPr>
          <w:rFonts w:ascii="Calibri Light" w:eastAsia="Calibri" w:hAnsi="Calibri Light" w:cs="Tahoma"/>
          <w:b/>
          <w:i/>
          <w:sz w:val="24"/>
          <w:lang w:val="ro-MD"/>
        </w:rPr>
        <w:t xml:space="preserve">de </w:t>
      </w:r>
      <w:r w:rsidRPr="009E5B39">
        <w:rPr>
          <w:rFonts w:ascii="Calibri Light" w:eastAsia="Calibri" w:hAnsi="Calibri Light" w:cs="Tahoma"/>
          <w:b/>
          <w:i/>
          <w:sz w:val="24"/>
          <w:lang w:val="ro-MD"/>
        </w:rPr>
        <w:t>înregistrare a drepturilor</w:t>
      </w:r>
      <w:r w:rsidR="00D95CAF" w:rsidRPr="009E5B39">
        <w:rPr>
          <w:rFonts w:ascii="Calibri Light" w:eastAsia="Calibri" w:hAnsi="Calibri Light" w:cs="Tahoma"/>
          <w:b/>
          <w:i/>
          <w:sz w:val="24"/>
          <w:lang w:val="ro-MD"/>
        </w:rPr>
        <w:t xml:space="preserve"> în Registrul bunurilor imobile este în întârziere nejustificată și afectează buna gestiune și evidența bunurilor imobiliare.</w:t>
      </w:r>
      <w:r w:rsidRPr="009E5B39">
        <w:rPr>
          <w:rFonts w:ascii="Calibri Light" w:eastAsia="Calibri" w:hAnsi="Calibri Light" w:cs="Tahoma"/>
          <w:b/>
          <w:i/>
          <w:sz w:val="24"/>
          <w:lang w:val="ro-MD"/>
        </w:rPr>
        <w:t xml:space="preserve"> </w:t>
      </w:r>
      <w:r w:rsidR="002D2F55" w:rsidRPr="009E5B39">
        <w:rPr>
          <w:rFonts w:ascii="Calibri Light" w:eastAsia="Calibri" w:hAnsi="Calibri Light" w:cs="Tahoma"/>
          <w:b/>
          <w:i/>
          <w:sz w:val="24"/>
          <w:lang w:val="ro-MD"/>
        </w:rPr>
        <w:t>Astfel,</w:t>
      </w:r>
    </w:p>
    <w:p w14:paraId="61227BB5" w14:textId="39760424" w:rsidR="00340903" w:rsidRPr="009E5B39" w:rsidRDefault="00340903" w:rsidP="003C5073">
      <w:pPr>
        <w:pStyle w:val="ListParagraph"/>
        <w:numPr>
          <w:ilvl w:val="0"/>
          <w:numId w:val="113"/>
        </w:numPr>
        <w:spacing w:after="0" w:line="276" w:lineRule="auto"/>
        <w:ind w:left="0"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Auditul atestă </w:t>
      </w:r>
      <w:r w:rsidR="00F06110" w:rsidRPr="009E5B39">
        <w:rPr>
          <w:rFonts w:asciiTheme="majorHAnsi" w:hAnsiTheme="majorHAnsi" w:cstheme="majorHAnsi"/>
          <w:sz w:val="24"/>
          <w:szCs w:val="24"/>
          <w:lang w:val="ro-MD"/>
        </w:rPr>
        <w:t xml:space="preserve">nedelimitarea și </w:t>
      </w:r>
      <w:r w:rsidRPr="009E5B39">
        <w:rPr>
          <w:rFonts w:asciiTheme="majorHAnsi" w:hAnsiTheme="majorHAnsi" w:cstheme="majorHAnsi"/>
          <w:sz w:val="24"/>
          <w:szCs w:val="24"/>
          <w:lang w:val="ro-MD"/>
        </w:rPr>
        <w:t xml:space="preserve">neînregistrarea în </w:t>
      </w:r>
      <w:r w:rsidRPr="009E5B39">
        <w:rPr>
          <w:rFonts w:asciiTheme="majorHAnsi" w:hAnsiTheme="majorHAnsi" w:cstheme="majorHAnsi"/>
          <w:i/>
          <w:sz w:val="24"/>
          <w:szCs w:val="24"/>
          <w:lang w:val="ro-MD"/>
        </w:rPr>
        <w:t>Registrul bunurilor imobile</w:t>
      </w:r>
      <w:r w:rsidRPr="009E5B39">
        <w:rPr>
          <w:rFonts w:asciiTheme="majorHAnsi" w:hAnsiTheme="majorHAnsi" w:cstheme="majorHAnsi"/>
          <w:sz w:val="24"/>
          <w:szCs w:val="24"/>
          <w:lang w:val="ro-MD"/>
        </w:rPr>
        <w:t xml:space="preserve"> a </w:t>
      </w:r>
      <w:r w:rsidRPr="009E5B39">
        <w:rPr>
          <w:rFonts w:asciiTheme="majorHAnsi" w:hAnsiTheme="majorHAnsi" w:cstheme="majorHAnsi"/>
          <w:b/>
          <w:bCs/>
          <w:sz w:val="24"/>
          <w:szCs w:val="24"/>
          <w:lang w:val="ro-MD"/>
        </w:rPr>
        <w:t>203 imobile</w:t>
      </w:r>
      <w:r w:rsidRPr="009E5B39">
        <w:rPr>
          <w:rFonts w:asciiTheme="majorHAnsi" w:hAnsiTheme="majorHAnsi" w:cstheme="majorHAnsi"/>
          <w:sz w:val="24"/>
          <w:szCs w:val="24"/>
          <w:lang w:val="ro-MD"/>
        </w:rPr>
        <w:t xml:space="preserve"> din gestiunea subdiviziunilor Primăriei mun. Chișinău</w:t>
      </w:r>
      <w:r w:rsidR="002B5A5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suprafața de </w:t>
      </w:r>
      <w:r w:rsidRPr="009E5B39">
        <w:rPr>
          <w:rFonts w:asciiTheme="majorHAnsi" w:hAnsiTheme="majorHAnsi" w:cstheme="majorHAnsi"/>
          <w:b/>
          <w:bCs/>
          <w:sz w:val="24"/>
          <w:szCs w:val="24"/>
          <w:lang w:val="ro-MD"/>
        </w:rPr>
        <w:t>105353,99 m</w:t>
      </w:r>
      <w:r w:rsidRPr="009E5B39">
        <w:rPr>
          <w:rFonts w:asciiTheme="majorHAnsi" w:hAnsiTheme="majorHAnsi" w:cstheme="majorHAnsi"/>
          <w:b/>
          <w:bCs/>
          <w:sz w:val="24"/>
          <w:szCs w:val="24"/>
          <w:vertAlign w:val="superscript"/>
          <w:lang w:val="ro-MD"/>
        </w:rPr>
        <w:t>2</w:t>
      </w:r>
      <w:r w:rsidRPr="009E5B39">
        <w:rPr>
          <w:rFonts w:asciiTheme="majorHAnsi" w:hAnsiTheme="majorHAnsi" w:cstheme="majorHAnsi"/>
          <w:sz w:val="24"/>
          <w:szCs w:val="24"/>
          <w:lang w:val="ro-MD"/>
        </w:rPr>
        <w:t xml:space="preserve"> </w:t>
      </w:r>
      <w:r w:rsidR="002B5A5A"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în valoare de </w:t>
      </w:r>
      <w:r w:rsidRPr="009E5B39">
        <w:rPr>
          <w:rFonts w:asciiTheme="majorHAnsi" w:hAnsiTheme="majorHAnsi" w:cstheme="majorHAnsi"/>
          <w:b/>
          <w:bCs/>
          <w:sz w:val="24"/>
          <w:szCs w:val="24"/>
          <w:lang w:val="ro-MD"/>
        </w:rPr>
        <w:t>381,16 mil. lei</w:t>
      </w:r>
      <w:r w:rsidRPr="009E5B39">
        <w:rPr>
          <w:rFonts w:asciiTheme="majorHAnsi" w:hAnsiTheme="majorHAnsi" w:cstheme="majorHAnsi"/>
          <w:sz w:val="24"/>
          <w:szCs w:val="24"/>
          <w:lang w:val="ro-MD"/>
        </w:rPr>
        <w:t>, prin ce nu se respectă integral Regulamentul de funcționare și organizare a DGECT</w:t>
      </w:r>
      <w:r w:rsidRPr="009E5B39">
        <w:rPr>
          <w:rFonts w:asciiTheme="majorHAnsi" w:hAnsiTheme="majorHAnsi" w:cstheme="majorHAnsi"/>
          <w:sz w:val="24"/>
          <w:szCs w:val="24"/>
          <w:vertAlign w:val="superscript"/>
          <w:lang w:val="ro-MD"/>
        </w:rPr>
        <w:footnoteReference w:id="125"/>
      </w:r>
      <w:r w:rsidRPr="009E5B39">
        <w:rPr>
          <w:rFonts w:asciiTheme="majorHAnsi" w:hAnsiTheme="majorHAnsi" w:cstheme="majorHAnsi"/>
          <w:sz w:val="24"/>
          <w:szCs w:val="24"/>
          <w:lang w:val="ro-MD"/>
        </w:rPr>
        <w:t>, pct.10, alin.(14)</w:t>
      </w:r>
      <w:r w:rsidRPr="009E5B39">
        <w:rPr>
          <w:rFonts w:asciiTheme="majorHAnsi" w:hAnsiTheme="majorHAnsi" w:cstheme="majorHAnsi"/>
          <w:sz w:val="24"/>
          <w:szCs w:val="24"/>
          <w:vertAlign w:val="superscript"/>
          <w:lang w:val="ro-MD"/>
        </w:rPr>
        <w:footnoteReference w:id="126"/>
      </w:r>
      <w:r w:rsidRPr="009E5B39">
        <w:rPr>
          <w:rFonts w:asciiTheme="majorHAnsi" w:hAnsiTheme="majorHAnsi" w:cstheme="majorHAnsi"/>
          <w:sz w:val="24"/>
          <w:szCs w:val="24"/>
          <w:lang w:val="ro-MD"/>
        </w:rPr>
        <w:t>, pct.11, alin.(14)</w:t>
      </w:r>
      <w:r w:rsidRPr="009E5B39">
        <w:rPr>
          <w:rFonts w:asciiTheme="majorHAnsi" w:hAnsiTheme="majorHAnsi" w:cstheme="majorHAnsi"/>
          <w:sz w:val="24"/>
          <w:szCs w:val="24"/>
          <w:vertAlign w:val="superscript"/>
          <w:lang w:val="ro-MD"/>
        </w:rPr>
        <w:footnoteReference w:id="127"/>
      </w:r>
      <w:r w:rsidRPr="009E5B39">
        <w:rPr>
          <w:rFonts w:asciiTheme="majorHAnsi" w:hAnsiTheme="majorHAnsi" w:cstheme="majorHAnsi"/>
          <w:sz w:val="24"/>
          <w:szCs w:val="24"/>
          <w:lang w:val="ro-MD"/>
        </w:rPr>
        <w:t>. Astfel, se relevă riscul de pierdere a drepturilor patrimoniale asupra bunurilor imobile menționate.</w:t>
      </w:r>
    </w:p>
    <w:p w14:paraId="78459746" w14:textId="7F89AAD2" w:rsidR="00086881" w:rsidRPr="009E5B39" w:rsidRDefault="00340903" w:rsidP="00086881">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Menționăm că DGECT</w:t>
      </w:r>
      <w:r w:rsidR="00205D5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bazându-se pe prevederile L</w:t>
      </w:r>
      <w:r w:rsidR="00A354BF" w:rsidRPr="009E5B39">
        <w:rPr>
          <w:rFonts w:asciiTheme="majorHAnsi" w:hAnsiTheme="majorHAnsi" w:cstheme="majorHAnsi"/>
          <w:sz w:val="24"/>
          <w:szCs w:val="24"/>
          <w:lang w:val="ro-MD"/>
        </w:rPr>
        <w:t>egii</w:t>
      </w:r>
      <w:r w:rsidRPr="009E5B39">
        <w:rPr>
          <w:rFonts w:asciiTheme="majorHAnsi" w:hAnsiTheme="majorHAnsi" w:cstheme="majorHAnsi"/>
          <w:sz w:val="24"/>
          <w:szCs w:val="24"/>
          <w:lang w:val="ro-MD"/>
        </w:rPr>
        <w:t xml:space="preserve"> </w:t>
      </w:r>
      <w:r w:rsidR="00205D54" w:rsidRPr="009E5B39">
        <w:rPr>
          <w:rFonts w:asciiTheme="majorHAnsi" w:hAnsiTheme="majorHAnsi" w:cstheme="majorHAnsi"/>
          <w:sz w:val="24"/>
          <w:szCs w:val="24"/>
          <w:lang w:val="ro-MD"/>
        </w:rPr>
        <w:t>nr.</w:t>
      </w:r>
      <w:r w:rsidRPr="009E5B39">
        <w:rPr>
          <w:rFonts w:asciiTheme="majorHAnsi" w:hAnsiTheme="majorHAnsi" w:cstheme="majorHAnsi"/>
          <w:sz w:val="24"/>
          <w:szCs w:val="24"/>
          <w:lang w:val="ro-MD"/>
        </w:rPr>
        <w:t>121/2007</w:t>
      </w:r>
      <w:r w:rsidRPr="009E5B39">
        <w:rPr>
          <w:rFonts w:asciiTheme="majorHAnsi" w:hAnsiTheme="majorHAnsi" w:cstheme="majorHAnsi"/>
          <w:sz w:val="24"/>
          <w:szCs w:val="24"/>
          <w:vertAlign w:val="superscript"/>
          <w:lang w:val="ro-MD"/>
        </w:rPr>
        <w:footnoteReference w:id="128"/>
      </w:r>
      <w:r w:rsidRPr="009E5B39">
        <w:rPr>
          <w:rFonts w:asciiTheme="majorHAnsi" w:hAnsiTheme="majorHAnsi" w:cstheme="majorHAnsi"/>
          <w:sz w:val="24"/>
          <w:szCs w:val="24"/>
          <w:lang w:val="ro-MD"/>
        </w:rPr>
        <w:t>, art.10</w:t>
      </w:r>
      <w:r w:rsidRPr="009E5B39">
        <w:rPr>
          <w:rFonts w:asciiTheme="majorHAnsi" w:hAnsiTheme="majorHAnsi" w:cstheme="majorHAnsi"/>
          <w:sz w:val="24"/>
          <w:szCs w:val="24"/>
          <w:vertAlign w:val="superscript"/>
          <w:lang w:val="ro-MD"/>
        </w:rPr>
        <w:t>1</w:t>
      </w:r>
      <w:r w:rsidRPr="009E5B39">
        <w:rPr>
          <w:rFonts w:asciiTheme="majorHAnsi" w:hAnsiTheme="majorHAnsi" w:cstheme="majorHAnsi"/>
          <w:sz w:val="24"/>
          <w:szCs w:val="24"/>
          <w:lang w:val="ro-MD"/>
        </w:rPr>
        <w:t>, alin.(5), pe parcursul anilor 2019-2021 a întocmit mai multe liste</w:t>
      </w:r>
      <w:r w:rsidR="00205D5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circa 86 de bunuri imobile</w:t>
      </w:r>
      <w:r w:rsidR="00205D5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și le-a prezentat spre coordonare către APP, </w:t>
      </w:r>
      <w:r w:rsidR="00205D54" w:rsidRPr="009E5B39">
        <w:rPr>
          <w:rFonts w:asciiTheme="majorHAnsi" w:hAnsiTheme="majorHAnsi" w:cstheme="majorHAnsi"/>
          <w:sz w:val="24"/>
          <w:szCs w:val="24"/>
          <w:lang w:val="ro-MD"/>
        </w:rPr>
        <w:t>care</w:t>
      </w:r>
      <w:r w:rsidRPr="009E5B39">
        <w:rPr>
          <w:rFonts w:asciiTheme="majorHAnsi" w:hAnsiTheme="majorHAnsi" w:cstheme="majorHAnsi"/>
          <w:sz w:val="24"/>
          <w:szCs w:val="24"/>
          <w:lang w:val="ro-MD"/>
        </w:rPr>
        <w:t xml:space="preserve"> nu le-a coordonat, iar ca urmare</w:t>
      </w:r>
      <w:r w:rsidR="00205D5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ASP a refuzat înregistrarea acestora. </w:t>
      </w:r>
      <w:r w:rsidR="00205D54" w:rsidRPr="009E5B39">
        <w:rPr>
          <w:rFonts w:asciiTheme="majorHAnsi" w:hAnsiTheme="majorHAnsi" w:cstheme="majorHAnsi"/>
          <w:sz w:val="24"/>
          <w:szCs w:val="24"/>
          <w:lang w:val="ro-MD"/>
        </w:rPr>
        <w:t>APP a motivat n</w:t>
      </w:r>
      <w:r w:rsidRPr="009E5B39">
        <w:rPr>
          <w:rFonts w:asciiTheme="majorHAnsi" w:hAnsiTheme="majorHAnsi" w:cstheme="majorHAnsi"/>
          <w:sz w:val="24"/>
          <w:szCs w:val="24"/>
          <w:lang w:val="ro-MD"/>
        </w:rPr>
        <w:t>ecoordonarea acestor liste prin faptul că APL au inclus în list</w:t>
      </w:r>
      <w:r w:rsidR="00205D54"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încăperi din blocurile locative</w:t>
      </w:r>
      <w:r w:rsidR="00205D5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care</w:t>
      </w:r>
      <w:r w:rsidR="00205D5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00205D54" w:rsidRPr="009E5B39">
        <w:rPr>
          <w:rFonts w:asciiTheme="majorHAnsi" w:hAnsiTheme="majorHAnsi" w:cstheme="majorHAnsi"/>
          <w:sz w:val="24"/>
          <w:szCs w:val="24"/>
          <w:lang w:val="ro-MD"/>
        </w:rPr>
        <w:t>potrivit</w:t>
      </w:r>
      <w:r w:rsidRPr="009E5B39">
        <w:rPr>
          <w:rFonts w:asciiTheme="majorHAnsi" w:hAnsiTheme="majorHAnsi" w:cstheme="majorHAnsi"/>
          <w:sz w:val="24"/>
          <w:szCs w:val="24"/>
          <w:lang w:val="ro-MD"/>
        </w:rPr>
        <w:t xml:space="preserve"> Legii condominiului</w:t>
      </w:r>
      <w:r w:rsidR="00205D5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sunt proprietate comună a</w:t>
      </w:r>
      <w:r w:rsidR="00205D54"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 proprietarilor apartamentelor, alte bunuri se afl</w:t>
      </w:r>
      <w:r w:rsidR="00D27875" w:rsidRPr="009E5B39">
        <w:rPr>
          <w:rFonts w:asciiTheme="majorHAnsi" w:hAnsiTheme="majorHAnsi" w:cstheme="majorHAnsi"/>
          <w:sz w:val="24"/>
          <w:szCs w:val="24"/>
          <w:lang w:val="ro-MD"/>
        </w:rPr>
        <w:t>au</w:t>
      </w:r>
      <w:r w:rsidRPr="009E5B39">
        <w:rPr>
          <w:rFonts w:asciiTheme="majorHAnsi" w:hAnsiTheme="majorHAnsi" w:cstheme="majorHAnsi"/>
          <w:sz w:val="24"/>
          <w:szCs w:val="24"/>
          <w:lang w:val="ro-MD"/>
        </w:rPr>
        <w:t xml:space="preserve"> pe terenuri neînregistrate, iar pentru alte categori</w:t>
      </w:r>
      <w:r w:rsidR="00205D54" w:rsidRPr="009E5B39">
        <w:rPr>
          <w:rFonts w:asciiTheme="majorHAnsi" w:hAnsiTheme="majorHAnsi" w:cstheme="majorHAnsi"/>
          <w:sz w:val="24"/>
          <w:szCs w:val="24"/>
          <w:lang w:val="ro-MD"/>
        </w:rPr>
        <w:t>i</w:t>
      </w:r>
      <w:r w:rsidRPr="009E5B39">
        <w:rPr>
          <w:rFonts w:asciiTheme="majorHAnsi" w:hAnsiTheme="majorHAnsi" w:cstheme="majorHAnsi"/>
          <w:sz w:val="24"/>
          <w:szCs w:val="24"/>
          <w:lang w:val="ro-MD"/>
        </w:rPr>
        <w:t xml:space="preserve"> </w:t>
      </w:r>
      <w:r w:rsidR="00205D54" w:rsidRPr="009E5B39">
        <w:rPr>
          <w:rFonts w:asciiTheme="majorHAnsi" w:hAnsiTheme="majorHAnsi" w:cstheme="majorHAnsi"/>
          <w:sz w:val="24"/>
          <w:szCs w:val="24"/>
          <w:lang w:val="ro-MD"/>
        </w:rPr>
        <w:t xml:space="preserve">de bunuri </w:t>
      </w:r>
      <w:r w:rsidRPr="009E5B39">
        <w:rPr>
          <w:rFonts w:asciiTheme="majorHAnsi" w:hAnsiTheme="majorHAnsi" w:cstheme="majorHAnsi"/>
          <w:sz w:val="24"/>
          <w:szCs w:val="24"/>
          <w:lang w:val="ro-MD"/>
        </w:rPr>
        <w:t>nu exist</w:t>
      </w:r>
      <w:r w:rsidR="00D27875" w:rsidRPr="009E5B39">
        <w:rPr>
          <w:rFonts w:asciiTheme="majorHAnsi" w:hAnsiTheme="majorHAnsi" w:cstheme="majorHAnsi"/>
          <w:sz w:val="24"/>
          <w:szCs w:val="24"/>
          <w:lang w:val="ro-MD"/>
        </w:rPr>
        <w:t>au</w:t>
      </w:r>
      <w:r w:rsidRPr="009E5B39">
        <w:rPr>
          <w:rFonts w:asciiTheme="majorHAnsi" w:hAnsiTheme="majorHAnsi" w:cstheme="majorHAnsi"/>
          <w:sz w:val="24"/>
          <w:szCs w:val="24"/>
          <w:lang w:val="ro-MD"/>
        </w:rPr>
        <w:t xml:space="preserve"> documente solicitate pentru coordonare sau înregistrare. În acest context</w:t>
      </w:r>
      <w:r w:rsidR="00205D5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se menționează că unele bunuri imobile</w:t>
      </w:r>
      <w:r w:rsidR="00205D5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deși sunt declarate c</w:t>
      </w:r>
      <w:r w:rsidR="00205D54"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folosite de </w:t>
      </w:r>
      <w:r w:rsidR="00F06110" w:rsidRPr="009E5B39">
        <w:rPr>
          <w:rFonts w:asciiTheme="majorHAnsi" w:hAnsiTheme="majorHAnsi" w:cstheme="majorHAnsi"/>
          <w:sz w:val="24"/>
          <w:szCs w:val="24"/>
          <w:lang w:val="ro-MD"/>
        </w:rPr>
        <w:t>APL</w:t>
      </w:r>
      <w:r w:rsidR="00205D5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 fapt nici nu sunt înregistrate în evidența contabilă a APL și nici nu sunt incluse în Registrul patrimoniului municipal</w:t>
      </w:r>
      <w:r w:rsidR="00086881" w:rsidRPr="009E5B39">
        <w:rPr>
          <w:rFonts w:asciiTheme="majorHAnsi" w:hAnsiTheme="majorHAnsi" w:cstheme="majorHAnsi"/>
          <w:sz w:val="24"/>
          <w:szCs w:val="24"/>
          <w:lang w:val="ro-MD"/>
        </w:rPr>
        <w:t xml:space="preserve">. </w:t>
      </w:r>
    </w:p>
    <w:p w14:paraId="5D1167EF" w14:textId="7B781528" w:rsidR="00ED2FE5" w:rsidRPr="009E5B39" w:rsidRDefault="00ED2FE5" w:rsidP="00ED2FE5">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Din cauza neînregistrării în RBI a drepturilor de proprietate a mun. Chișinău asupra bunurilor imobile, o parte din acestea</w:t>
      </w:r>
      <w:r w:rsidR="003D190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prin Hotărâre de Guvern</w:t>
      </w:r>
      <w:r w:rsidR="003D190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au fost declarate proprietate de stat (str. Armenească, 94 și 96). </w:t>
      </w:r>
    </w:p>
    <w:p w14:paraId="6FE71A09" w14:textId="0BDB720C" w:rsidR="00086881" w:rsidRPr="009E5B39" w:rsidRDefault="00086881" w:rsidP="00AB5F20">
      <w:pPr>
        <w:pStyle w:val="ListParagraph"/>
        <w:numPr>
          <w:ilvl w:val="0"/>
          <w:numId w:val="113"/>
        </w:numPr>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Auditul a </w:t>
      </w:r>
      <w:r w:rsidR="003D1907" w:rsidRPr="009E5B39">
        <w:rPr>
          <w:rFonts w:asciiTheme="majorHAnsi" w:hAnsiTheme="majorHAnsi" w:cstheme="majorHAnsi"/>
          <w:sz w:val="24"/>
          <w:szCs w:val="24"/>
          <w:lang w:val="ro-MD"/>
        </w:rPr>
        <w:t>constatat</w:t>
      </w:r>
      <w:r w:rsidRPr="009E5B39">
        <w:rPr>
          <w:rFonts w:asciiTheme="majorHAnsi" w:hAnsiTheme="majorHAnsi" w:cstheme="majorHAnsi"/>
          <w:sz w:val="24"/>
          <w:szCs w:val="24"/>
          <w:lang w:val="ro-MD"/>
        </w:rPr>
        <w:t xml:space="preserve"> înregistrări neconforme în RBI. Astfel, imobilul din str. Veronica Micle 10A, cod cadastral 0100205.440.01</w:t>
      </w:r>
      <w:r w:rsidR="003D1907"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din gestiunea Primăriei mun. Chișinău, este înregistrat eronat cu codul cadastral 0100205.216.02;</w:t>
      </w:r>
    </w:p>
    <w:p w14:paraId="46F96AD7" w14:textId="69346B7D" w:rsidR="00237FF8" w:rsidRPr="009E5B39" w:rsidRDefault="00237FF8" w:rsidP="003C5073">
      <w:pPr>
        <w:pStyle w:val="ListParagraph"/>
        <w:numPr>
          <w:ilvl w:val="0"/>
          <w:numId w:val="113"/>
        </w:numPr>
        <w:spacing w:after="0" w:line="276" w:lineRule="auto"/>
        <w:ind w:left="0" w:firstLine="284"/>
        <w:jc w:val="both"/>
        <w:rPr>
          <w:rFonts w:asciiTheme="majorHAnsi" w:hAnsiTheme="majorHAnsi" w:cstheme="majorHAnsi"/>
          <w:i/>
          <w:sz w:val="24"/>
          <w:szCs w:val="24"/>
          <w:lang w:val="ro-MD"/>
        </w:rPr>
      </w:pPr>
      <w:r w:rsidRPr="009E5B39">
        <w:rPr>
          <w:rFonts w:asciiTheme="majorHAnsi" w:eastAsia="Calibri" w:hAnsiTheme="majorHAnsi" w:cstheme="majorHAnsi"/>
          <w:sz w:val="24"/>
          <w:szCs w:val="24"/>
          <w:lang w:val="ro-MD"/>
        </w:rPr>
        <w:t>CMC nu a asigurat înregistrarea la ASP a dreptului de proprietate asupra două bunuri imobile</w:t>
      </w:r>
      <w:r w:rsidRPr="009E5B39">
        <w:rPr>
          <w:rStyle w:val="FootnoteReference"/>
          <w:rFonts w:asciiTheme="majorHAnsi" w:eastAsia="Calibri" w:hAnsiTheme="majorHAnsi" w:cstheme="majorHAnsi"/>
          <w:sz w:val="24"/>
          <w:szCs w:val="24"/>
          <w:lang w:val="ro-MD"/>
        </w:rPr>
        <w:footnoteReference w:id="129"/>
      </w:r>
      <w:r w:rsidRPr="009E5B39">
        <w:rPr>
          <w:rFonts w:asciiTheme="majorHAnsi" w:eastAsia="Calibri" w:hAnsiTheme="majorHAnsi" w:cstheme="majorHAnsi"/>
          <w:sz w:val="24"/>
          <w:szCs w:val="24"/>
          <w:lang w:val="ro-MD"/>
        </w:rPr>
        <w:t>, gestionate de ÎM DCC.</w:t>
      </w:r>
    </w:p>
    <w:p w14:paraId="66722469" w14:textId="7E456591" w:rsidR="00340903" w:rsidRPr="009E5B39" w:rsidRDefault="00340903" w:rsidP="00AB5F20">
      <w:pPr>
        <w:pStyle w:val="ListParagraph"/>
        <w:numPr>
          <w:ilvl w:val="0"/>
          <w:numId w:val="113"/>
        </w:numPr>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Primăria mun. Chișinău gestionează </w:t>
      </w:r>
      <w:r w:rsidRPr="009E5B39">
        <w:rPr>
          <w:rFonts w:asciiTheme="majorHAnsi" w:hAnsiTheme="majorHAnsi" w:cstheme="majorHAnsi"/>
          <w:b/>
          <w:bCs/>
          <w:sz w:val="24"/>
          <w:szCs w:val="24"/>
          <w:lang w:val="ro-MD"/>
        </w:rPr>
        <w:t xml:space="preserve">92 </w:t>
      </w:r>
      <w:r w:rsidR="003D1907" w:rsidRPr="009E5B39">
        <w:rPr>
          <w:rFonts w:asciiTheme="majorHAnsi" w:hAnsiTheme="majorHAnsi" w:cstheme="majorHAnsi"/>
          <w:b/>
          <w:bCs/>
          <w:sz w:val="24"/>
          <w:szCs w:val="24"/>
          <w:lang w:val="ro-MD"/>
        </w:rPr>
        <w:t xml:space="preserve">de </w:t>
      </w:r>
      <w:r w:rsidRPr="009E5B39">
        <w:rPr>
          <w:rFonts w:asciiTheme="majorHAnsi" w:hAnsiTheme="majorHAnsi" w:cstheme="majorHAnsi"/>
          <w:b/>
          <w:bCs/>
          <w:sz w:val="24"/>
          <w:szCs w:val="24"/>
          <w:lang w:val="ro-MD"/>
        </w:rPr>
        <w:t>imobile</w:t>
      </w:r>
      <w:r w:rsidR="003D1907" w:rsidRPr="009E5B39">
        <w:rPr>
          <w:rFonts w:asciiTheme="majorHAnsi" w:hAnsiTheme="majorHAnsi" w:cstheme="majorHAnsi"/>
          <w:b/>
          <w:bCs/>
          <w:sz w:val="24"/>
          <w:szCs w:val="24"/>
          <w:lang w:val="ro-MD"/>
        </w:rPr>
        <w:t>,</w:t>
      </w:r>
      <w:r w:rsidRPr="009E5B39">
        <w:rPr>
          <w:rFonts w:asciiTheme="majorHAnsi" w:hAnsiTheme="majorHAnsi" w:cstheme="majorHAnsi"/>
          <w:sz w:val="24"/>
          <w:szCs w:val="24"/>
          <w:lang w:val="ro-MD"/>
        </w:rPr>
        <w:t xml:space="preserve"> în valoare de </w:t>
      </w:r>
      <w:r w:rsidRPr="009E5B39">
        <w:rPr>
          <w:rFonts w:asciiTheme="majorHAnsi" w:hAnsiTheme="majorHAnsi" w:cstheme="majorHAnsi"/>
          <w:b/>
          <w:bCs/>
          <w:sz w:val="24"/>
          <w:szCs w:val="24"/>
          <w:lang w:val="ro-MD"/>
        </w:rPr>
        <w:t>153,53 mil. lei</w:t>
      </w:r>
      <w:r w:rsidR="003D1907" w:rsidRPr="009E5B39">
        <w:rPr>
          <w:rFonts w:asciiTheme="majorHAnsi" w:hAnsiTheme="majorHAnsi" w:cstheme="majorHAnsi"/>
          <w:b/>
          <w:bCs/>
          <w:sz w:val="24"/>
          <w:szCs w:val="24"/>
          <w:lang w:val="ro-MD"/>
        </w:rPr>
        <w:t>,</w:t>
      </w:r>
      <w:r w:rsidRPr="009E5B39">
        <w:rPr>
          <w:rFonts w:asciiTheme="majorHAnsi" w:hAnsiTheme="majorHAnsi" w:cstheme="majorHAnsi"/>
          <w:sz w:val="24"/>
          <w:szCs w:val="24"/>
          <w:lang w:val="ro-MD"/>
        </w:rPr>
        <w:t xml:space="preserve"> cu suprafața de </w:t>
      </w:r>
      <w:r w:rsidRPr="009E5B39">
        <w:rPr>
          <w:rFonts w:asciiTheme="majorHAnsi" w:hAnsiTheme="majorHAnsi" w:cstheme="majorHAnsi"/>
          <w:b/>
          <w:bCs/>
          <w:sz w:val="24"/>
          <w:szCs w:val="24"/>
          <w:lang w:val="ro-MD"/>
        </w:rPr>
        <w:t>68626,8 m</w:t>
      </w:r>
      <w:r w:rsidRPr="009E5B39">
        <w:rPr>
          <w:rFonts w:asciiTheme="majorHAnsi" w:hAnsiTheme="majorHAnsi" w:cstheme="majorHAnsi"/>
          <w:b/>
          <w:bCs/>
          <w:sz w:val="24"/>
          <w:szCs w:val="24"/>
          <w:vertAlign w:val="superscript"/>
          <w:lang w:val="ro-MD"/>
        </w:rPr>
        <w:t>2</w:t>
      </w:r>
      <w:r w:rsidRPr="009E5B39">
        <w:rPr>
          <w:rFonts w:asciiTheme="majorHAnsi" w:hAnsiTheme="majorHAnsi" w:cstheme="majorHAnsi"/>
          <w:sz w:val="24"/>
          <w:szCs w:val="24"/>
          <w:vertAlign w:val="superscript"/>
          <w:lang w:val="ro-MD"/>
        </w:rPr>
        <w:t xml:space="preserve"> </w:t>
      </w:r>
      <w:r w:rsidR="003D1907"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a</w:t>
      </w:r>
      <w:r w:rsidR="003D1907" w:rsidRPr="009E5B39">
        <w:rPr>
          <w:rFonts w:asciiTheme="majorHAnsi" w:hAnsiTheme="majorHAnsi" w:cstheme="majorHAnsi"/>
          <w:sz w:val="24"/>
          <w:szCs w:val="24"/>
          <w:lang w:val="ro-MD"/>
        </w:rPr>
        <w:t>l</w:t>
      </w:r>
      <w:r w:rsidRPr="009E5B39">
        <w:rPr>
          <w:rFonts w:asciiTheme="majorHAnsi" w:hAnsiTheme="majorHAnsi" w:cstheme="majorHAnsi"/>
          <w:sz w:val="24"/>
          <w:szCs w:val="24"/>
          <w:lang w:val="ro-MD"/>
        </w:rPr>
        <w:t xml:space="preserve"> căror proprietar este </w:t>
      </w:r>
      <w:r w:rsidR="00A8082C" w:rsidRPr="009E5B39">
        <w:rPr>
          <w:rFonts w:asciiTheme="majorHAnsi" w:hAnsiTheme="majorHAnsi" w:cstheme="majorHAnsi"/>
          <w:sz w:val="24"/>
          <w:szCs w:val="24"/>
          <w:lang w:val="ro-MD"/>
        </w:rPr>
        <w:t xml:space="preserve">înregistrat – </w:t>
      </w:r>
      <w:r w:rsidRPr="009E5B39">
        <w:rPr>
          <w:rFonts w:asciiTheme="majorHAnsi" w:hAnsiTheme="majorHAnsi" w:cstheme="majorHAnsi"/>
          <w:sz w:val="24"/>
          <w:szCs w:val="24"/>
          <w:lang w:val="ro-MD"/>
        </w:rPr>
        <w:t>Republica Moldova</w:t>
      </w:r>
      <w:r w:rsidRPr="009E5B39">
        <w:rPr>
          <w:rFonts w:asciiTheme="majorHAnsi" w:hAnsiTheme="majorHAnsi" w:cstheme="majorHAnsi"/>
          <w:sz w:val="24"/>
          <w:szCs w:val="24"/>
          <w:vertAlign w:val="superscript"/>
          <w:lang w:val="ro-MD"/>
        </w:rPr>
        <w:footnoteReference w:id="130"/>
      </w:r>
      <w:r w:rsidRPr="009E5B39">
        <w:rPr>
          <w:rFonts w:asciiTheme="majorHAnsi" w:hAnsiTheme="majorHAnsi" w:cstheme="majorHAnsi"/>
          <w:sz w:val="24"/>
          <w:szCs w:val="24"/>
          <w:lang w:val="ro-MD"/>
        </w:rPr>
        <w:t>.</w:t>
      </w:r>
    </w:p>
    <w:p w14:paraId="43EBCA35" w14:textId="38337856" w:rsidR="00340903" w:rsidRPr="009E5B39" w:rsidRDefault="00340903" w:rsidP="00D27875">
      <w:pPr>
        <w:spacing w:after="0" w:line="276" w:lineRule="auto"/>
        <w:ind w:firstLine="720"/>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Menționăm că</w:t>
      </w:r>
      <w:r w:rsidR="003D190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la solicitarea DGECT, ASP a oferit răspunsul nr.01/6957 din 03.09.2021</w:t>
      </w:r>
      <w:r w:rsidR="003D1907"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 conform căruia</w:t>
      </w:r>
      <w:r w:rsidR="003D190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înregistrarea dreptului de proprietate după R</w:t>
      </w:r>
      <w:r w:rsidR="002D2F55" w:rsidRPr="009E5B39">
        <w:rPr>
          <w:rFonts w:asciiTheme="majorHAnsi" w:hAnsiTheme="majorHAnsi" w:cstheme="majorHAnsi"/>
          <w:sz w:val="24"/>
          <w:szCs w:val="24"/>
          <w:lang w:val="ro-MD"/>
        </w:rPr>
        <w:t xml:space="preserve">epublica </w:t>
      </w:r>
      <w:r w:rsidRPr="009E5B39">
        <w:rPr>
          <w:rFonts w:asciiTheme="majorHAnsi" w:hAnsiTheme="majorHAnsi" w:cstheme="majorHAnsi"/>
          <w:sz w:val="24"/>
          <w:szCs w:val="24"/>
          <w:lang w:val="ro-MD"/>
        </w:rPr>
        <w:t>M</w:t>
      </w:r>
      <w:r w:rsidR="002D2F55" w:rsidRPr="009E5B39">
        <w:rPr>
          <w:rFonts w:asciiTheme="majorHAnsi" w:hAnsiTheme="majorHAnsi" w:cstheme="majorHAnsi"/>
          <w:sz w:val="24"/>
          <w:szCs w:val="24"/>
          <w:lang w:val="ro-MD"/>
        </w:rPr>
        <w:t>oldova</w:t>
      </w:r>
      <w:r w:rsidRPr="009E5B39">
        <w:rPr>
          <w:rFonts w:asciiTheme="majorHAnsi" w:hAnsiTheme="majorHAnsi" w:cstheme="majorHAnsi"/>
          <w:sz w:val="24"/>
          <w:szCs w:val="24"/>
          <w:lang w:val="ro-MD"/>
        </w:rPr>
        <w:t xml:space="preserve"> asupra bunurilor imobile s-a efectuat pentru asigurarea înregistrării drepturilor asupra construcțiilor/încăperilor, cu respectarea normelor art.35 al L</w:t>
      </w:r>
      <w:r w:rsidR="00A354BF" w:rsidRPr="009E5B39">
        <w:rPr>
          <w:rFonts w:asciiTheme="majorHAnsi" w:hAnsiTheme="majorHAnsi" w:cstheme="majorHAnsi"/>
          <w:sz w:val="24"/>
          <w:szCs w:val="24"/>
          <w:lang w:val="ro-MD"/>
        </w:rPr>
        <w:t>egii</w:t>
      </w:r>
      <w:r w:rsidRPr="009E5B39">
        <w:rPr>
          <w:rFonts w:asciiTheme="majorHAnsi" w:hAnsiTheme="majorHAnsi" w:cstheme="majorHAnsi"/>
          <w:sz w:val="24"/>
          <w:szCs w:val="24"/>
          <w:lang w:val="ro-MD"/>
        </w:rPr>
        <w:t xml:space="preserve"> </w:t>
      </w:r>
      <w:r w:rsidR="003D1907" w:rsidRPr="009E5B39">
        <w:rPr>
          <w:rFonts w:asciiTheme="majorHAnsi" w:hAnsiTheme="majorHAnsi" w:cstheme="majorHAnsi"/>
          <w:sz w:val="24"/>
          <w:szCs w:val="24"/>
          <w:lang w:val="ro-MD"/>
        </w:rPr>
        <w:t>nr.</w:t>
      </w:r>
      <w:r w:rsidRPr="009E5B39">
        <w:rPr>
          <w:rFonts w:asciiTheme="majorHAnsi" w:hAnsiTheme="majorHAnsi" w:cstheme="majorHAnsi"/>
          <w:sz w:val="24"/>
          <w:szCs w:val="24"/>
          <w:lang w:val="ro-MD"/>
        </w:rPr>
        <w:t>1543/1998</w:t>
      </w:r>
      <w:r w:rsidRPr="009E5B39">
        <w:rPr>
          <w:rFonts w:asciiTheme="majorHAnsi" w:hAnsiTheme="majorHAnsi" w:cstheme="majorHAnsi"/>
          <w:sz w:val="24"/>
          <w:szCs w:val="24"/>
          <w:vertAlign w:val="superscript"/>
          <w:lang w:val="ro-MD"/>
        </w:rPr>
        <w:footnoteReference w:id="131"/>
      </w:r>
      <w:r w:rsidRPr="009E5B39">
        <w:rPr>
          <w:rFonts w:asciiTheme="majorHAnsi" w:hAnsiTheme="majorHAnsi" w:cstheme="majorHAnsi"/>
          <w:sz w:val="24"/>
          <w:szCs w:val="24"/>
          <w:lang w:val="ro-MD"/>
        </w:rPr>
        <w:t xml:space="preserve">. Ținând cont </w:t>
      </w:r>
      <w:r w:rsidR="003D1907" w:rsidRPr="009E5B39">
        <w:rPr>
          <w:rFonts w:asciiTheme="majorHAnsi" w:hAnsiTheme="majorHAnsi" w:cstheme="majorHAnsi"/>
          <w:sz w:val="24"/>
          <w:szCs w:val="24"/>
          <w:lang w:val="ro-MD"/>
        </w:rPr>
        <w:t xml:space="preserve">de faptul </w:t>
      </w:r>
      <w:r w:rsidRPr="009E5B39">
        <w:rPr>
          <w:rFonts w:asciiTheme="majorHAnsi" w:hAnsiTheme="majorHAnsi" w:cstheme="majorHAnsi"/>
          <w:sz w:val="24"/>
          <w:szCs w:val="24"/>
          <w:lang w:val="ro-MD"/>
        </w:rPr>
        <w:t xml:space="preserve">că înregistrarea dreptului de proprietate asupra bunurilor imobile s-a efectuat în lipsa actelor de drept, apartenența bunurilor imobile urmează a fi stabilită în procesul delimitării bunurilor proprietate publică. Conform Programului de stat pentru delimitarea bunurilor imobile, inclusiv </w:t>
      </w:r>
      <w:r w:rsidR="009F7AA4"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terenuril</w:t>
      </w:r>
      <w:r w:rsidR="009F7AA4" w:rsidRPr="009E5B39">
        <w:rPr>
          <w:rFonts w:asciiTheme="majorHAnsi" w:hAnsiTheme="majorHAnsi" w:cstheme="majorHAnsi"/>
          <w:sz w:val="24"/>
          <w:szCs w:val="24"/>
          <w:lang w:val="ro-MD"/>
        </w:rPr>
        <w:t xml:space="preserve">or </w:t>
      </w:r>
      <w:r w:rsidRPr="009E5B39">
        <w:rPr>
          <w:rFonts w:asciiTheme="majorHAnsi" w:hAnsiTheme="majorHAnsi" w:cstheme="majorHAnsi"/>
          <w:sz w:val="24"/>
          <w:szCs w:val="24"/>
          <w:lang w:val="ro-MD"/>
        </w:rPr>
        <w:t xml:space="preserve"> proprietate publică</w:t>
      </w:r>
      <w:r w:rsidR="003D190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pentru an</w:t>
      </w:r>
      <w:r w:rsidR="003D1907" w:rsidRPr="009E5B39">
        <w:rPr>
          <w:rFonts w:asciiTheme="majorHAnsi" w:hAnsiTheme="majorHAnsi" w:cstheme="majorHAnsi"/>
          <w:sz w:val="24"/>
          <w:szCs w:val="24"/>
          <w:lang w:val="ro-MD"/>
        </w:rPr>
        <w:t>ii</w:t>
      </w:r>
      <w:r w:rsidRPr="009E5B39">
        <w:rPr>
          <w:rFonts w:asciiTheme="majorHAnsi" w:hAnsiTheme="majorHAnsi" w:cstheme="majorHAnsi"/>
          <w:sz w:val="24"/>
          <w:szCs w:val="24"/>
          <w:lang w:val="ro-MD"/>
        </w:rPr>
        <w:t xml:space="preserve"> 2019-2023, cu finanțare din bugetul de stat, aprobat prin HG nr.80/2019, executarea lucrărilor de delimitare masivă a bunurilor imobile proprietate publică, amplasate pe teritoriul administrativ al mun. Chișinău</w:t>
      </w:r>
      <w:r w:rsidR="009F7AA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este preconizată pe parcursul anului 2022</w:t>
      </w:r>
      <w:r w:rsidR="00E2358E" w:rsidRPr="009E5B39">
        <w:rPr>
          <w:rFonts w:asciiTheme="majorHAnsi" w:hAnsiTheme="majorHAnsi" w:cstheme="majorHAnsi"/>
          <w:sz w:val="24"/>
          <w:szCs w:val="24"/>
          <w:lang w:val="ro-MD"/>
        </w:rPr>
        <w:t>.</w:t>
      </w:r>
    </w:p>
    <w:p w14:paraId="47B9199D" w14:textId="033FD9C8" w:rsidR="00340903" w:rsidRPr="009E5B39" w:rsidRDefault="00340903" w:rsidP="00AB5F20">
      <w:pPr>
        <w:pStyle w:val="ListParagraph"/>
        <w:numPr>
          <w:ilvl w:val="0"/>
          <w:numId w:val="113"/>
        </w:numPr>
        <w:spacing w:after="0" w:line="276" w:lineRule="auto"/>
        <w:ind w:left="0"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Auditul atestă și o situație inversă</w:t>
      </w:r>
      <w:r w:rsidR="009F7AA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când bunurile proprietate publică de stat</w:t>
      </w:r>
      <w:r w:rsidR="009F7AA4"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 neregulamentar au fost înregistrate ca proprietate publică locală a mun. Chișinău</w:t>
      </w:r>
      <w:r w:rsidR="009F7AA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Prin urmare, dreptul de proprietate asupra acestora urmează a fi înregistrat după RM. </w:t>
      </w:r>
      <w:r w:rsidRPr="009E5B39">
        <w:rPr>
          <w:rFonts w:asciiTheme="majorHAnsi" w:hAnsiTheme="majorHAnsi" w:cstheme="majorHAnsi"/>
          <w:i/>
          <w:sz w:val="24"/>
          <w:szCs w:val="24"/>
          <w:lang w:val="ro-MD"/>
        </w:rPr>
        <w:t>De exemplu:</w:t>
      </w:r>
      <w:r w:rsidRPr="009E5B39">
        <w:rPr>
          <w:rFonts w:asciiTheme="majorHAnsi" w:hAnsiTheme="majorHAnsi" w:cstheme="majorHAnsi"/>
          <w:sz w:val="24"/>
          <w:szCs w:val="24"/>
          <w:lang w:val="ro-MD"/>
        </w:rPr>
        <w:t xml:space="preserve"> 12</w:t>
      </w:r>
      <w:r w:rsidRPr="009E5B39">
        <w:rPr>
          <w:rStyle w:val="FootnoteReference"/>
          <w:rFonts w:asciiTheme="majorHAnsi" w:hAnsiTheme="majorHAnsi" w:cstheme="majorHAnsi"/>
          <w:bCs/>
          <w:i/>
          <w:iCs/>
          <w:sz w:val="24"/>
          <w:szCs w:val="24"/>
          <w:lang w:val="ro-MD"/>
        </w:rPr>
        <w:footnoteReference w:id="132"/>
      </w:r>
      <w:r w:rsidRPr="009E5B39">
        <w:rPr>
          <w:rFonts w:asciiTheme="majorHAnsi" w:hAnsiTheme="majorHAnsi" w:cstheme="majorHAnsi"/>
          <w:sz w:val="24"/>
          <w:szCs w:val="24"/>
          <w:lang w:val="ro-MD"/>
        </w:rPr>
        <w:t xml:space="preserve">  terenuri cu suprafața totală de 5,9386 ha</w:t>
      </w:r>
      <w:r w:rsidR="009F7AA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valoare</w:t>
      </w:r>
      <w:r w:rsidR="009F7AA4"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de 7,67 mil</w:t>
      </w:r>
      <w:r w:rsidR="009F7AA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r w:rsidR="009F7AA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sunt înregistrate în RBI după mun. Chișinău</w:t>
      </w:r>
      <w:r w:rsidR="009F7AA4" w:rsidRPr="009E5B39">
        <w:rPr>
          <w:rFonts w:asciiTheme="majorHAnsi" w:hAnsiTheme="majorHAnsi" w:cstheme="majorHAnsi"/>
          <w:sz w:val="24"/>
          <w:szCs w:val="24"/>
          <w:lang w:val="ro-MD"/>
        </w:rPr>
        <w:t>, precum</w:t>
      </w:r>
      <w:r w:rsidRPr="009E5B39">
        <w:rPr>
          <w:rFonts w:asciiTheme="majorHAnsi" w:hAnsiTheme="majorHAnsi" w:cstheme="majorHAnsi"/>
          <w:sz w:val="24"/>
          <w:szCs w:val="24"/>
          <w:lang w:val="ro-MD"/>
        </w:rPr>
        <w:t xml:space="preserve"> și în evidența contabilă a Primăriei mun. Chișinău, deși acestea sunt aferente bunurilor imobile proprietate de stat gestionate de instituții bugetare din subordinea MEC și </w:t>
      </w:r>
      <w:r w:rsidR="00E834C0"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instituții la autogestiune fondate de MEC și MC, din care 7</w:t>
      </w:r>
      <w:r w:rsidRPr="009E5B39">
        <w:rPr>
          <w:rFonts w:asciiTheme="majorHAnsi" w:hAnsiTheme="majorHAnsi" w:cstheme="majorHAnsi"/>
          <w:sz w:val="24"/>
          <w:szCs w:val="24"/>
          <w:vertAlign w:val="superscript"/>
          <w:lang w:val="ro-MD"/>
        </w:rPr>
        <w:footnoteReference w:id="133"/>
      </w:r>
      <w:r w:rsidR="00E834C0"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terenuri figurează în HG </w:t>
      </w:r>
      <w:r w:rsidR="00E834C0" w:rsidRPr="009E5B39">
        <w:rPr>
          <w:rFonts w:asciiTheme="majorHAnsi" w:hAnsiTheme="majorHAnsi" w:cstheme="majorHAnsi"/>
          <w:sz w:val="24"/>
          <w:szCs w:val="24"/>
          <w:lang w:val="ro-MD"/>
        </w:rPr>
        <w:t>nr.</w:t>
      </w:r>
      <w:r w:rsidRPr="009E5B39">
        <w:rPr>
          <w:rFonts w:asciiTheme="majorHAnsi" w:hAnsiTheme="majorHAnsi" w:cstheme="majorHAnsi"/>
          <w:sz w:val="24"/>
          <w:szCs w:val="24"/>
          <w:lang w:val="ro-MD"/>
        </w:rPr>
        <w:t>161/2019</w:t>
      </w:r>
      <w:r w:rsidRPr="009E5B39">
        <w:rPr>
          <w:rFonts w:asciiTheme="majorHAnsi" w:hAnsiTheme="majorHAnsi" w:cstheme="majorHAnsi"/>
          <w:sz w:val="24"/>
          <w:szCs w:val="24"/>
          <w:vertAlign w:val="superscript"/>
          <w:lang w:val="ro-MD"/>
        </w:rPr>
        <w:footnoteReference w:id="134"/>
      </w:r>
      <w:r w:rsidRPr="009E5B39">
        <w:rPr>
          <w:rFonts w:asciiTheme="majorHAnsi" w:hAnsiTheme="majorHAnsi" w:cstheme="majorHAnsi"/>
          <w:sz w:val="24"/>
          <w:szCs w:val="24"/>
          <w:lang w:val="ro-MD"/>
        </w:rPr>
        <w:t>, Anexa nr.1. Deci, drepturile asupra acestor bunuri imobile urmează a fi înregistrat</w:t>
      </w:r>
      <w:r w:rsidR="00E834C0"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după RM.</w:t>
      </w:r>
    </w:p>
    <w:p w14:paraId="23186504" w14:textId="3B03721D" w:rsidR="00340903" w:rsidRPr="009E5B39" w:rsidRDefault="00340903" w:rsidP="00E2358E">
      <w:pPr>
        <w:pStyle w:val="ListParagraph"/>
        <w:spacing w:after="0" w:line="276" w:lineRule="auto"/>
        <w:ind w:left="0"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În alt caz, imobilul cu codul cadastral </w:t>
      </w:r>
      <w:r w:rsidRPr="009E5B39">
        <w:rPr>
          <w:rFonts w:asciiTheme="majorHAnsi" w:hAnsiTheme="majorHAnsi" w:cstheme="majorHAnsi"/>
          <w:b/>
          <w:sz w:val="24"/>
          <w:szCs w:val="24"/>
          <w:lang w:val="ro-MD"/>
        </w:rPr>
        <w:t>0100413.447.01</w:t>
      </w:r>
      <w:r w:rsidR="00E834C0"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 xml:space="preserve">cu suprafața de </w:t>
      </w:r>
      <w:r w:rsidRPr="009E5B39">
        <w:rPr>
          <w:rFonts w:asciiTheme="majorHAnsi" w:hAnsiTheme="majorHAnsi" w:cstheme="majorHAnsi"/>
          <w:b/>
          <w:sz w:val="24"/>
          <w:szCs w:val="24"/>
          <w:lang w:val="ro-MD"/>
        </w:rPr>
        <w:t>678,8 m</w:t>
      </w:r>
      <w:r w:rsidRPr="009E5B39">
        <w:rPr>
          <w:rFonts w:asciiTheme="majorHAnsi" w:hAnsiTheme="majorHAnsi" w:cstheme="majorHAnsi"/>
          <w:b/>
          <w:sz w:val="24"/>
          <w:szCs w:val="24"/>
          <w:vertAlign w:val="superscript"/>
          <w:lang w:val="ro-MD"/>
        </w:rPr>
        <w:t>2</w:t>
      </w:r>
      <w:r w:rsidR="00E834C0" w:rsidRPr="009E5B39">
        <w:rPr>
          <w:rFonts w:asciiTheme="majorHAnsi" w:hAnsiTheme="majorHAnsi" w:cstheme="majorHAnsi"/>
          <w:b/>
          <w:sz w:val="24"/>
          <w:szCs w:val="24"/>
          <w:lang w:val="ro-MD"/>
        </w:rPr>
        <w:t xml:space="preserve"> și</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valoare</w:t>
      </w:r>
      <w:r w:rsidR="00E834C0"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 xml:space="preserve"> cadastrală </w:t>
      </w:r>
      <w:r w:rsidR="00E834C0" w:rsidRPr="009E5B39">
        <w:rPr>
          <w:rFonts w:asciiTheme="majorHAnsi" w:hAnsiTheme="majorHAnsi" w:cstheme="majorHAnsi"/>
          <w:sz w:val="24"/>
          <w:szCs w:val="24"/>
          <w:lang w:val="ro-MD"/>
        </w:rPr>
        <w:t>de</w:t>
      </w:r>
      <w:r w:rsidRPr="009E5B39">
        <w:rPr>
          <w:rFonts w:asciiTheme="majorHAnsi" w:hAnsiTheme="majorHAnsi" w:cstheme="majorHAnsi"/>
          <w:sz w:val="24"/>
          <w:szCs w:val="24"/>
          <w:lang w:val="ro-MD"/>
        </w:rPr>
        <w:t xml:space="preserve"> </w:t>
      </w:r>
      <w:r w:rsidRPr="009E5B39">
        <w:rPr>
          <w:rFonts w:asciiTheme="majorHAnsi" w:hAnsiTheme="majorHAnsi" w:cstheme="majorHAnsi"/>
          <w:b/>
          <w:sz w:val="24"/>
          <w:szCs w:val="24"/>
          <w:lang w:val="ro-MD"/>
        </w:rPr>
        <w:t>4,11 mil</w:t>
      </w:r>
      <w:r w:rsidR="00E834C0"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conform RBI</w:t>
      </w:r>
      <w:r w:rsidR="00E834C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este înregistrat după APL. Acesta nu se regăsește în </w:t>
      </w:r>
      <w:r w:rsidRPr="009E5B39">
        <w:rPr>
          <w:rFonts w:asciiTheme="majorHAnsi" w:hAnsiTheme="majorHAnsi" w:cstheme="majorHAnsi"/>
          <w:i/>
          <w:sz w:val="24"/>
          <w:szCs w:val="24"/>
          <w:lang w:val="ro-MD"/>
        </w:rPr>
        <w:t>„Registrul electronic de evidență a bunurilor imobile cu statut nelocuibil și locuibil din proprietatea mun. Chișinău”</w:t>
      </w:r>
      <w:r w:rsidRPr="009E5B39">
        <w:rPr>
          <w:rFonts w:asciiTheme="majorHAnsi" w:hAnsiTheme="majorHAnsi" w:cstheme="majorHAnsi"/>
          <w:sz w:val="24"/>
          <w:szCs w:val="24"/>
          <w:lang w:val="ro-MD"/>
        </w:rPr>
        <w:t>/„</w:t>
      </w:r>
      <w:r w:rsidRPr="009E5B39">
        <w:rPr>
          <w:rFonts w:asciiTheme="majorHAnsi" w:hAnsiTheme="majorHAnsi" w:cstheme="majorHAnsi"/>
          <w:i/>
          <w:sz w:val="24"/>
          <w:szCs w:val="24"/>
          <w:lang w:val="ro-MD"/>
        </w:rPr>
        <w:t xml:space="preserve">Raportul privind rezultatele inventarierii bunurilor imobile aflate în proprietatea mun. Chișinău și </w:t>
      </w:r>
      <w:r w:rsidR="00C97188" w:rsidRPr="009E5B39">
        <w:rPr>
          <w:rFonts w:asciiTheme="majorHAnsi" w:hAnsiTheme="majorHAnsi" w:cstheme="majorHAnsi"/>
          <w:i/>
          <w:sz w:val="24"/>
          <w:szCs w:val="24"/>
          <w:lang w:val="ro-MD"/>
        </w:rPr>
        <w:t xml:space="preserve">a </w:t>
      </w:r>
      <w:r w:rsidRPr="009E5B39">
        <w:rPr>
          <w:rFonts w:asciiTheme="majorHAnsi" w:hAnsiTheme="majorHAnsi" w:cstheme="majorHAnsi"/>
          <w:i/>
          <w:sz w:val="24"/>
          <w:szCs w:val="24"/>
          <w:lang w:val="ro-MD"/>
        </w:rPr>
        <w:t xml:space="preserve">SA în </w:t>
      </w:r>
      <w:r w:rsidR="00C97188" w:rsidRPr="009E5B39">
        <w:rPr>
          <w:rFonts w:asciiTheme="majorHAnsi" w:hAnsiTheme="majorHAnsi" w:cstheme="majorHAnsi"/>
          <w:i/>
          <w:sz w:val="24"/>
          <w:szCs w:val="24"/>
          <w:lang w:val="ro-MD"/>
        </w:rPr>
        <w:t xml:space="preserve">care </w:t>
      </w:r>
      <w:r w:rsidRPr="009E5B39">
        <w:rPr>
          <w:rFonts w:asciiTheme="majorHAnsi" w:hAnsiTheme="majorHAnsi" w:cstheme="majorHAnsi"/>
          <w:i/>
          <w:sz w:val="24"/>
          <w:szCs w:val="24"/>
          <w:lang w:val="ro-MD"/>
        </w:rPr>
        <w:t>CMC deține cotă-parte integrală sau majoritară, la situația din 01.01.2021</w:t>
      </w:r>
      <w:r w:rsidRPr="009E5B39">
        <w:rPr>
          <w:rFonts w:asciiTheme="majorHAnsi" w:hAnsiTheme="majorHAnsi" w:cstheme="majorHAnsi"/>
          <w:sz w:val="24"/>
          <w:szCs w:val="24"/>
          <w:lang w:val="ro-MD"/>
        </w:rPr>
        <w:t>”</w:t>
      </w:r>
      <w:r w:rsidR="00C97188" w:rsidRPr="009E5B39">
        <w:rPr>
          <w:rFonts w:asciiTheme="majorHAnsi" w:hAnsiTheme="majorHAnsi" w:cstheme="majorHAnsi"/>
          <w:sz w:val="24"/>
          <w:szCs w:val="24"/>
          <w:lang w:val="ro-MD"/>
        </w:rPr>
        <w:t>, în</w:t>
      </w:r>
      <w:r w:rsidRPr="009E5B39">
        <w:rPr>
          <w:rFonts w:asciiTheme="majorHAnsi" w:hAnsiTheme="majorHAnsi" w:cstheme="majorHAnsi"/>
          <w:sz w:val="24"/>
          <w:szCs w:val="24"/>
          <w:lang w:val="ro-MD"/>
        </w:rPr>
        <w:t xml:space="preserve"> evidența contabilă. De facto, acesta este gestionat de Universitatea Tehnică din Moldova și </w:t>
      </w:r>
      <w:r w:rsidR="00E834C0" w:rsidRPr="009E5B39">
        <w:rPr>
          <w:rFonts w:asciiTheme="majorHAnsi" w:hAnsiTheme="majorHAnsi" w:cstheme="majorHAnsi"/>
          <w:sz w:val="24"/>
          <w:szCs w:val="24"/>
          <w:lang w:val="ro-MD"/>
        </w:rPr>
        <w:t xml:space="preserve">dreptul de proprietate </w:t>
      </w:r>
      <w:r w:rsidRPr="009E5B39">
        <w:rPr>
          <w:rFonts w:asciiTheme="majorHAnsi" w:hAnsiTheme="majorHAnsi" w:cstheme="majorHAnsi"/>
          <w:sz w:val="24"/>
          <w:szCs w:val="24"/>
          <w:lang w:val="ro-MD"/>
        </w:rPr>
        <w:t>urmează a fi înregistrat după RM</w:t>
      </w:r>
      <w:r w:rsidR="00E834C0" w:rsidRPr="009E5B39">
        <w:rPr>
          <w:rFonts w:asciiTheme="majorHAnsi" w:hAnsiTheme="majorHAnsi" w:cstheme="majorHAnsi"/>
          <w:sz w:val="24"/>
          <w:szCs w:val="24"/>
          <w:lang w:val="ro-MD"/>
        </w:rPr>
        <w:t>.</w:t>
      </w:r>
    </w:p>
    <w:p w14:paraId="5E2005DF" w14:textId="694A15CF" w:rsidR="00CD036F" w:rsidRPr="009E5B39" w:rsidRDefault="00CD036F" w:rsidP="005365F1">
      <w:pPr>
        <w:pStyle w:val="ListParagraph"/>
        <w:numPr>
          <w:ilvl w:val="2"/>
          <w:numId w:val="29"/>
        </w:numPr>
        <w:spacing w:before="240" w:after="0" w:line="276" w:lineRule="auto"/>
        <w:ind w:left="0" w:firstLine="0"/>
        <w:contextualSpacing w:val="0"/>
        <w:jc w:val="both"/>
        <w:rPr>
          <w:rFonts w:ascii="Calibri Light" w:eastAsia="Calibri" w:hAnsi="Calibri Light" w:cs="Tahoma"/>
          <w:sz w:val="24"/>
          <w:lang w:val="ro-MD"/>
        </w:rPr>
      </w:pPr>
      <w:r w:rsidRPr="009E5B39">
        <w:rPr>
          <w:rFonts w:asciiTheme="majorHAnsi" w:hAnsiTheme="majorHAnsi" w:cstheme="majorHAnsi"/>
          <w:b/>
          <w:bCs/>
          <w:i/>
          <w:iCs/>
          <w:sz w:val="24"/>
          <w:szCs w:val="24"/>
          <w:lang w:val="ro-MD"/>
        </w:rPr>
        <w:t xml:space="preserve">Auditul atestă evidența defectuoasă  a bunurilor imobiliare proprietate publică a CMC și a veniturilor aferente gestiunii acestora. </w:t>
      </w:r>
      <w:r w:rsidR="001A6374" w:rsidRPr="009E5B39">
        <w:rPr>
          <w:rFonts w:asciiTheme="majorHAnsi" w:hAnsiTheme="majorHAnsi" w:cstheme="majorHAnsi"/>
          <w:sz w:val="24"/>
          <w:szCs w:val="24"/>
          <w:lang w:val="ro-MD"/>
        </w:rPr>
        <w:t>AAPL nu are repartizate competențele clare pentru instituțiile din subordine, iar fragmentarea responsabilităților pentru unul și același domeniu, precum și lipsa de comunicare între instituțiile din subordine generează iregularități în evidența și încasarea veniturilor în bugetul municipal din gestionarea patrimoniului UAT.</w:t>
      </w:r>
    </w:p>
    <w:p w14:paraId="0D8E13D5" w14:textId="791747A6" w:rsidR="00CD036F" w:rsidRPr="009E5B39" w:rsidRDefault="00CD036F" w:rsidP="003C5073">
      <w:pPr>
        <w:pStyle w:val="ListParagraph"/>
        <w:numPr>
          <w:ilvl w:val="0"/>
          <w:numId w:val="113"/>
        </w:numPr>
        <w:spacing w:after="0" w:line="276" w:lineRule="auto"/>
        <w:ind w:left="0"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Primăria mun. Chișinău nu deține o evidență contabilă exhaustivă aferentă bunurilor imobile date în locațiune/comodat. </w:t>
      </w:r>
      <w:r w:rsidRPr="009E5B39">
        <w:rPr>
          <w:rFonts w:asciiTheme="majorHAnsi" w:hAnsiTheme="majorHAnsi" w:cstheme="majorHAnsi"/>
          <w:b/>
          <w:bCs/>
          <w:sz w:val="24"/>
          <w:szCs w:val="24"/>
          <w:lang w:val="ro-MD"/>
        </w:rPr>
        <w:t>Din 405 contracte</w:t>
      </w:r>
      <w:r w:rsidRPr="009E5B39">
        <w:rPr>
          <w:rFonts w:asciiTheme="majorHAnsi" w:hAnsiTheme="majorHAnsi" w:cstheme="majorHAnsi"/>
          <w:sz w:val="24"/>
          <w:szCs w:val="24"/>
          <w:lang w:val="ro-MD"/>
        </w:rPr>
        <w:t xml:space="preserve"> de locațiune/comodat încheiate până în </w:t>
      </w:r>
      <w:r w:rsidR="002E3E49"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2020 (inclusiv), unele din</w:t>
      </w:r>
      <w:r w:rsidR="002E3E49" w:rsidRPr="009E5B39">
        <w:rPr>
          <w:rFonts w:asciiTheme="majorHAnsi" w:hAnsiTheme="majorHAnsi" w:cstheme="majorHAnsi"/>
          <w:sz w:val="24"/>
          <w:szCs w:val="24"/>
          <w:lang w:val="ro-MD"/>
        </w:rPr>
        <w:t>tre</w:t>
      </w:r>
      <w:r w:rsidRPr="009E5B39">
        <w:rPr>
          <w:rFonts w:asciiTheme="majorHAnsi" w:hAnsiTheme="majorHAnsi" w:cstheme="majorHAnsi"/>
          <w:sz w:val="24"/>
          <w:szCs w:val="24"/>
          <w:lang w:val="ro-MD"/>
        </w:rPr>
        <w:t xml:space="preserve"> care au expirat începând cu </w:t>
      </w:r>
      <w:r w:rsidR="002E3E49"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 xml:space="preserve">2018, imobilele din </w:t>
      </w:r>
      <w:r w:rsidRPr="009E5B39">
        <w:rPr>
          <w:rFonts w:asciiTheme="majorHAnsi" w:hAnsiTheme="majorHAnsi" w:cstheme="majorHAnsi"/>
          <w:b/>
          <w:bCs/>
          <w:sz w:val="24"/>
          <w:szCs w:val="24"/>
          <w:lang w:val="ro-MD"/>
        </w:rPr>
        <w:t>153 contracte</w:t>
      </w:r>
      <w:r w:rsidR="002E3E49" w:rsidRPr="009E5B39">
        <w:rPr>
          <w:rFonts w:asciiTheme="majorHAnsi" w:hAnsiTheme="majorHAnsi" w:cstheme="majorHAnsi"/>
          <w:b/>
          <w:bCs/>
          <w:sz w:val="24"/>
          <w:szCs w:val="24"/>
          <w:lang w:val="ro-MD"/>
        </w:rPr>
        <w:t>,</w:t>
      </w:r>
      <w:r w:rsidRPr="009E5B39">
        <w:rPr>
          <w:rFonts w:asciiTheme="majorHAnsi" w:hAnsiTheme="majorHAnsi" w:cstheme="majorHAnsi"/>
          <w:sz w:val="24"/>
          <w:szCs w:val="24"/>
          <w:lang w:val="ro-MD"/>
        </w:rPr>
        <w:t xml:space="preserve"> cu suprafața totală de </w:t>
      </w:r>
      <w:r w:rsidRPr="009E5B39">
        <w:rPr>
          <w:rFonts w:asciiTheme="majorHAnsi" w:hAnsiTheme="majorHAnsi" w:cstheme="majorHAnsi"/>
          <w:b/>
          <w:bCs/>
          <w:sz w:val="24"/>
          <w:szCs w:val="24"/>
          <w:lang w:val="ro-MD"/>
        </w:rPr>
        <w:t>81714,6 m</w:t>
      </w:r>
      <w:r w:rsidRPr="009E5B39">
        <w:rPr>
          <w:rFonts w:asciiTheme="majorHAnsi" w:hAnsiTheme="majorHAnsi" w:cstheme="majorHAnsi"/>
          <w:b/>
          <w:bCs/>
          <w:sz w:val="24"/>
          <w:szCs w:val="24"/>
          <w:vertAlign w:val="superscript"/>
          <w:lang w:val="ro-MD"/>
        </w:rPr>
        <w:t>2</w:t>
      </w:r>
      <w:r w:rsidRPr="009E5B39">
        <w:rPr>
          <w:rFonts w:asciiTheme="majorHAnsi" w:hAnsiTheme="majorHAnsi" w:cstheme="majorHAnsi"/>
          <w:sz w:val="24"/>
          <w:szCs w:val="24"/>
          <w:vertAlign w:val="superscript"/>
          <w:lang w:val="ro-MD"/>
        </w:rPr>
        <w:t xml:space="preserve"> </w:t>
      </w:r>
      <w:r w:rsidR="002E3E49" w:rsidRPr="009E5B39">
        <w:rPr>
          <w:rFonts w:asciiTheme="majorHAnsi" w:hAnsiTheme="majorHAnsi" w:cstheme="majorHAnsi"/>
          <w:sz w:val="24"/>
          <w:szCs w:val="24"/>
          <w:lang w:val="ro-MD"/>
        </w:rPr>
        <w:t>, n</w:t>
      </w:r>
      <w:r w:rsidRPr="009E5B39">
        <w:rPr>
          <w:rFonts w:asciiTheme="majorHAnsi" w:hAnsiTheme="majorHAnsi" w:cstheme="majorHAnsi"/>
          <w:sz w:val="24"/>
          <w:szCs w:val="24"/>
          <w:lang w:val="ro-MD"/>
        </w:rPr>
        <w:t>u se regăsesc la situația din 31.12.2020 în evidența contabilă a instituțiilor bugetare din subordinea UAT mun. Chișinău.</w:t>
      </w:r>
    </w:p>
    <w:p w14:paraId="35FF1339" w14:textId="720E5416" w:rsidR="001E141A" w:rsidRPr="009E5B39" w:rsidRDefault="001E141A" w:rsidP="00556E75">
      <w:pPr>
        <w:spacing w:after="0" w:line="276" w:lineRule="auto"/>
        <w:ind w:firstLine="709"/>
        <w:jc w:val="both"/>
        <w:rPr>
          <w:rFonts w:asciiTheme="majorHAnsi" w:hAnsiTheme="majorHAnsi" w:cstheme="majorHAnsi"/>
          <w:b/>
          <w:sz w:val="24"/>
          <w:szCs w:val="24"/>
          <w:lang w:val="ro-MD"/>
        </w:rPr>
      </w:pPr>
      <w:r w:rsidRPr="009E5B39">
        <w:rPr>
          <w:rFonts w:asciiTheme="majorHAnsi" w:hAnsiTheme="majorHAnsi" w:cstheme="majorHAnsi"/>
          <w:sz w:val="24"/>
          <w:szCs w:val="24"/>
          <w:lang w:val="ro-MD"/>
        </w:rPr>
        <w:t xml:space="preserve">Fondul de locuințe privatizat, în valoare de </w:t>
      </w:r>
      <w:r w:rsidR="001A64D6" w:rsidRPr="009E5B39">
        <w:rPr>
          <w:rFonts w:asciiTheme="majorHAnsi" w:hAnsiTheme="majorHAnsi" w:cstheme="majorHAnsi"/>
          <w:sz w:val="24"/>
          <w:szCs w:val="24"/>
          <w:lang w:val="ro-MD"/>
        </w:rPr>
        <w:t xml:space="preserve">circa </w:t>
      </w:r>
      <w:r w:rsidRPr="009E5B39">
        <w:rPr>
          <w:rFonts w:asciiTheme="majorHAnsi" w:hAnsiTheme="majorHAnsi" w:cstheme="majorHAnsi"/>
          <w:b/>
          <w:sz w:val="24"/>
          <w:szCs w:val="24"/>
          <w:lang w:val="ro-MD"/>
        </w:rPr>
        <w:t>4 513,4 mil</w:t>
      </w:r>
      <w:r w:rsidR="002E3E49"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până </w:t>
      </w:r>
      <w:r w:rsidR="002E3E49" w:rsidRPr="009E5B39">
        <w:rPr>
          <w:rFonts w:asciiTheme="majorHAnsi" w:hAnsiTheme="majorHAnsi" w:cstheme="majorHAnsi"/>
          <w:sz w:val="24"/>
          <w:szCs w:val="24"/>
          <w:lang w:val="ro-MD"/>
        </w:rPr>
        <w:t>în prezent</w:t>
      </w:r>
      <w:r w:rsidRPr="009E5B39">
        <w:rPr>
          <w:rFonts w:asciiTheme="majorHAnsi" w:hAnsiTheme="majorHAnsi" w:cstheme="majorHAnsi"/>
          <w:sz w:val="24"/>
          <w:szCs w:val="24"/>
          <w:lang w:val="ro-MD"/>
        </w:rPr>
        <w:t xml:space="preserve"> este reflectat în evidența contabilă a APL. Nici încăperile locative privatizate în perioada </w:t>
      </w:r>
      <w:r w:rsidR="002E3E49" w:rsidRPr="009E5B39">
        <w:rPr>
          <w:rFonts w:asciiTheme="majorHAnsi" w:hAnsiTheme="majorHAnsi" w:cstheme="majorHAnsi"/>
          <w:sz w:val="24"/>
          <w:szCs w:val="24"/>
          <w:lang w:val="ro-MD"/>
        </w:rPr>
        <w:t xml:space="preserve">anilor </w:t>
      </w:r>
      <w:r w:rsidRPr="009E5B39">
        <w:rPr>
          <w:rFonts w:asciiTheme="majorHAnsi" w:hAnsiTheme="majorHAnsi" w:cstheme="majorHAnsi"/>
          <w:sz w:val="24"/>
          <w:szCs w:val="24"/>
          <w:lang w:val="ro-MD"/>
        </w:rPr>
        <w:t>2018-2020, în valoare de 8,20 mil</w:t>
      </w:r>
      <w:r w:rsidR="002E3E4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nu au fost radiate din evidența mun. Chișinău. </w:t>
      </w:r>
      <w:r w:rsidRPr="009E5B39">
        <w:rPr>
          <w:rFonts w:asciiTheme="majorHAnsi" w:hAnsiTheme="majorHAnsi" w:cstheme="majorHAnsi"/>
          <w:bCs/>
          <w:sz w:val="24"/>
          <w:szCs w:val="24"/>
          <w:lang w:val="ro-MD"/>
        </w:rPr>
        <w:t>Una din cauzele care d</w:t>
      </w:r>
      <w:r w:rsidR="002E3E49" w:rsidRPr="009E5B39">
        <w:rPr>
          <w:rFonts w:asciiTheme="majorHAnsi" w:hAnsiTheme="majorHAnsi" w:cstheme="majorHAnsi"/>
          <w:bCs/>
          <w:sz w:val="24"/>
          <w:szCs w:val="24"/>
          <w:lang w:val="ro-MD"/>
        </w:rPr>
        <w:t>etermină</w:t>
      </w:r>
      <w:r w:rsidRPr="009E5B39">
        <w:rPr>
          <w:rFonts w:asciiTheme="majorHAnsi" w:hAnsiTheme="majorHAnsi" w:cstheme="majorHAnsi"/>
          <w:bCs/>
          <w:sz w:val="24"/>
          <w:szCs w:val="24"/>
          <w:lang w:val="ro-MD"/>
        </w:rPr>
        <w:t xml:space="preserve"> această situație, potrivit explicațiilor DGECT, este faptul că „urmare a încheierii contractelor de privatizare a locuințelor, niciun beneficiar nu returnează niciun exemplar de contract care confirmă înregistrarea dreptului de proprietate în RBI. ASP refuză să transmită în adresa DGECT copiile contractel</w:t>
      </w:r>
      <w:r w:rsidR="00376B58" w:rsidRPr="009E5B39">
        <w:rPr>
          <w:rFonts w:asciiTheme="majorHAnsi" w:hAnsiTheme="majorHAnsi" w:cstheme="majorHAnsi"/>
          <w:bCs/>
          <w:sz w:val="24"/>
          <w:szCs w:val="24"/>
          <w:lang w:val="ro-MD"/>
        </w:rPr>
        <w:t>or</w:t>
      </w:r>
      <w:r w:rsidRPr="009E5B39">
        <w:rPr>
          <w:rFonts w:asciiTheme="majorHAnsi" w:hAnsiTheme="majorHAnsi" w:cstheme="majorHAnsi"/>
          <w:bCs/>
          <w:sz w:val="24"/>
          <w:szCs w:val="24"/>
          <w:lang w:val="ro-MD"/>
        </w:rPr>
        <w:t xml:space="preserve"> înregistrate. Totodată, DGECT, sistematic</w:t>
      </w:r>
      <w:r w:rsidR="00376B58"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în termen de până la 30 de zile după aprobarea Hotărârii Comisiei municipale de privatizare a fonului de locuințe</w:t>
      </w:r>
      <w:r w:rsidR="00376B58"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remite în adresa DGLCA lista apartamentelor din mun. Chișinău pentru care Comisia municipală de privatizare a fondului de locuințe a CMC a emis decizii pozitive privind privatizarea acestora”.</w:t>
      </w:r>
    </w:p>
    <w:p w14:paraId="159147E1" w14:textId="53D3FA05" w:rsidR="001E141A" w:rsidRPr="009E5B39" w:rsidRDefault="001E141A" w:rsidP="00556E75">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O situație similară se </w:t>
      </w:r>
      <w:r w:rsidR="00376B58" w:rsidRPr="009E5B39">
        <w:rPr>
          <w:rFonts w:asciiTheme="majorHAnsi" w:hAnsiTheme="majorHAnsi" w:cstheme="majorHAnsi"/>
          <w:sz w:val="24"/>
          <w:szCs w:val="24"/>
          <w:lang w:val="ro-MD"/>
        </w:rPr>
        <w:t>atestă</w:t>
      </w:r>
      <w:r w:rsidRPr="009E5B39">
        <w:rPr>
          <w:rFonts w:asciiTheme="majorHAnsi" w:hAnsiTheme="majorHAnsi" w:cstheme="majorHAnsi"/>
          <w:sz w:val="24"/>
          <w:szCs w:val="24"/>
          <w:lang w:val="ro-MD"/>
        </w:rPr>
        <w:t xml:space="preserve"> și </w:t>
      </w:r>
      <w:r w:rsidR="00376B58" w:rsidRPr="009E5B39">
        <w:rPr>
          <w:rFonts w:asciiTheme="majorHAnsi" w:hAnsiTheme="majorHAnsi" w:cstheme="majorHAnsi"/>
          <w:sz w:val="24"/>
          <w:szCs w:val="24"/>
          <w:lang w:val="ro-MD"/>
        </w:rPr>
        <w:t>la</w:t>
      </w:r>
      <w:r w:rsidRPr="009E5B39">
        <w:rPr>
          <w:rFonts w:asciiTheme="majorHAnsi" w:hAnsiTheme="majorHAnsi" w:cstheme="majorHAnsi"/>
          <w:sz w:val="24"/>
          <w:szCs w:val="24"/>
          <w:lang w:val="ro-MD"/>
        </w:rPr>
        <w:t xml:space="preserve"> </w:t>
      </w:r>
      <w:r w:rsidRPr="009E5B39">
        <w:rPr>
          <w:rFonts w:asciiTheme="majorHAnsi" w:eastAsia="Calibri" w:hAnsiTheme="majorHAnsi" w:cstheme="majorHAnsi"/>
          <w:sz w:val="24"/>
          <w:szCs w:val="24"/>
          <w:lang w:val="ro-MD"/>
        </w:rPr>
        <w:t>2 imobile proprietate privată</w:t>
      </w:r>
      <w:r w:rsidR="00042531" w:rsidRPr="009E5B39">
        <w:rPr>
          <w:rStyle w:val="FootnoteReference"/>
          <w:rFonts w:asciiTheme="majorHAnsi" w:hAnsiTheme="majorHAnsi" w:cstheme="majorHAnsi"/>
          <w:lang w:val="ro-MD"/>
        </w:rPr>
        <w:footnoteReference w:id="135"/>
      </w:r>
      <w:r w:rsidR="00376B58"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cu suprafața de 1792,8 m</w:t>
      </w:r>
      <w:r w:rsidRPr="009E5B39">
        <w:rPr>
          <w:rFonts w:asciiTheme="majorHAnsi" w:eastAsia="Calibri" w:hAnsiTheme="majorHAnsi" w:cstheme="majorHAnsi"/>
          <w:sz w:val="24"/>
          <w:szCs w:val="24"/>
          <w:vertAlign w:val="superscript"/>
          <w:lang w:val="ro-MD"/>
        </w:rPr>
        <w:t>2</w:t>
      </w:r>
      <w:r w:rsidR="00376B58"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 xml:space="preserve">în valoare de </w:t>
      </w:r>
      <w:r w:rsidRPr="009E5B39">
        <w:rPr>
          <w:rFonts w:asciiTheme="majorHAnsi" w:eastAsia="Calibri" w:hAnsiTheme="majorHAnsi" w:cstheme="majorHAnsi"/>
          <w:b/>
          <w:sz w:val="24"/>
          <w:szCs w:val="24"/>
          <w:lang w:val="ro-MD"/>
        </w:rPr>
        <w:t>2,8</w:t>
      </w:r>
      <w:r w:rsidR="00042531" w:rsidRPr="009E5B39">
        <w:rPr>
          <w:rFonts w:asciiTheme="majorHAnsi" w:eastAsia="Calibri" w:hAnsiTheme="majorHAnsi" w:cstheme="majorHAnsi"/>
          <w:b/>
          <w:sz w:val="24"/>
          <w:szCs w:val="24"/>
          <w:lang w:val="ro-MD"/>
        </w:rPr>
        <w:t>7</w:t>
      </w:r>
      <w:r w:rsidRPr="009E5B39">
        <w:rPr>
          <w:rFonts w:asciiTheme="majorHAnsi" w:eastAsia="Calibri" w:hAnsiTheme="majorHAnsi" w:cstheme="majorHAnsi"/>
          <w:b/>
          <w:sz w:val="24"/>
          <w:szCs w:val="24"/>
          <w:lang w:val="ro-MD"/>
        </w:rPr>
        <w:t xml:space="preserve"> mil</w:t>
      </w:r>
      <w:r w:rsidR="002E3E49"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 xml:space="preserve"> lei</w:t>
      </w:r>
      <w:r w:rsidR="00042531" w:rsidRPr="009E5B39">
        <w:rPr>
          <w:rFonts w:asciiTheme="majorHAnsi" w:eastAsia="Calibri" w:hAnsiTheme="majorHAnsi" w:cstheme="majorHAnsi"/>
          <w:sz w:val="24"/>
          <w:szCs w:val="24"/>
          <w:lang w:val="ro-MD"/>
        </w:rPr>
        <w:t>, reflectate în evidența contabilă a</w:t>
      </w:r>
      <w:r w:rsidR="00042531" w:rsidRPr="009E5B39">
        <w:rPr>
          <w:rFonts w:asciiTheme="majorHAnsi" w:hAnsiTheme="majorHAnsi" w:cstheme="majorHAnsi"/>
          <w:bCs/>
          <w:sz w:val="24"/>
          <w:szCs w:val="24"/>
          <w:lang w:val="ro-MD"/>
        </w:rPr>
        <w:t xml:space="preserve"> DETS Botanica</w:t>
      </w:r>
      <w:r w:rsidR="00042531" w:rsidRPr="009E5B39">
        <w:rPr>
          <w:rFonts w:asciiTheme="majorHAnsi" w:hAnsiTheme="majorHAnsi" w:cstheme="majorHAnsi"/>
          <w:sz w:val="24"/>
          <w:szCs w:val="24"/>
          <w:lang w:val="ro-MD"/>
        </w:rPr>
        <w:t xml:space="preserve"> și </w:t>
      </w:r>
      <w:r w:rsidR="00042531" w:rsidRPr="009E5B39">
        <w:rPr>
          <w:rFonts w:asciiTheme="majorHAnsi" w:hAnsiTheme="majorHAnsi" w:cstheme="majorHAnsi"/>
          <w:bCs/>
          <w:sz w:val="24"/>
          <w:szCs w:val="24"/>
          <w:lang w:val="ro-MD"/>
        </w:rPr>
        <w:t>DETS Buiucani</w:t>
      </w:r>
      <w:r w:rsidR="00042531" w:rsidRPr="009E5B39">
        <w:rPr>
          <w:rFonts w:asciiTheme="majorHAnsi" w:eastAsia="Calibri" w:hAnsiTheme="majorHAnsi" w:cstheme="majorHAnsi"/>
          <w:sz w:val="24"/>
          <w:szCs w:val="24"/>
          <w:lang w:val="ro-MD"/>
        </w:rPr>
        <w:t>.</w:t>
      </w:r>
    </w:p>
    <w:p w14:paraId="4C188D87" w14:textId="1F40CB40" w:rsidR="00CD036F" w:rsidRPr="009E5B39" w:rsidRDefault="00CD036F" w:rsidP="00556E75">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DGAURF nu informează Primăria mun. Chișinău despre necesitatea ajustării evidenței contabile a terenurilor </w:t>
      </w:r>
      <w:r w:rsidR="00376B58" w:rsidRPr="009E5B39">
        <w:rPr>
          <w:rFonts w:asciiTheme="majorHAnsi" w:hAnsiTheme="majorHAnsi" w:cstheme="majorHAnsi"/>
          <w:sz w:val="24"/>
          <w:szCs w:val="24"/>
          <w:lang w:val="ro-MD"/>
        </w:rPr>
        <w:t xml:space="preserve">ca </w:t>
      </w:r>
      <w:r w:rsidRPr="009E5B39">
        <w:rPr>
          <w:rFonts w:asciiTheme="majorHAnsi" w:hAnsiTheme="majorHAnsi" w:cstheme="majorHAnsi"/>
          <w:sz w:val="24"/>
          <w:szCs w:val="24"/>
          <w:lang w:val="ro-MD"/>
        </w:rPr>
        <w:t xml:space="preserve">urmare a comasării sau divizării lor, precum și </w:t>
      </w:r>
      <w:r w:rsidR="00376B58"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v</w:t>
      </w:r>
      <w:r w:rsidR="00376B58" w:rsidRPr="009E5B39">
        <w:rPr>
          <w:rFonts w:asciiTheme="majorHAnsi" w:hAnsiTheme="majorHAnsi" w:cstheme="majorHAnsi"/>
          <w:sz w:val="24"/>
          <w:szCs w:val="24"/>
          <w:lang w:val="ro-MD"/>
        </w:rPr>
        <w:t>â</w:t>
      </w:r>
      <w:r w:rsidRPr="009E5B39">
        <w:rPr>
          <w:rFonts w:asciiTheme="majorHAnsi" w:hAnsiTheme="majorHAnsi" w:cstheme="majorHAnsi"/>
          <w:sz w:val="24"/>
          <w:szCs w:val="24"/>
          <w:lang w:val="ro-MD"/>
        </w:rPr>
        <w:t>nzării acestora. Astfel, în anul 2020 au fost separate 3 terenuri</w:t>
      </w:r>
      <w:r w:rsidRPr="009E5B39">
        <w:rPr>
          <w:rStyle w:val="FootnoteReference"/>
          <w:rFonts w:asciiTheme="majorHAnsi" w:hAnsiTheme="majorHAnsi" w:cstheme="majorHAnsi"/>
          <w:sz w:val="24"/>
          <w:szCs w:val="24"/>
          <w:lang w:val="ro-MD"/>
        </w:rPr>
        <w:footnoteReference w:id="136"/>
      </w:r>
      <w:r w:rsidRPr="009E5B39">
        <w:rPr>
          <w:rFonts w:asciiTheme="majorHAnsi" w:hAnsiTheme="majorHAnsi" w:cstheme="majorHAnsi"/>
          <w:sz w:val="24"/>
          <w:szCs w:val="24"/>
          <w:lang w:val="ro-MD"/>
        </w:rPr>
        <w:t xml:space="preserve"> cu suprafața de  0,1563 ha</w:t>
      </w:r>
      <w:r w:rsidR="00376B5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valoare de 658,20 mii lei, precum și 2 terenuri cu suprafața de 0,2967 ha</w:t>
      </w:r>
      <w:r w:rsidRPr="009E5B39">
        <w:rPr>
          <w:rStyle w:val="FootnoteReference"/>
          <w:rFonts w:asciiTheme="majorHAnsi" w:hAnsiTheme="majorHAnsi" w:cstheme="majorHAnsi"/>
          <w:sz w:val="24"/>
          <w:szCs w:val="24"/>
          <w:lang w:val="ro-MD"/>
        </w:rPr>
        <w:footnoteReference w:id="137"/>
      </w:r>
      <w:r w:rsidR="00376B5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valoare de 383,27 mii lei</w:t>
      </w:r>
      <w:r w:rsidR="00CA39E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w:t>
      </w:r>
      <w:r w:rsidR="00376B58" w:rsidRPr="009E5B39">
        <w:rPr>
          <w:rFonts w:asciiTheme="majorHAnsi" w:hAnsiTheme="majorHAnsi" w:cstheme="majorHAnsi"/>
          <w:sz w:val="24"/>
          <w:szCs w:val="24"/>
          <w:lang w:val="ro-MD"/>
        </w:rPr>
        <w:t>ar</w:t>
      </w:r>
      <w:r w:rsidRPr="009E5B39">
        <w:rPr>
          <w:rFonts w:asciiTheme="majorHAnsi" w:hAnsiTheme="majorHAnsi" w:cstheme="majorHAnsi"/>
          <w:sz w:val="24"/>
          <w:szCs w:val="24"/>
          <w:lang w:val="ro-MD"/>
        </w:rPr>
        <w:t>e au fost alipite</w:t>
      </w:r>
      <w:r w:rsidRPr="009E5B39">
        <w:rPr>
          <w:rStyle w:val="FootnoteReference"/>
          <w:rFonts w:asciiTheme="majorHAnsi" w:hAnsiTheme="majorHAnsi" w:cstheme="majorHAnsi"/>
          <w:sz w:val="24"/>
          <w:szCs w:val="24"/>
          <w:lang w:val="ro-MD"/>
        </w:rPr>
        <w:footnoteReference w:id="138"/>
      </w:r>
      <w:r w:rsidRPr="009E5B39">
        <w:rPr>
          <w:rFonts w:asciiTheme="majorHAnsi" w:hAnsiTheme="majorHAnsi" w:cstheme="majorHAnsi"/>
          <w:sz w:val="24"/>
          <w:szCs w:val="24"/>
          <w:lang w:val="ro-MD"/>
        </w:rPr>
        <w:t xml:space="preserve"> (în urma executării unei hotărâri de judecată) la un lot de pământ privat. De asemenea, </w:t>
      </w:r>
      <w:r w:rsidR="00CA39EC" w:rsidRPr="009E5B39">
        <w:rPr>
          <w:rFonts w:asciiTheme="majorHAnsi" w:hAnsiTheme="majorHAnsi" w:cstheme="majorHAnsi"/>
          <w:sz w:val="24"/>
          <w:szCs w:val="24"/>
          <w:lang w:val="ro-MD"/>
        </w:rPr>
        <w:t xml:space="preserve">auditul a identificat 181 loturi de pământ cu suprafața totală </w:t>
      </w:r>
      <w:r w:rsidR="00376B58" w:rsidRPr="009E5B39">
        <w:rPr>
          <w:rFonts w:asciiTheme="majorHAnsi" w:hAnsiTheme="majorHAnsi" w:cstheme="majorHAnsi"/>
          <w:sz w:val="24"/>
          <w:szCs w:val="24"/>
          <w:lang w:val="ro-MD"/>
        </w:rPr>
        <w:t>de</w:t>
      </w:r>
      <w:r w:rsidR="00CA39EC" w:rsidRPr="009E5B39">
        <w:rPr>
          <w:rFonts w:asciiTheme="majorHAnsi" w:hAnsiTheme="majorHAnsi" w:cstheme="majorHAnsi"/>
          <w:sz w:val="24"/>
          <w:szCs w:val="24"/>
          <w:lang w:val="ro-MD"/>
        </w:rPr>
        <w:t xml:space="preserve"> 13,0164 ha</w:t>
      </w:r>
      <w:r w:rsidR="00376B58" w:rsidRPr="009E5B39">
        <w:rPr>
          <w:rFonts w:asciiTheme="majorHAnsi" w:hAnsiTheme="majorHAnsi" w:cstheme="majorHAnsi"/>
          <w:sz w:val="24"/>
          <w:szCs w:val="24"/>
          <w:lang w:val="ro-MD"/>
        </w:rPr>
        <w:t>,</w:t>
      </w:r>
      <w:r w:rsidR="00CA39EC" w:rsidRPr="009E5B39">
        <w:rPr>
          <w:rFonts w:asciiTheme="majorHAnsi" w:hAnsiTheme="majorHAnsi" w:cstheme="majorHAnsi"/>
          <w:sz w:val="24"/>
          <w:szCs w:val="24"/>
          <w:lang w:val="ro-MD"/>
        </w:rPr>
        <w:t xml:space="preserve"> în valoare de 19,40 mil. lei, care</w:t>
      </w:r>
      <w:r w:rsidR="00376B58" w:rsidRPr="009E5B39">
        <w:rPr>
          <w:rFonts w:asciiTheme="majorHAnsi" w:hAnsiTheme="majorHAnsi" w:cstheme="majorHAnsi"/>
          <w:sz w:val="24"/>
          <w:szCs w:val="24"/>
          <w:lang w:val="ro-MD"/>
        </w:rPr>
        <w:t>,</w:t>
      </w:r>
      <w:r w:rsidR="00CA39EC"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prin Deciziile CMC</w:t>
      </w:r>
      <w:r w:rsidR="00376B5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anii 2019-2020</w:t>
      </w:r>
      <w:r w:rsidR="00376B5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au fost transmise în proprietate privată. </w:t>
      </w:r>
      <w:r w:rsidR="00376B58" w:rsidRPr="009E5B39">
        <w:rPr>
          <w:rFonts w:asciiTheme="majorHAnsi" w:hAnsiTheme="majorHAnsi" w:cstheme="majorHAnsi"/>
          <w:sz w:val="24"/>
          <w:szCs w:val="24"/>
          <w:lang w:val="ro-MD"/>
        </w:rPr>
        <w:t xml:space="preserve">În </w:t>
      </w:r>
      <w:r w:rsidR="00884FBD" w:rsidRPr="009E5B39">
        <w:rPr>
          <w:rFonts w:asciiTheme="majorHAnsi" w:hAnsiTheme="majorHAnsi" w:cstheme="majorHAnsi"/>
          <w:sz w:val="24"/>
          <w:szCs w:val="24"/>
          <w:lang w:val="ro-MD"/>
        </w:rPr>
        <w:t xml:space="preserve"> urma acestor tranzacții</w:t>
      </w:r>
      <w:r w:rsidR="00CA39EC" w:rsidRPr="009E5B39">
        <w:rPr>
          <w:rFonts w:asciiTheme="majorHAnsi" w:hAnsiTheme="majorHAnsi" w:cstheme="majorHAnsi"/>
          <w:sz w:val="24"/>
          <w:szCs w:val="24"/>
          <w:lang w:val="ro-MD"/>
        </w:rPr>
        <w:t>,</w:t>
      </w:r>
      <w:r w:rsidR="00884FBD" w:rsidRPr="009E5B39">
        <w:rPr>
          <w:rFonts w:asciiTheme="majorHAnsi" w:hAnsiTheme="majorHAnsi" w:cstheme="majorHAnsi"/>
          <w:sz w:val="24"/>
          <w:szCs w:val="24"/>
          <w:lang w:val="ro-MD"/>
        </w:rPr>
        <w:t xml:space="preserve"> Primăria nu </w:t>
      </w:r>
      <w:r w:rsidRPr="009E5B39">
        <w:rPr>
          <w:rFonts w:asciiTheme="majorHAnsi" w:hAnsiTheme="majorHAnsi" w:cstheme="majorHAnsi"/>
          <w:sz w:val="24"/>
          <w:szCs w:val="24"/>
          <w:lang w:val="ro-MD"/>
        </w:rPr>
        <w:t>a exclu</w:t>
      </w:r>
      <w:r w:rsidR="00884FBD" w:rsidRPr="009E5B39">
        <w:rPr>
          <w:rFonts w:asciiTheme="majorHAnsi" w:hAnsiTheme="majorHAnsi" w:cstheme="majorHAnsi"/>
          <w:sz w:val="24"/>
          <w:szCs w:val="24"/>
          <w:lang w:val="ro-MD"/>
        </w:rPr>
        <w:t xml:space="preserve">s </w:t>
      </w:r>
      <w:r w:rsidRPr="009E5B39">
        <w:rPr>
          <w:rFonts w:asciiTheme="majorHAnsi" w:hAnsiTheme="majorHAnsi" w:cstheme="majorHAnsi"/>
          <w:sz w:val="24"/>
          <w:szCs w:val="24"/>
          <w:lang w:val="ro-MD"/>
        </w:rPr>
        <w:t>din evidența contabilă terenuril</w:t>
      </w:r>
      <w:r w:rsidR="00884FBD" w:rsidRPr="009E5B39">
        <w:rPr>
          <w:rFonts w:asciiTheme="majorHAnsi" w:hAnsiTheme="majorHAnsi" w:cstheme="majorHAnsi"/>
          <w:sz w:val="24"/>
          <w:szCs w:val="24"/>
          <w:lang w:val="ro-MD"/>
        </w:rPr>
        <w:t>e respective.</w:t>
      </w:r>
    </w:p>
    <w:p w14:paraId="25BF6B4F" w14:textId="1A15270A" w:rsidR="00382413" w:rsidRPr="009E5B39" w:rsidRDefault="00382413" w:rsidP="003C5073">
      <w:pPr>
        <w:pStyle w:val="ListParagraph"/>
        <w:numPr>
          <w:ilvl w:val="0"/>
          <w:numId w:val="113"/>
        </w:numPr>
        <w:ind w:left="0"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Deși Complexul Memorial „Eternitate” a fost transmis</w:t>
      </w:r>
      <w:r w:rsidR="00376B5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conform HG nr.1169 din 11.10.2006</w:t>
      </w:r>
      <w:r w:rsidR="00376B5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din proprietatea publică a municipiului Chișinău în proprietatea publică a statului, iar conform Deciziei CMC nr. 21/13 din 25.11.2008, lucrările executate de către ÎM DCC urmau a fi transmise beneficiarului, valoarea acestora în sumă de 47,51 mil</w:t>
      </w:r>
      <w:r w:rsidR="00376B5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până la moment</w:t>
      </w:r>
      <w:r w:rsidR="00376B5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se regăsește în evidența contabilă a ÎM DCC. </w:t>
      </w:r>
    </w:p>
    <w:p w14:paraId="02AB9B41" w14:textId="4B3B273C" w:rsidR="001E141A" w:rsidRPr="009E5B39" w:rsidRDefault="001E141A" w:rsidP="003C5073">
      <w:pPr>
        <w:pStyle w:val="ListParagraph"/>
        <w:numPr>
          <w:ilvl w:val="0"/>
          <w:numId w:val="113"/>
        </w:numPr>
        <w:spacing w:after="0" w:line="276" w:lineRule="auto"/>
        <w:ind w:left="0" w:firstLine="426"/>
        <w:jc w:val="both"/>
        <w:rPr>
          <w:rFonts w:asciiTheme="majorHAnsi" w:hAnsiTheme="majorHAnsi" w:cstheme="majorHAnsi"/>
          <w:b/>
          <w:sz w:val="24"/>
          <w:szCs w:val="24"/>
          <w:lang w:val="ro-MD"/>
        </w:rPr>
      </w:pPr>
      <w:r w:rsidRPr="009E5B39">
        <w:rPr>
          <w:rFonts w:asciiTheme="majorHAnsi" w:hAnsiTheme="majorHAnsi" w:cstheme="majorHAnsi"/>
          <w:sz w:val="24"/>
          <w:szCs w:val="24"/>
          <w:lang w:val="ro-MD"/>
        </w:rPr>
        <w:t>Datele raportate în Darea de seamă funciară</w:t>
      </w:r>
      <w:r w:rsidR="00382413" w:rsidRPr="009E5B39">
        <w:rPr>
          <w:rFonts w:asciiTheme="majorHAnsi" w:hAnsiTheme="majorHAnsi" w:cstheme="majorHAnsi"/>
          <w:sz w:val="24"/>
          <w:szCs w:val="24"/>
          <w:lang w:val="ro-MD"/>
        </w:rPr>
        <w:t xml:space="preserve"> a mun. Chișinău</w:t>
      </w:r>
      <w:r w:rsidRPr="009E5B39">
        <w:rPr>
          <w:rFonts w:asciiTheme="majorHAnsi" w:hAnsiTheme="majorHAnsi" w:cstheme="majorHAnsi"/>
          <w:sz w:val="24"/>
          <w:szCs w:val="24"/>
          <w:lang w:val="ro-MD"/>
        </w:rPr>
        <w:t xml:space="preserve"> pentru </w:t>
      </w:r>
      <w:r w:rsidR="00376B58" w:rsidRPr="009E5B39">
        <w:rPr>
          <w:rFonts w:asciiTheme="majorHAnsi" w:hAnsiTheme="majorHAnsi" w:cstheme="majorHAnsi"/>
          <w:sz w:val="24"/>
          <w:szCs w:val="24"/>
          <w:lang w:val="ro-MD"/>
        </w:rPr>
        <w:t>anii</w:t>
      </w:r>
      <w:r w:rsidRPr="009E5B39">
        <w:rPr>
          <w:rFonts w:asciiTheme="majorHAnsi" w:hAnsiTheme="majorHAnsi" w:cstheme="majorHAnsi"/>
          <w:sz w:val="24"/>
          <w:szCs w:val="24"/>
          <w:lang w:val="ro-MD"/>
        </w:rPr>
        <w:t xml:space="preserve"> 2018-2020 sunt identice pentru toate perioadele: </w:t>
      </w:r>
      <w:r w:rsidRPr="009E5B39">
        <w:rPr>
          <w:rFonts w:asciiTheme="majorHAnsi" w:eastAsia="Calibri" w:hAnsiTheme="majorHAnsi" w:cstheme="majorHAnsi"/>
          <w:sz w:val="24"/>
          <w:szCs w:val="24"/>
          <w:lang w:val="ro-MD"/>
        </w:rPr>
        <w:t>Total terenuri 12297,22 ha: 1. Proprietatea publică a statului – 2567,61 ha; 2. Terenuri proprietate publică a UAT – 7923,51 ha; 3. Terenuri aflate în proprietate privată – 1806,19 ha</w:t>
      </w:r>
      <w:r w:rsidR="00382413" w:rsidRPr="009E5B39">
        <w:rPr>
          <w:rFonts w:asciiTheme="majorHAnsi" w:eastAsia="Calibri" w:hAnsiTheme="majorHAnsi" w:cstheme="majorHAnsi"/>
          <w:sz w:val="24"/>
          <w:szCs w:val="24"/>
          <w:lang w:val="ro-MD"/>
        </w:rPr>
        <w:t>, a</w:t>
      </w:r>
      <w:r w:rsidR="00382413" w:rsidRPr="009E5B39">
        <w:rPr>
          <w:rFonts w:asciiTheme="majorHAnsi" w:hAnsiTheme="majorHAnsi" w:cstheme="majorHAnsi"/>
          <w:sz w:val="24"/>
          <w:szCs w:val="24"/>
          <w:lang w:val="ro-MD"/>
        </w:rPr>
        <w:t xml:space="preserve">ceste date nefiind ajustate </w:t>
      </w:r>
      <w:r w:rsidR="002C023D" w:rsidRPr="009E5B39">
        <w:rPr>
          <w:rFonts w:asciiTheme="majorHAnsi" w:hAnsiTheme="majorHAnsi" w:cstheme="majorHAnsi"/>
          <w:sz w:val="24"/>
          <w:szCs w:val="24"/>
          <w:lang w:val="ro-MD"/>
        </w:rPr>
        <w:t>la</w:t>
      </w:r>
      <w:r w:rsidR="00382413" w:rsidRPr="009E5B39">
        <w:rPr>
          <w:rFonts w:asciiTheme="majorHAnsi" w:hAnsiTheme="majorHAnsi" w:cstheme="majorHAnsi"/>
          <w:sz w:val="24"/>
          <w:szCs w:val="24"/>
          <w:lang w:val="ro-MD"/>
        </w:rPr>
        <w:t xml:space="preserve"> suprafața terenurilor vândute de 23,12 ha</w:t>
      </w:r>
      <w:r w:rsidR="00382413" w:rsidRPr="009E5B39">
        <w:rPr>
          <w:rStyle w:val="FootnoteReference"/>
          <w:rFonts w:asciiTheme="majorHAnsi" w:hAnsiTheme="majorHAnsi" w:cstheme="majorHAnsi"/>
          <w:sz w:val="24"/>
          <w:szCs w:val="24"/>
          <w:lang w:val="ro-MD"/>
        </w:rPr>
        <w:footnoteReference w:id="139"/>
      </w:r>
      <w:r w:rsidR="00382413" w:rsidRPr="009E5B39">
        <w:rPr>
          <w:rFonts w:asciiTheme="majorHAnsi" w:hAnsiTheme="majorHAnsi" w:cstheme="majorHAnsi"/>
          <w:sz w:val="24"/>
          <w:szCs w:val="24"/>
          <w:lang w:val="ro-MD"/>
        </w:rPr>
        <w:t>.</w:t>
      </w:r>
    </w:p>
    <w:p w14:paraId="1E9B815C" w14:textId="39426923" w:rsidR="00CD036F" w:rsidRPr="009E5B39" w:rsidRDefault="00CD036F" w:rsidP="003C5073">
      <w:pPr>
        <w:pStyle w:val="ListParagraph"/>
        <w:numPr>
          <w:ilvl w:val="0"/>
          <w:numId w:val="113"/>
        </w:numPr>
        <w:spacing w:after="0" w:line="276" w:lineRule="auto"/>
        <w:ind w:left="0" w:firstLine="426"/>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Auditul a constat</w:t>
      </w:r>
      <w:r w:rsidR="002C023D" w:rsidRPr="009E5B39">
        <w:rPr>
          <w:rFonts w:asciiTheme="majorHAnsi" w:hAnsiTheme="majorHAnsi" w:cstheme="majorHAnsi"/>
          <w:sz w:val="24"/>
          <w:szCs w:val="24"/>
          <w:lang w:val="ro-MD"/>
        </w:rPr>
        <w:t>at</w:t>
      </w:r>
      <w:r w:rsidRPr="009E5B39">
        <w:rPr>
          <w:rFonts w:asciiTheme="majorHAnsi" w:hAnsiTheme="majorHAnsi" w:cstheme="majorHAnsi"/>
          <w:sz w:val="24"/>
          <w:szCs w:val="24"/>
          <w:lang w:val="ro-MD"/>
        </w:rPr>
        <w:t xml:space="preserve"> că în „</w:t>
      </w:r>
      <w:r w:rsidRPr="009E5B39">
        <w:rPr>
          <w:rFonts w:asciiTheme="majorHAnsi" w:hAnsiTheme="majorHAnsi" w:cstheme="majorHAnsi"/>
          <w:i/>
          <w:sz w:val="24"/>
          <w:szCs w:val="24"/>
          <w:lang w:val="ro-MD"/>
        </w:rPr>
        <w:t>Registrul de evidență a contractelor de locațiune/comodat a bunurilor proprietate publică a mun. Chișinău”</w:t>
      </w:r>
      <w:r w:rsidRPr="009E5B39">
        <w:rPr>
          <w:rFonts w:asciiTheme="majorHAnsi" w:hAnsiTheme="majorHAnsi" w:cstheme="majorHAnsi"/>
          <w:sz w:val="24"/>
          <w:szCs w:val="24"/>
          <w:lang w:val="ro-MD"/>
        </w:rPr>
        <w:t xml:space="preserve"> </w:t>
      </w:r>
      <w:r w:rsidR="004C02E6">
        <w:rPr>
          <w:rFonts w:asciiTheme="majorHAnsi" w:hAnsiTheme="majorHAnsi" w:cstheme="majorHAnsi"/>
          <w:sz w:val="24"/>
          <w:szCs w:val="24"/>
          <w:lang w:val="ro-MD"/>
        </w:rPr>
        <w:t xml:space="preserve">nu sunt incluse toate </w:t>
      </w:r>
      <w:r w:rsidRPr="009E5B39">
        <w:rPr>
          <w:rFonts w:asciiTheme="majorHAnsi" w:hAnsiTheme="majorHAnsi" w:cstheme="majorHAnsi"/>
          <w:sz w:val="24"/>
          <w:szCs w:val="24"/>
          <w:lang w:val="ro-MD"/>
        </w:rPr>
        <w:t>bunuri</w:t>
      </w:r>
      <w:r w:rsidR="004C02E6">
        <w:rPr>
          <w:rFonts w:asciiTheme="majorHAnsi" w:hAnsiTheme="majorHAnsi" w:cstheme="majorHAnsi"/>
          <w:sz w:val="24"/>
          <w:szCs w:val="24"/>
          <w:lang w:val="ro-MD"/>
        </w:rPr>
        <w:t>le</w:t>
      </w:r>
      <w:r w:rsidRPr="009E5B39">
        <w:rPr>
          <w:rFonts w:asciiTheme="majorHAnsi" w:hAnsiTheme="majorHAnsi" w:cstheme="majorHAnsi"/>
          <w:sz w:val="24"/>
          <w:szCs w:val="24"/>
          <w:lang w:val="ro-MD"/>
        </w:rPr>
        <w:t xml:space="preserve"> imobile transmise în comodat IMSP și ÎM. </w:t>
      </w:r>
    </w:p>
    <w:p w14:paraId="19BA225A" w14:textId="3765769C" w:rsidR="00E2358E" w:rsidRPr="009E5B39" w:rsidRDefault="00E2358E" w:rsidP="003C5073">
      <w:pPr>
        <w:pStyle w:val="ListParagraph"/>
        <w:numPr>
          <w:ilvl w:val="0"/>
          <w:numId w:val="113"/>
        </w:numPr>
        <w:spacing w:after="0" w:line="276" w:lineRule="auto"/>
        <w:ind w:left="0" w:firstLine="426"/>
        <w:jc w:val="both"/>
        <w:rPr>
          <w:rFonts w:asciiTheme="majorHAnsi" w:hAnsiTheme="majorHAnsi" w:cstheme="majorHAnsi"/>
          <w:sz w:val="24"/>
          <w:szCs w:val="24"/>
          <w:lang w:val="ro-MD"/>
        </w:rPr>
      </w:pPr>
      <w:r w:rsidRPr="009E5B39">
        <w:rPr>
          <w:rFonts w:asciiTheme="majorHAnsi" w:hAnsiTheme="majorHAnsi" w:cstheme="majorHAnsi"/>
          <w:i/>
          <w:sz w:val="24"/>
          <w:szCs w:val="24"/>
          <w:lang w:val="ro-MD"/>
        </w:rPr>
        <w:t>Registrul bunurilor imobile proprietate a mun. Chișinău</w:t>
      </w:r>
      <w:r w:rsidR="002C023D"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w:t>
      </w:r>
      <w:r w:rsidRPr="009E5B39">
        <w:rPr>
          <w:rFonts w:asciiTheme="majorHAnsi" w:hAnsiTheme="majorHAnsi" w:cstheme="majorHAnsi"/>
          <w:sz w:val="24"/>
          <w:szCs w:val="24"/>
          <w:lang w:val="ro-MD"/>
        </w:rPr>
        <w:t>completat în baza inventarierilor efectuate anual și aprobate prin Decizia CMC</w:t>
      </w:r>
      <w:r w:rsidR="002C023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Pr="009E5B39">
        <w:rPr>
          <w:rFonts w:asciiTheme="majorHAnsi" w:hAnsiTheme="majorHAnsi" w:cstheme="majorHAnsi"/>
          <w:i/>
          <w:sz w:val="24"/>
          <w:szCs w:val="24"/>
          <w:lang w:val="ro-MD"/>
        </w:rPr>
        <w:t>nu este complet și veridic</w:t>
      </w:r>
      <w:r w:rsidRPr="009E5B39">
        <w:rPr>
          <w:rFonts w:asciiTheme="majorHAnsi" w:hAnsiTheme="majorHAnsi" w:cstheme="majorHAnsi"/>
          <w:sz w:val="24"/>
          <w:szCs w:val="24"/>
          <w:lang w:val="ro-MD"/>
        </w:rPr>
        <w:t xml:space="preserve">. De exemplu, conform datelor ÎM </w:t>
      </w:r>
      <w:r w:rsidR="003B7B7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Infocom</w:t>
      </w:r>
      <w:r w:rsidR="003B7B77" w:rsidRPr="009E5B39">
        <w:rPr>
          <w:rFonts w:asciiTheme="majorHAnsi" w:hAnsiTheme="majorHAnsi" w:cstheme="majorHAnsi"/>
          <w:sz w:val="24"/>
          <w:szCs w:val="24"/>
          <w:lang w:val="ro-MD"/>
        </w:rPr>
        <w:t>”</w:t>
      </w:r>
      <w:r w:rsidR="002C023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la 31.12.2020 existau 1124 de apartamente neprivatizate</w:t>
      </w:r>
      <w:r w:rsidR="002C023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suprafaț</w:t>
      </w:r>
      <w:r w:rsidR="002C023D"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de circa 47998,4 m</w:t>
      </w:r>
      <w:r w:rsidRPr="009E5B39">
        <w:rPr>
          <w:rFonts w:asciiTheme="majorHAnsi" w:hAnsiTheme="majorHAnsi" w:cstheme="majorHAnsi"/>
          <w:sz w:val="24"/>
          <w:szCs w:val="24"/>
          <w:vertAlign w:val="superscript"/>
          <w:lang w:val="ro-MD"/>
        </w:rPr>
        <w:t>2</w:t>
      </w:r>
      <w:r w:rsidR="002C023D" w:rsidRPr="009E5B39">
        <w:rPr>
          <w:vertAlign w:val="superscript"/>
          <w:lang w:val="ro-MD"/>
        </w:rPr>
        <w:t xml:space="preserve"> </w:t>
      </w:r>
      <w:r w:rsidRPr="009E5B39">
        <w:rPr>
          <w:vertAlign w:val="superscript"/>
          <w:lang w:val="ro-MD"/>
        </w:rPr>
        <w:footnoteReference w:id="140"/>
      </w:r>
      <w:r w:rsidR="002C023D"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 în timp ce în registru sunt indicate apartamente neprivatizate cu suprafaț</w:t>
      </w:r>
      <w:r w:rsidR="002C023D"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 xml:space="preserve"> de circa 94461,39 m</w:t>
      </w:r>
      <w:r w:rsidRPr="009E5B39">
        <w:rPr>
          <w:rFonts w:asciiTheme="majorHAnsi" w:hAnsiTheme="majorHAnsi" w:cstheme="majorHAnsi"/>
          <w:sz w:val="24"/>
          <w:szCs w:val="24"/>
          <w:vertAlign w:val="superscript"/>
          <w:lang w:val="ro-MD"/>
        </w:rPr>
        <w:t>2</w:t>
      </w:r>
      <w:r w:rsidRPr="009E5B39">
        <w:rPr>
          <w:vertAlign w:val="superscript"/>
          <w:lang w:val="ro-MD"/>
        </w:rPr>
        <w:footnoteReference w:id="141"/>
      </w:r>
      <w:r w:rsidR="00ED2FE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p>
    <w:p w14:paraId="2F3AB53C" w14:textId="72E8D4FF" w:rsidR="00195FD0" w:rsidRPr="009E5B39" w:rsidRDefault="00195FD0" w:rsidP="000D1457">
      <w:pPr>
        <w:pStyle w:val="ListParagraph"/>
        <w:numPr>
          <w:ilvl w:val="2"/>
          <w:numId w:val="29"/>
        </w:numPr>
        <w:spacing w:after="0" w:line="276" w:lineRule="auto"/>
        <w:ind w:left="0" w:firstLine="0"/>
        <w:contextualSpacing w:val="0"/>
        <w:jc w:val="both"/>
        <w:rPr>
          <w:rFonts w:ascii="Calibri Light" w:eastAsia="Calibri" w:hAnsi="Calibri Light" w:cs="Tahoma"/>
          <w:sz w:val="24"/>
          <w:lang w:val="ro-MD"/>
        </w:rPr>
      </w:pPr>
      <w:r w:rsidRPr="009E5B39">
        <w:rPr>
          <w:rFonts w:asciiTheme="majorHAnsi" w:eastAsia="Times New Roman" w:hAnsiTheme="majorHAnsi" w:cstheme="majorHAnsi"/>
          <w:b/>
          <w:i/>
          <w:sz w:val="24"/>
          <w:szCs w:val="24"/>
          <w:lang w:val="ro-MD" w:eastAsia="ru-RU"/>
        </w:rPr>
        <w:t>Procedura de evidență a tranzacțiilor aferente contractelor de arendă/folosință și de v</w:t>
      </w:r>
      <w:r w:rsidR="00F53A05" w:rsidRPr="009E5B39">
        <w:rPr>
          <w:rFonts w:asciiTheme="majorHAnsi" w:eastAsia="Times New Roman" w:hAnsiTheme="majorHAnsi" w:cstheme="majorHAnsi"/>
          <w:b/>
          <w:i/>
          <w:sz w:val="24"/>
          <w:szCs w:val="24"/>
          <w:lang w:val="ro-MD" w:eastAsia="ru-RU"/>
        </w:rPr>
        <w:t>â</w:t>
      </w:r>
      <w:r w:rsidRPr="009E5B39">
        <w:rPr>
          <w:rFonts w:asciiTheme="majorHAnsi" w:eastAsia="Times New Roman" w:hAnsiTheme="majorHAnsi" w:cstheme="majorHAnsi"/>
          <w:b/>
          <w:i/>
          <w:sz w:val="24"/>
          <w:szCs w:val="24"/>
          <w:lang w:val="ro-MD" w:eastAsia="ru-RU"/>
        </w:rPr>
        <w:t xml:space="preserve">nzare-cumpărare nu asigură controlul eficient asupra încasării depline și în termenele prevăzute de contract a veniturilor bugetare. </w:t>
      </w:r>
      <w:r w:rsidR="00B66BD1" w:rsidRPr="009E5B39">
        <w:rPr>
          <w:rFonts w:asciiTheme="majorHAnsi" w:hAnsiTheme="majorHAnsi" w:cstheme="majorHAnsi"/>
          <w:b/>
          <w:sz w:val="24"/>
          <w:szCs w:val="24"/>
          <w:lang w:val="ro-MD"/>
        </w:rPr>
        <w:t xml:space="preserve">AAPL ale mun. Chișinău nu au determinat regulamentar </w:t>
      </w:r>
      <w:r w:rsidR="00E10F69" w:rsidRPr="009E5B39">
        <w:rPr>
          <w:rFonts w:asciiTheme="majorHAnsi" w:hAnsiTheme="majorHAnsi" w:cstheme="majorHAnsi"/>
          <w:b/>
          <w:sz w:val="24"/>
          <w:szCs w:val="24"/>
          <w:lang w:val="ro-MD"/>
        </w:rPr>
        <w:t>D</w:t>
      </w:r>
      <w:r w:rsidR="00B66BD1" w:rsidRPr="009E5B39">
        <w:rPr>
          <w:rFonts w:asciiTheme="majorHAnsi" w:hAnsiTheme="majorHAnsi" w:cstheme="majorHAnsi"/>
          <w:b/>
          <w:sz w:val="24"/>
          <w:szCs w:val="24"/>
          <w:lang w:val="ro-MD"/>
        </w:rPr>
        <w:t xml:space="preserve">irecțiile cărora le-au acordat atribuțiile de administrator de venituri aferente </w:t>
      </w:r>
      <w:r w:rsidR="00B66BD1" w:rsidRPr="009E5B39">
        <w:rPr>
          <w:rFonts w:asciiTheme="majorHAnsi" w:hAnsiTheme="majorHAnsi" w:cstheme="majorHAnsi"/>
          <w:b/>
          <w:bCs/>
          <w:i/>
          <w:sz w:val="24"/>
          <w:szCs w:val="24"/>
          <w:lang w:val="ro-MD"/>
        </w:rPr>
        <w:t xml:space="preserve">veniturilor din vânzarea și privatizarea terenurilor, privatizarea fondului de locuințe și a încăperilor nelocuibile, precum și </w:t>
      </w:r>
      <w:r w:rsidR="00B66BD1" w:rsidRPr="009E5B39">
        <w:rPr>
          <w:rFonts w:asciiTheme="majorHAnsi" w:hAnsiTheme="majorHAnsi" w:cstheme="majorHAnsi"/>
          <w:b/>
          <w:i/>
          <w:sz w:val="24"/>
          <w:szCs w:val="24"/>
          <w:lang w:val="ro-MD"/>
        </w:rPr>
        <w:t>din locațiunea bunurilor imobile, care urmează să asigure plenitudinea și veridicitatea  soldurilor inițiale și finale, calculelor și achitărilor aferente veniturilor.</w:t>
      </w:r>
    </w:p>
    <w:p w14:paraId="1427CA85" w14:textId="64AF5B86" w:rsidR="00195FD0" w:rsidRPr="009E5B39" w:rsidRDefault="00195FD0" w:rsidP="003C5073">
      <w:pPr>
        <w:pStyle w:val="ListParagraph"/>
        <w:numPr>
          <w:ilvl w:val="0"/>
          <w:numId w:val="115"/>
        </w:numPr>
        <w:spacing w:after="0" w:line="276" w:lineRule="auto"/>
        <w:ind w:left="0" w:firstLine="426"/>
        <w:jc w:val="both"/>
        <w:rPr>
          <w:rFonts w:ascii="Calibri Light" w:eastAsia="Calibri" w:hAnsi="Calibri Light" w:cs="Tahoma"/>
          <w:sz w:val="24"/>
          <w:lang w:val="ro-MD"/>
        </w:rPr>
      </w:pPr>
      <w:r w:rsidRPr="009E5B39">
        <w:rPr>
          <w:rFonts w:asciiTheme="majorHAnsi" w:eastAsia="Times New Roman" w:hAnsiTheme="majorHAnsi" w:cstheme="majorHAnsi"/>
          <w:b/>
          <w:i/>
          <w:sz w:val="24"/>
          <w:szCs w:val="24"/>
          <w:lang w:val="ro-MD" w:eastAsia="ru-RU"/>
        </w:rPr>
        <w:t>Ținerea evidenței plăților aferente administrării fondului funciar prin intermediul unui program</w:t>
      </w:r>
      <w:r w:rsidRPr="009E5B39">
        <w:rPr>
          <w:vertAlign w:val="superscript"/>
          <w:lang w:val="ro-MD" w:eastAsia="ru-RU"/>
        </w:rPr>
        <w:footnoteReference w:id="142"/>
      </w:r>
      <w:r w:rsidRPr="009E5B39">
        <w:rPr>
          <w:rFonts w:asciiTheme="majorHAnsi" w:eastAsia="Times New Roman" w:hAnsiTheme="majorHAnsi" w:cstheme="majorHAnsi"/>
          <w:b/>
          <w:i/>
          <w:sz w:val="24"/>
          <w:szCs w:val="24"/>
          <w:lang w:val="ro-MD" w:eastAsia="ru-RU"/>
        </w:rPr>
        <w:t>, care pe parcursul anilor a funcționat cu dificultăți, nefiind ajustat/modernizat mai bine de 10 ani, accesul la acesta a</w:t>
      </w:r>
      <w:r w:rsidR="00E10F69" w:rsidRPr="009E5B39">
        <w:rPr>
          <w:rFonts w:asciiTheme="majorHAnsi" w:eastAsia="Times New Roman" w:hAnsiTheme="majorHAnsi" w:cstheme="majorHAnsi"/>
          <w:b/>
          <w:i/>
          <w:sz w:val="24"/>
          <w:szCs w:val="24"/>
          <w:lang w:val="ro-MD" w:eastAsia="ru-RU"/>
        </w:rPr>
        <w:t>l</w:t>
      </w:r>
      <w:r w:rsidRPr="009E5B39">
        <w:rPr>
          <w:rFonts w:asciiTheme="majorHAnsi" w:eastAsia="Times New Roman" w:hAnsiTheme="majorHAnsi" w:cstheme="majorHAnsi"/>
          <w:b/>
          <w:i/>
          <w:sz w:val="24"/>
          <w:szCs w:val="24"/>
          <w:lang w:val="ro-MD" w:eastAsia="ru-RU"/>
        </w:rPr>
        <w:t xml:space="preserve"> tuturor angajaților DGAURF, fără a fi desemnată o persoană responsabilă de verificarea corectitudinii datelor ce țin de calcularea și achitarea pe contractele de arendă/folosință și de v</w:t>
      </w:r>
      <w:r w:rsidR="00E10F69" w:rsidRPr="009E5B39">
        <w:rPr>
          <w:rFonts w:asciiTheme="majorHAnsi" w:eastAsia="Times New Roman" w:hAnsiTheme="majorHAnsi" w:cstheme="majorHAnsi"/>
          <w:b/>
          <w:i/>
          <w:sz w:val="24"/>
          <w:szCs w:val="24"/>
          <w:lang w:val="ro-MD" w:eastAsia="ru-RU"/>
        </w:rPr>
        <w:t>â</w:t>
      </w:r>
      <w:r w:rsidRPr="009E5B39">
        <w:rPr>
          <w:rFonts w:asciiTheme="majorHAnsi" w:eastAsia="Times New Roman" w:hAnsiTheme="majorHAnsi" w:cstheme="majorHAnsi"/>
          <w:b/>
          <w:i/>
          <w:sz w:val="24"/>
          <w:szCs w:val="24"/>
          <w:lang w:val="ro-MD" w:eastAsia="ru-RU"/>
        </w:rPr>
        <w:t>nzare-cumpărare a terenurilor, introduse în SI, creează un risc înalt de neautenticitate a datelor.</w:t>
      </w:r>
      <w:r w:rsidRPr="009E5B39">
        <w:rPr>
          <w:rFonts w:asciiTheme="majorHAnsi" w:hAnsiTheme="majorHAnsi" w:cstheme="majorHAnsi"/>
          <w:b/>
          <w:sz w:val="24"/>
          <w:szCs w:val="24"/>
          <w:lang w:val="ro-MD"/>
        </w:rPr>
        <w:t xml:space="preserve">   </w:t>
      </w:r>
    </w:p>
    <w:p w14:paraId="559113D3" w14:textId="32EDB754" w:rsidR="00195FD0" w:rsidRPr="009E5B39" w:rsidRDefault="00195FD0" w:rsidP="00195FD0">
      <w:pPr>
        <w:tabs>
          <w:tab w:val="left" w:pos="0"/>
        </w:tabs>
        <w:spacing w:after="0" w:line="276" w:lineRule="auto"/>
        <w:jc w:val="both"/>
        <w:rPr>
          <w:rFonts w:asciiTheme="majorHAnsi" w:eastAsia="Calibri" w:hAnsiTheme="majorHAnsi" w:cstheme="majorHAnsi"/>
          <w:i/>
          <w:sz w:val="24"/>
          <w:szCs w:val="24"/>
          <w:lang w:val="ro-MD"/>
        </w:rPr>
      </w:pPr>
      <w:r w:rsidRPr="009E5B39">
        <w:rPr>
          <w:rFonts w:asciiTheme="majorHAnsi" w:hAnsiTheme="majorHAnsi" w:cstheme="majorHAnsi"/>
          <w:sz w:val="24"/>
          <w:szCs w:val="24"/>
          <w:lang w:val="ro-MD"/>
        </w:rPr>
        <w:tab/>
        <w:t xml:space="preserve">Astfel, AAPL ale mun. Chișinău nu au determinat regulamentar </w:t>
      </w:r>
      <w:r w:rsidR="00E10F69" w:rsidRPr="009E5B39">
        <w:rPr>
          <w:rFonts w:asciiTheme="majorHAnsi" w:hAnsiTheme="majorHAnsi" w:cstheme="majorHAnsi"/>
          <w:sz w:val="24"/>
          <w:szCs w:val="24"/>
          <w:lang w:val="ro-MD"/>
        </w:rPr>
        <w:t>D</w:t>
      </w:r>
      <w:r w:rsidRPr="009E5B39">
        <w:rPr>
          <w:rFonts w:asciiTheme="majorHAnsi" w:hAnsiTheme="majorHAnsi" w:cstheme="majorHAnsi"/>
          <w:sz w:val="24"/>
          <w:szCs w:val="24"/>
          <w:lang w:val="ro-MD"/>
        </w:rPr>
        <w:t xml:space="preserve">irecțiile responsabile de ținerea evidenței analitice a tranzacțiilor aferente veniturilor vărsate direct în bugetul municipal, iar </w:t>
      </w:r>
      <w:r w:rsidRPr="009E5B39">
        <w:rPr>
          <w:rFonts w:asciiTheme="majorHAnsi" w:eastAsia="Calibri" w:hAnsiTheme="majorHAnsi" w:cstheme="majorHAnsi"/>
          <w:sz w:val="24"/>
          <w:szCs w:val="24"/>
          <w:lang w:val="ro-MD"/>
        </w:rPr>
        <w:t xml:space="preserve">neîncadrarea evidenței contabile a operațiunilor de dare în arendă/folosință a terenurilor municipale în evidența contabilă de bază a DGAURF </w:t>
      </w:r>
      <w:r w:rsidR="00E10F69" w:rsidRPr="009E5B39">
        <w:rPr>
          <w:rFonts w:asciiTheme="majorHAnsi" w:eastAsia="Calibri" w:hAnsiTheme="majorHAnsi" w:cstheme="majorHAnsi"/>
          <w:sz w:val="24"/>
          <w:szCs w:val="24"/>
          <w:lang w:val="ro-MD"/>
        </w:rPr>
        <w:t>reduce</w:t>
      </w:r>
      <w:r w:rsidRPr="009E5B39">
        <w:rPr>
          <w:rFonts w:asciiTheme="majorHAnsi" w:eastAsia="Calibri" w:hAnsiTheme="majorHAnsi" w:cstheme="majorHAnsi"/>
          <w:sz w:val="24"/>
          <w:szCs w:val="24"/>
          <w:lang w:val="ro-MD"/>
        </w:rPr>
        <w:t xml:space="preserve"> din responsabilitatea factorilor de decizie a</w:t>
      </w:r>
      <w:r w:rsidR="00E10F69" w:rsidRPr="009E5B39">
        <w:rPr>
          <w:rFonts w:asciiTheme="majorHAnsi" w:eastAsia="Calibri" w:hAnsiTheme="majorHAnsi" w:cstheme="majorHAnsi"/>
          <w:sz w:val="24"/>
          <w:szCs w:val="24"/>
          <w:lang w:val="ro-MD"/>
        </w:rPr>
        <w:t>i</w:t>
      </w:r>
      <w:r w:rsidRPr="009E5B39">
        <w:rPr>
          <w:rFonts w:asciiTheme="majorHAnsi" w:eastAsia="Calibri" w:hAnsiTheme="majorHAnsi" w:cstheme="majorHAnsi"/>
          <w:sz w:val="24"/>
          <w:szCs w:val="24"/>
          <w:lang w:val="ro-MD"/>
        </w:rPr>
        <w:t xml:space="preserve"> DGAURF de a reflecta cu exactitate suma veniturilor încasate pe conturile trezoreriale în evidența operativă existentă. Conform reglementărilor interne, DGAURF este responsabilă de controlul asupra respectării clauzelor contractuale funciare, inclusiv </w:t>
      </w:r>
      <w:r w:rsidR="00E10F69" w:rsidRPr="009E5B39">
        <w:rPr>
          <w:rFonts w:asciiTheme="majorHAnsi" w:eastAsia="Calibri" w:hAnsiTheme="majorHAnsi" w:cstheme="majorHAnsi"/>
          <w:sz w:val="24"/>
          <w:szCs w:val="24"/>
          <w:lang w:val="ro-MD"/>
        </w:rPr>
        <w:t xml:space="preserve">a </w:t>
      </w:r>
      <w:r w:rsidRPr="009E5B39">
        <w:rPr>
          <w:rFonts w:asciiTheme="majorHAnsi" w:eastAsia="Calibri" w:hAnsiTheme="majorHAnsi" w:cstheme="majorHAnsi"/>
          <w:sz w:val="24"/>
          <w:szCs w:val="24"/>
          <w:lang w:val="ro-MD"/>
        </w:rPr>
        <w:t xml:space="preserve">celor ce vizează efectuarea </w:t>
      </w:r>
      <w:r w:rsidR="00E10F69" w:rsidRPr="009E5B39">
        <w:rPr>
          <w:rFonts w:asciiTheme="majorHAnsi" w:eastAsia="Calibri" w:hAnsiTheme="majorHAnsi" w:cstheme="majorHAnsi"/>
          <w:sz w:val="24"/>
          <w:szCs w:val="24"/>
          <w:lang w:val="ro-MD"/>
        </w:rPr>
        <w:t xml:space="preserve">în termen a </w:t>
      </w:r>
      <w:r w:rsidRPr="009E5B39">
        <w:rPr>
          <w:rFonts w:asciiTheme="majorHAnsi" w:eastAsia="Calibri" w:hAnsiTheme="majorHAnsi" w:cstheme="majorHAnsi"/>
          <w:sz w:val="24"/>
          <w:szCs w:val="24"/>
          <w:lang w:val="ro-MD"/>
        </w:rPr>
        <w:t>plăților pentru arendă, datoriile și scadențele stipulate în contracte</w:t>
      </w:r>
      <w:r w:rsidR="00E10F69" w:rsidRPr="009E5B39">
        <w:rPr>
          <w:rFonts w:asciiTheme="majorHAnsi" w:eastAsia="Calibri" w:hAnsiTheme="majorHAnsi" w:cstheme="majorHAnsi"/>
          <w:sz w:val="24"/>
          <w:szCs w:val="24"/>
          <w:lang w:val="ro-MD"/>
        </w:rPr>
        <w:t>. D</w:t>
      </w:r>
      <w:r w:rsidRPr="009E5B39">
        <w:rPr>
          <w:rFonts w:asciiTheme="majorHAnsi" w:eastAsia="Calibri" w:hAnsiTheme="majorHAnsi" w:cstheme="majorHAnsi"/>
          <w:sz w:val="24"/>
          <w:szCs w:val="24"/>
          <w:lang w:val="ro-MD"/>
        </w:rPr>
        <w:t>irecția în cauză nu și-a onorat pe deplin aceste obligațiuni. Deși la momentul semnării contractului de arendă</w:t>
      </w:r>
      <w:r w:rsidR="00E10F69"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 xml:space="preserve"> locatarii s-au angajat să efectueze plățile stabilite conform termenelor stipulate în contract, auditul atestă o stare perpetuă de sporire a restanțelor pentru arenda funciară. </w:t>
      </w:r>
    </w:p>
    <w:p w14:paraId="39B278BE" w14:textId="4670EDF6" w:rsidR="00195FD0" w:rsidRPr="009E5B39" w:rsidRDefault="00195FD0" w:rsidP="00195FD0">
      <w:pPr>
        <w:tabs>
          <w:tab w:val="left" w:pos="0"/>
        </w:tabs>
        <w:spacing w:after="0" w:line="276" w:lineRule="auto"/>
        <w:jc w:val="both"/>
        <w:rPr>
          <w:rFonts w:asciiTheme="majorHAnsi" w:eastAsia="Calibri" w:hAnsiTheme="majorHAnsi" w:cstheme="majorHAnsi"/>
          <w:sz w:val="24"/>
          <w:szCs w:val="24"/>
          <w:lang w:val="ro-MD"/>
        </w:rPr>
      </w:pPr>
      <w:r w:rsidRPr="009E5B39">
        <w:rPr>
          <w:rFonts w:asciiTheme="majorHAnsi" w:eastAsia="Calibri" w:hAnsiTheme="majorHAnsi" w:cstheme="majorHAnsi"/>
          <w:sz w:val="24"/>
          <w:szCs w:val="24"/>
          <w:lang w:val="ro-MD"/>
        </w:rPr>
        <w:tab/>
        <w:t xml:space="preserve">Contrar prevederilor Ordinului </w:t>
      </w:r>
      <w:r w:rsidR="00C97188" w:rsidRPr="009E5B39">
        <w:rPr>
          <w:rFonts w:asciiTheme="majorHAnsi" w:eastAsia="Calibri" w:hAnsiTheme="majorHAnsi" w:cstheme="majorHAnsi"/>
          <w:sz w:val="24"/>
          <w:szCs w:val="24"/>
          <w:lang w:val="ro-MD"/>
        </w:rPr>
        <w:t>ministrului finanțelor</w:t>
      </w:r>
      <w:r w:rsidRPr="009E5B39">
        <w:rPr>
          <w:rFonts w:asciiTheme="majorHAnsi" w:eastAsia="Calibri" w:hAnsiTheme="majorHAnsi" w:cstheme="majorHAnsi"/>
          <w:sz w:val="24"/>
          <w:szCs w:val="24"/>
          <w:lang w:val="ro-MD"/>
        </w:rPr>
        <w:t xml:space="preserve"> nr.216/2015, DGAURF nu a asigurat reflectarea în bilanțul contabil la situația din 31.12.2020 a creanțelor și datoriilor aferente tranzacțiilor de arendă/superficie și folosință a terenurilor, care</w:t>
      </w:r>
      <w:r w:rsidR="00C97188"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potrivit evidenței operative</w:t>
      </w:r>
      <w:r w:rsidR="00C97188"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au constituit </w:t>
      </w:r>
      <w:r w:rsidRPr="009E5B39">
        <w:rPr>
          <w:rFonts w:asciiTheme="majorHAnsi" w:eastAsia="Calibri" w:hAnsiTheme="majorHAnsi" w:cstheme="majorHAnsi"/>
          <w:b/>
          <w:sz w:val="24"/>
          <w:szCs w:val="24"/>
          <w:lang w:val="ro-MD"/>
        </w:rPr>
        <w:t>74,19 mil</w:t>
      </w:r>
      <w:r w:rsidR="00C97188"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 xml:space="preserve"> lei</w:t>
      </w:r>
      <w:r w:rsidRPr="009E5B39">
        <w:rPr>
          <w:rFonts w:asciiTheme="majorHAnsi" w:eastAsia="Calibri" w:hAnsiTheme="majorHAnsi" w:cstheme="majorHAnsi"/>
          <w:sz w:val="24"/>
          <w:szCs w:val="24"/>
          <w:lang w:val="ro-MD"/>
        </w:rPr>
        <w:t xml:space="preserve"> (fiind în creștere, cu 13,68 mil</w:t>
      </w:r>
      <w:r w:rsidR="00C97188"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lei, față de suma creanțelor înregistrate la 01.01.2018) și</w:t>
      </w:r>
      <w:r w:rsidR="00C97188"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respectiv</w:t>
      </w:r>
      <w:r w:rsidR="00C97188"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b/>
          <w:sz w:val="24"/>
          <w:szCs w:val="24"/>
          <w:lang w:val="ro-MD"/>
        </w:rPr>
        <w:t>4,88 mil</w:t>
      </w:r>
      <w:r w:rsidR="00C97188" w:rsidRPr="009E5B39">
        <w:rPr>
          <w:rFonts w:asciiTheme="majorHAnsi" w:eastAsia="Calibri" w:hAnsiTheme="majorHAnsi" w:cstheme="majorHAnsi"/>
          <w:b/>
          <w:sz w:val="24"/>
          <w:szCs w:val="24"/>
          <w:lang w:val="ro-MD"/>
        </w:rPr>
        <w:t xml:space="preserve">. </w:t>
      </w:r>
      <w:r w:rsidRPr="009E5B39">
        <w:rPr>
          <w:rFonts w:asciiTheme="majorHAnsi" w:eastAsia="Calibri" w:hAnsiTheme="majorHAnsi" w:cstheme="majorHAnsi"/>
          <w:b/>
          <w:sz w:val="24"/>
          <w:szCs w:val="24"/>
          <w:lang w:val="ro-MD"/>
        </w:rPr>
        <w:t>lei</w:t>
      </w:r>
      <w:r w:rsidRPr="009E5B39">
        <w:rPr>
          <w:rFonts w:asciiTheme="majorHAnsi" w:eastAsia="Calibri" w:hAnsiTheme="majorHAnsi" w:cstheme="majorHAnsi"/>
          <w:sz w:val="24"/>
          <w:szCs w:val="24"/>
          <w:lang w:val="ro-MD"/>
        </w:rPr>
        <w:t>.  În Rapoartele privind executarea bugetului pentru anii 2018-2020 (</w:t>
      </w:r>
      <w:r w:rsidR="00F4493C" w:rsidRPr="009E5B39">
        <w:rPr>
          <w:rFonts w:asciiTheme="majorHAnsi" w:eastAsia="Calibri" w:hAnsiTheme="majorHAnsi" w:cstheme="majorHAnsi"/>
          <w:sz w:val="24"/>
          <w:szCs w:val="24"/>
          <w:lang w:val="ro-MD"/>
        </w:rPr>
        <w:t>F</w:t>
      </w:r>
      <w:r w:rsidRPr="009E5B39">
        <w:rPr>
          <w:rFonts w:asciiTheme="majorHAnsi" w:eastAsia="Calibri" w:hAnsiTheme="majorHAnsi" w:cstheme="majorHAnsi"/>
          <w:sz w:val="24"/>
          <w:szCs w:val="24"/>
          <w:lang w:val="ro-MD"/>
        </w:rPr>
        <w:t>orma FD-044), suma veniturilor efective este identică cu suma veniturilor executate:</w:t>
      </w:r>
    </w:p>
    <w:p w14:paraId="0ECEEADE" w14:textId="77777777" w:rsidR="00195FD0" w:rsidRPr="009E5B39" w:rsidRDefault="00195FD0" w:rsidP="00195FD0">
      <w:pPr>
        <w:tabs>
          <w:tab w:val="left" w:pos="0"/>
        </w:tabs>
        <w:spacing w:after="0" w:line="276" w:lineRule="auto"/>
        <w:ind w:left="284"/>
        <w:contextualSpacing/>
        <w:jc w:val="right"/>
        <w:rPr>
          <w:rFonts w:asciiTheme="majorHAnsi" w:eastAsia="Calibri" w:hAnsiTheme="majorHAnsi" w:cstheme="majorHAnsi"/>
          <w:i/>
          <w:sz w:val="24"/>
          <w:szCs w:val="24"/>
          <w:lang w:val="ro-MD"/>
        </w:rPr>
      </w:pPr>
      <w:r w:rsidRPr="009E5B39">
        <w:rPr>
          <w:rFonts w:asciiTheme="majorHAnsi" w:eastAsia="Calibri" w:hAnsiTheme="majorHAnsi" w:cstheme="majorHAnsi"/>
          <w:i/>
          <w:sz w:val="24"/>
          <w:szCs w:val="24"/>
          <w:lang w:val="ro-MD"/>
        </w:rPr>
        <w:t>mii lei</w:t>
      </w:r>
    </w:p>
    <w:tbl>
      <w:tblPr>
        <w:tblW w:w="936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60"/>
        <w:gridCol w:w="851"/>
        <w:gridCol w:w="869"/>
        <w:gridCol w:w="844"/>
        <w:gridCol w:w="743"/>
        <w:gridCol w:w="836"/>
        <w:gridCol w:w="883"/>
        <w:gridCol w:w="844"/>
        <w:gridCol w:w="844"/>
        <w:gridCol w:w="873"/>
      </w:tblGrid>
      <w:tr w:rsidR="00195FD0" w:rsidRPr="009E5B39" w14:paraId="53EB1538" w14:textId="77777777" w:rsidTr="0026150B">
        <w:trPr>
          <w:trHeight w:val="20"/>
        </w:trPr>
        <w:tc>
          <w:tcPr>
            <w:tcW w:w="714" w:type="dxa"/>
            <w:shd w:val="clear" w:color="auto" w:fill="auto"/>
            <w:vAlign w:val="center"/>
            <w:hideMark/>
          </w:tcPr>
          <w:p w14:paraId="3314F1F5" w14:textId="77777777" w:rsidR="00195FD0" w:rsidRPr="009E5B39" w:rsidRDefault="00195FD0" w:rsidP="00D32382">
            <w:pPr>
              <w:spacing w:after="0" w:line="240" w:lineRule="auto"/>
              <w:jc w:val="both"/>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Anii </w:t>
            </w:r>
          </w:p>
        </w:tc>
        <w:tc>
          <w:tcPr>
            <w:tcW w:w="1060" w:type="dxa"/>
          </w:tcPr>
          <w:p w14:paraId="45931D65" w14:textId="77C7CFB8" w:rsidR="00195FD0" w:rsidRPr="009E5B39" w:rsidRDefault="00195FD0" w:rsidP="00D32382">
            <w:pPr>
              <w:spacing w:after="0" w:line="240" w:lineRule="auto"/>
              <w:jc w:val="both"/>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 xml:space="preserve">Nr. </w:t>
            </w:r>
            <w:r w:rsidR="00F4493C" w:rsidRPr="009E5B39">
              <w:rPr>
                <w:rFonts w:asciiTheme="majorHAnsi" w:eastAsia="Times New Roman" w:hAnsiTheme="majorHAnsi" w:cstheme="majorHAnsi"/>
                <w:b/>
                <w:sz w:val="16"/>
                <w:szCs w:val="16"/>
                <w:lang w:val="ro-MD"/>
              </w:rPr>
              <w:t>c</w:t>
            </w:r>
            <w:r w:rsidRPr="009E5B39">
              <w:rPr>
                <w:rFonts w:asciiTheme="majorHAnsi" w:eastAsia="Times New Roman" w:hAnsiTheme="majorHAnsi" w:cstheme="majorHAnsi"/>
                <w:b/>
                <w:sz w:val="16"/>
                <w:szCs w:val="16"/>
                <w:lang w:val="ro-MD"/>
              </w:rPr>
              <w:t>ontracte</w:t>
            </w:r>
          </w:p>
        </w:tc>
        <w:tc>
          <w:tcPr>
            <w:tcW w:w="851" w:type="dxa"/>
          </w:tcPr>
          <w:p w14:paraId="37DB79EB" w14:textId="77777777" w:rsidR="00195FD0" w:rsidRPr="009E5B39" w:rsidRDefault="00195FD0" w:rsidP="00D32382">
            <w:pPr>
              <w:spacing w:after="0" w:line="240" w:lineRule="auto"/>
              <w:jc w:val="both"/>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Suprafața</w:t>
            </w:r>
          </w:p>
        </w:tc>
        <w:tc>
          <w:tcPr>
            <w:tcW w:w="869" w:type="dxa"/>
            <w:shd w:val="clear" w:color="auto" w:fill="auto"/>
            <w:vAlign w:val="center"/>
            <w:hideMark/>
          </w:tcPr>
          <w:p w14:paraId="79E0F81F" w14:textId="77777777" w:rsidR="00195FD0" w:rsidRPr="009E5B39" w:rsidRDefault="00195FD0" w:rsidP="00D32382">
            <w:pPr>
              <w:spacing w:after="0" w:line="240" w:lineRule="auto"/>
              <w:jc w:val="both"/>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Sold</w:t>
            </w:r>
          </w:p>
        </w:tc>
        <w:tc>
          <w:tcPr>
            <w:tcW w:w="1587" w:type="dxa"/>
            <w:gridSpan w:val="2"/>
            <w:shd w:val="clear" w:color="auto" w:fill="auto"/>
            <w:vAlign w:val="center"/>
            <w:hideMark/>
          </w:tcPr>
          <w:p w14:paraId="469BAF9A" w14:textId="77777777" w:rsidR="00195FD0" w:rsidRPr="009E5B39" w:rsidRDefault="00195FD0" w:rsidP="00D32382">
            <w:pPr>
              <w:spacing w:after="0" w:line="240" w:lineRule="auto"/>
              <w:jc w:val="both"/>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Sold inițial descifrat</w:t>
            </w:r>
          </w:p>
        </w:tc>
        <w:tc>
          <w:tcPr>
            <w:tcW w:w="836" w:type="dxa"/>
            <w:shd w:val="clear" w:color="auto" w:fill="auto"/>
            <w:vAlign w:val="center"/>
            <w:hideMark/>
          </w:tcPr>
          <w:p w14:paraId="5DAC87FA" w14:textId="77777777" w:rsidR="00195FD0" w:rsidRPr="009E5B39" w:rsidRDefault="00195FD0" w:rsidP="00D32382">
            <w:pPr>
              <w:spacing w:after="0" w:line="240" w:lineRule="auto"/>
              <w:jc w:val="both"/>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Calculat</w:t>
            </w:r>
          </w:p>
        </w:tc>
        <w:tc>
          <w:tcPr>
            <w:tcW w:w="883" w:type="dxa"/>
            <w:shd w:val="clear" w:color="auto" w:fill="auto"/>
            <w:vAlign w:val="center"/>
            <w:hideMark/>
          </w:tcPr>
          <w:p w14:paraId="3EE96447" w14:textId="77777777" w:rsidR="00195FD0" w:rsidRPr="009E5B39" w:rsidRDefault="00195FD0" w:rsidP="00D32382">
            <w:pPr>
              <w:spacing w:after="0" w:line="240" w:lineRule="auto"/>
              <w:jc w:val="both"/>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Achitat</w:t>
            </w:r>
          </w:p>
        </w:tc>
        <w:tc>
          <w:tcPr>
            <w:tcW w:w="844" w:type="dxa"/>
            <w:shd w:val="clear" w:color="auto" w:fill="auto"/>
            <w:vAlign w:val="center"/>
            <w:hideMark/>
          </w:tcPr>
          <w:p w14:paraId="1AB8C532" w14:textId="77777777" w:rsidR="00195FD0" w:rsidRPr="009E5B39" w:rsidRDefault="00195FD0" w:rsidP="00D32382">
            <w:pPr>
              <w:spacing w:after="0" w:line="240" w:lineRule="auto"/>
              <w:jc w:val="both"/>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Sold</w:t>
            </w:r>
          </w:p>
        </w:tc>
        <w:tc>
          <w:tcPr>
            <w:tcW w:w="1717" w:type="dxa"/>
            <w:gridSpan w:val="2"/>
            <w:shd w:val="clear" w:color="auto" w:fill="auto"/>
            <w:vAlign w:val="center"/>
            <w:hideMark/>
          </w:tcPr>
          <w:p w14:paraId="3D71DAFE" w14:textId="77777777" w:rsidR="00195FD0" w:rsidRPr="009E5B39" w:rsidRDefault="00195FD0" w:rsidP="00D32382">
            <w:pPr>
              <w:spacing w:after="0" w:line="240" w:lineRule="auto"/>
              <w:jc w:val="both"/>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Sold final descifrat</w:t>
            </w:r>
          </w:p>
        </w:tc>
      </w:tr>
      <w:tr w:rsidR="00195FD0" w:rsidRPr="009E5B39" w14:paraId="5130AFA6" w14:textId="77777777" w:rsidTr="0026150B">
        <w:trPr>
          <w:trHeight w:val="20"/>
        </w:trPr>
        <w:tc>
          <w:tcPr>
            <w:tcW w:w="714" w:type="dxa"/>
            <w:shd w:val="clear" w:color="auto" w:fill="auto"/>
            <w:vAlign w:val="center"/>
            <w:hideMark/>
          </w:tcPr>
          <w:p w14:paraId="7C99E21A" w14:textId="77777777" w:rsidR="00195FD0" w:rsidRPr="009E5B39" w:rsidRDefault="00195FD0" w:rsidP="00D32382">
            <w:pPr>
              <w:spacing w:after="0" w:line="240" w:lineRule="auto"/>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0" w:type="dxa"/>
          </w:tcPr>
          <w:p w14:paraId="3683FAB4" w14:textId="77777777" w:rsidR="00195FD0" w:rsidRPr="009E5B39" w:rsidRDefault="00195FD0" w:rsidP="00D32382">
            <w:pPr>
              <w:spacing w:after="0" w:line="240" w:lineRule="auto"/>
              <w:jc w:val="both"/>
              <w:rPr>
                <w:rFonts w:asciiTheme="majorHAnsi" w:eastAsia="Times New Roman" w:hAnsiTheme="majorHAnsi" w:cstheme="majorHAnsi"/>
                <w:sz w:val="16"/>
                <w:szCs w:val="16"/>
                <w:lang w:val="ro-MD"/>
              </w:rPr>
            </w:pPr>
          </w:p>
        </w:tc>
        <w:tc>
          <w:tcPr>
            <w:tcW w:w="851" w:type="dxa"/>
          </w:tcPr>
          <w:p w14:paraId="00359D97" w14:textId="77777777" w:rsidR="00195FD0" w:rsidRPr="009E5B39" w:rsidRDefault="00195FD0" w:rsidP="00D32382">
            <w:pPr>
              <w:spacing w:after="0" w:line="240" w:lineRule="auto"/>
              <w:jc w:val="both"/>
              <w:rPr>
                <w:rFonts w:asciiTheme="majorHAnsi" w:eastAsia="Times New Roman" w:hAnsiTheme="majorHAnsi" w:cstheme="majorHAnsi"/>
                <w:sz w:val="16"/>
                <w:szCs w:val="16"/>
                <w:lang w:val="ro-MD"/>
              </w:rPr>
            </w:pPr>
          </w:p>
        </w:tc>
        <w:tc>
          <w:tcPr>
            <w:tcW w:w="869" w:type="dxa"/>
            <w:shd w:val="clear" w:color="auto" w:fill="auto"/>
            <w:vAlign w:val="center"/>
            <w:hideMark/>
          </w:tcPr>
          <w:p w14:paraId="23EB674C" w14:textId="77777777" w:rsidR="00195FD0" w:rsidRPr="009E5B39" w:rsidRDefault="00195FD0" w:rsidP="00D32382">
            <w:pPr>
              <w:spacing w:after="0" w:line="240" w:lineRule="auto"/>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844" w:type="dxa"/>
            <w:shd w:val="clear" w:color="auto" w:fill="auto"/>
            <w:vAlign w:val="center"/>
            <w:hideMark/>
          </w:tcPr>
          <w:p w14:paraId="18E6A65B" w14:textId="77777777" w:rsidR="00195FD0" w:rsidRPr="009E5B39" w:rsidRDefault="00195FD0" w:rsidP="00D32382">
            <w:pPr>
              <w:spacing w:after="0" w:line="240" w:lineRule="auto"/>
              <w:jc w:val="both"/>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dt</w:t>
            </w:r>
          </w:p>
        </w:tc>
        <w:tc>
          <w:tcPr>
            <w:tcW w:w="743" w:type="dxa"/>
            <w:shd w:val="clear" w:color="auto" w:fill="auto"/>
            <w:vAlign w:val="center"/>
            <w:hideMark/>
          </w:tcPr>
          <w:p w14:paraId="6388A774" w14:textId="77777777" w:rsidR="00195FD0" w:rsidRPr="009E5B39" w:rsidRDefault="00195FD0" w:rsidP="00D32382">
            <w:pPr>
              <w:spacing w:after="0" w:line="240" w:lineRule="auto"/>
              <w:jc w:val="both"/>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ct</w:t>
            </w:r>
          </w:p>
        </w:tc>
        <w:tc>
          <w:tcPr>
            <w:tcW w:w="836" w:type="dxa"/>
            <w:shd w:val="clear" w:color="auto" w:fill="auto"/>
            <w:vAlign w:val="center"/>
            <w:hideMark/>
          </w:tcPr>
          <w:p w14:paraId="0C8D0867" w14:textId="77777777" w:rsidR="00195FD0" w:rsidRPr="009E5B39" w:rsidRDefault="00195FD0" w:rsidP="00D32382">
            <w:pPr>
              <w:spacing w:after="0" w:line="240" w:lineRule="auto"/>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883" w:type="dxa"/>
            <w:shd w:val="clear" w:color="auto" w:fill="auto"/>
            <w:vAlign w:val="center"/>
            <w:hideMark/>
          </w:tcPr>
          <w:p w14:paraId="1988032E" w14:textId="77777777" w:rsidR="00195FD0" w:rsidRPr="009E5B39" w:rsidRDefault="00195FD0" w:rsidP="00D32382">
            <w:pPr>
              <w:spacing w:after="0" w:line="240" w:lineRule="auto"/>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844" w:type="dxa"/>
            <w:shd w:val="clear" w:color="auto" w:fill="auto"/>
            <w:vAlign w:val="center"/>
            <w:hideMark/>
          </w:tcPr>
          <w:p w14:paraId="11EEB230" w14:textId="77777777" w:rsidR="00195FD0" w:rsidRPr="009E5B39" w:rsidRDefault="00195FD0" w:rsidP="00D32382">
            <w:pPr>
              <w:spacing w:after="0" w:line="240" w:lineRule="auto"/>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844" w:type="dxa"/>
            <w:shd w:val="clear" w:color="auto" w:fill="auto"/>
            <w:vAlign w:val="center"/>
            <w:hideMark/>
          </w:tcPr>
          <w:p w14:paraId="0D3690F1" w14:textId="1B3ED395" w:rsidR="00195FD0" w:rsidRPr="009E5B39" w:rsidRDefault="002A0FB9" w:rsidP="00D32382">
            <w:pPr>
              <w:spacing w:after="0" w:line="240" w:lineRule="auto"/>
              <w:jc w:val="both"/>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D</w:t>
            </w:r>
            <w:r w:rsidR="00195FD0" w:rsidRPr="009E5B39">
              <w:rPr>
                <w:rFonts w:asciiTheme="majorHAnsi" w:eastAsia="Times New Roman" w:hAnsiTheme="majorHAnsi" w:cstheme="majorHAnsi"/>
                <w:b/>
                <w:sz w:val="16"/>
                <w:szCs w:val="16"/>
                <w:lang w:val="ro-MD"/>
              </w:rPr>
              <w:t>t</w:t>
            </w:r>
          </w:p>
        </w:tc>
        <w:tc>
          <w:tcPr>
            <w:tcW w:w="873" w:type="dxa"/>
            <w:shd w:val="clear" w:color="auto" w:fill="auto"/>
            <w:vAlign w:val="center"/>
            <w:hideMark/>
          </w:tcPr>
          <w:p w14:paraId="01631531" w14:textId="2F527D17" w:rsidR="00195FD0" w:rsidRPr="009E5B39" w:rsidRDefault="007550CE" w:rsidP="00D32382">
            <w:pPr>
              <w:spacing w:after="0" w:line="240" w:lineRule="auto"/>
              <w:jc w:val="both"/>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C</w:t>
            </w:r>
            <w:r w:rsidR="00195FD0" w:rsidRPr="009E5B39">
              <w:rPr>
                <w:rFonts w:asciiTheme="majorHAnsi" w:eastAsia="Times New Roman" w:hAnsiTheme="majorHAnsi" w:cstheme="majorHAnsi"/>
                <w:b/>
                <w:sz w:val="16"/>
                <w:szCs w:val="16"/>
                <w:lang w:val="ro-MD"/>
              </w:rPr>
              <w:t>t</w:t>
            </w:r>
          </w:p>
        </w:tc>
      </w:tr>
      <w:tr w:rsidR="00195FD0" w:rsidRPr="009E5B39" w14:paraId="5295E42A" w14:textId="77777777" w:rsidTr="0026150B">
        <w:trPr>
          <w:trHeight w:val="20"/>
        </w:trPr>
        <w:tc>
          <w:tcPr>
            <w:tcW w:w="9361" w:type="dxa"/>
            <w:gridSpan w:val="11"/>
          </w:tcPr>
          <w:p w14:paraId="53CF4BA5" w14:textId="4778C8E5" w:rsidR="00195FD0" w:rsidRPr="009E5B39" w:rsidRDefault="00195FD0" w:rsidP="00D32382">
            <w:pPr>
              <w:spacing w:after="0" w:line="240" w:lineRule="auto"/>
              <w:jc w:val="center"/>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Arend</w:t>
            </w:r>
            <w:r w:rsidR="00F4493C" w:rsidRPr="009E5B39">
              <w:rPr>
                <w:rFonts w:asciiTheme="majorHAnsi" w:eastAsia="Times New Roman" w:hAnsiTheme="majorHAnsi" w:cstheme="majorHAnsi"/>
                <w:b/>
                <w:sz w:val="16"/>
                <w:szCs w:val="16"/>
                <w:lang w:val="ro-MD"/>
              </w:rPr>
              <w:t>ă</w:t>
            </w:r>
          </w:p>
        </w:tc>
      </w:tr>
      <w:tr w:rsidR="00195FD0" w:rsidRPr="009E5B39" w14:paraId="049CD5B0" w14:textId="77777777" w:rsidTr="0026150B">
        <w:trPr>
          <w:trHeight w:val="20"/>
        </w:trPr>
        <w:tc>
          <w:tcPr>
            <w:tcW w:w="714" w:type="dxa"/>
            <w:shd w:val="clear" w:color="auto" w:fill="auto"/>
            <w:vAlign w:val="center"/>
            <w:hideMark/>
          </w:tcPr>
          <w:p w14:paraId="5B5EF653" w14:textId="77777777" w:rsidR="00195FD0" w:rsidRPr="009E5B39" w:rsidRDefault="00195FD0" w:rsidP="00D32382">
            <w:pPr>
              <w:spacing w:after="0" w:line="240" w:lineRule="auto"/>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1060" w:type="dxa"/>
          </w:tcPr>
          <w:p w14:paraId="651CAA89"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1935</w:t>
            </w:r>
          </w:p>
        </w:tc>
        <w:tc>
          <w:tcPr>
            <w:tcW w:w="851" w:type="dxa"/>
          </w:tcPr>
          <w:p w14:paraId="17C7488D"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3579,28</w:t>
            </w:r>
          </w:p>
        </w:tc>
        <w:tc>
          <w:tcPr>
            <w:tcW w:w="869" w:type="dxa"/>
            <w:shd w:val="clear" w:color="auto" w:fill="auto"/>
            <w:vAlign w:val="center"/>
            <w:hideMark/>
          </w:tcPr>
          <w:p w14:paraId="53370996"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22489,15</w:t>
            </w:r>
          </w:p>
        </w:tc>
        <w:tc>
          <w:tcPr>
            <w:tcW w:w="844" w:type="dxa"/>
            <w:shd w:val="clear" w:color="auto" w:fill="auto"/>
            <w:vAlign w:val="center"/>
            <w:hideMark/>
          </w:tcPr>
          <w:p w14:paraId="01779A76"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25281,39</w:t>
            </w:r>
          </w:p>
        </w:tc>
        <w:tc>
          <w:tcPr>
            <w:tcW w:w="743" w:type="dxa"/>
            <w:shd w:val="clear" w:color="auto" w:fill="auto"/>
            <w:vAlign w:val="center"/>
            <w:hideMark/>
          </w:tcPr>
          <w:p w14:paraId="646D419C"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2792,24</w:t>
            </w:r>
          </w:p>
        </w:tc>
        <w:tc>
          <w:tcPr>
            <w:tcW w:w="836" w:type="dxa"/>
            <w:shd w:val="clear" w:color="auto" w:fill="auto"/>
            <w:vAlign w:val="center"/>
            <w:hideMark/>
          </w:tcPr>
          <w:p w14:paraId="4E7AE5F9"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21507,67</w:t>
            </w:r>
          </w:p>
        </w:tc>
        <w:tc>
          <w:tcPr>
            <w:tcW w:w="883" w:type="dxa"/>
            <w:shd w:val="clear" w:color="auto" w:fill="auto"/>
            <w:vAlign w:val="center"/>
            <w:hideMark/>
          </w:tcPr>
          <w:p w14:paraId="5BD560C4"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19905,90</w:t>
            </w:r>
          </w:p>
        </w:tc>
        <w:tc>
          <w:tcPr>
            <w:tcW w:w="844" w:type="dxa"/>
            <w:shd w:val="clear" w:color="auto" w:fill="auto"/>
            <w:vAlign w:val="center"/>
            <w:hideMark/>
          </w:tcPr>
          <w:p w14:paraId="23EE1AD8"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24090,91</w:t>
            </w:r>
          </w:p>
        </w:tc>
        <w:tc>
          <w:tcPr>
            <w:tcW w:w="844" w:type="dxa"/>
            <w:shd w:val="clear" w:color="auto" w:fill="auto"/>
            <w:vAlign w:val="center"/>
            <w:hideMark/>
          </w:tcPr>
          <w:p w14:paraId="00888991"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26663,11</w:t>
            </w:r>
          </w:p>
        </w:tc>
        <w:tc>
          <w:tcPr>
            <w:tcW w:w="873" w:type="dxa"/>
            <w:shd w:val="clear" w:color="auto" w:fill="auto"/>
            <w:vAlign w:val="center"/>
            <w:hideMark/>
          </w:tcPr>
          <w:p w14:paraId="111242E4"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2572,20</w:t>
            </w:r>
          </w:p>
        </w:tc>
      </w:tr>
      <w:tr w:rsidR="00195FD0" w:rsidRPr="009E5B39" w14:paraId="5D049032" w14:textId="77777777" w:rsidTr="0026150B">
        <w:trPr>
          <w:trHeight w:val="20"/>
        </w:trPr>
        <w:tc>
          <w:tcPr>
            <w:tcW w:w="714" w:type="dxa"/>
            <w:shd w:val="clear" w:color="auto" w:fill="auto"/>
            <w:vAlign w:val="center"/>
            <w:hideMark/>
          </w:tcPr>
          <w:p w14:paraId="0FBE6A0A" w14:textId="77777777" w:rsidR="00195FD0" w:rsidRPr="009E5B39" w:rsidRDefault="00195FD0" w:rsidP="00D32382">
            <w:pPr>
              <w:spacing w:after="0" w:line="240" w:lineRule="auto"/>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1060" w:type="dxa"/>
          </w:tcPr>
          <w:p w14:paraId="16F6BA18"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1963</w:t>
            </w:r>
          </w:p>
        </w:tc>
        <w:tc>
          <w:tcPr>
            <w:tcW w:w="851" w:type="dxa"/>
          </w:tcPr>
          <w:p w14:paraId="124DEC3F"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p>
        </w:tc>
        <w:tc>
          <w:tcPr>
            <w:tcW w:w="869" w:type="dxa"/>
            <w:shd w:val="clear" w:color="auto" w:fill="auto"/>
            <w:vAlign w:val="center"/>
            <w:hideMark/>
          </w:tcPr>
          <w:p w14:paraId="526CED96"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24213,41</w:t>
            </w:r>
          </w:p>
        </w:tc>
        <w:tc>
          <w:tcPr>
            <w:tcW w:w="844" w:type="dxa"/>
            <w:shd w:val="clear" w:color="auto" w:fill="auto"/>
            <w:vAlign w:val="center"/>
            <w:hideMark/>
          </w:tcPr>
          <w:p w14:paraId="37E37AA2"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27569,31</w:t>
            </w:r>
          </w:p>
        </w:tc>
        <w:tc>
          <w:tcPr>
            <w:tcW w:w="743" w:type="dxa"/>
            <w:shd w:val="clear" w:color="auto" w:fill="auto"/>
            <w:vAlign w:val="center"/>
            <w:hideMark/>
          </w:tcPr>
          <w:p w14:paraId="2CE460A2"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3355,90</w:t>
            </w:r>
          </w:p>
        </w:tc>
        <w:tc>
          <w:tcPr>
            <w:tcW w:w="836" w:type="dxa"/>
            <w:shd w:val="clear" w:color="auto" w:fill="auto"/>
            <w:vAlign w:val="center"/>
            <w:hideMark/>
          </w:tcPr>
          <w:p w14:paraId="505C0124"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19472,92</w:t>
            </w:r>
          </w:p>
        </w:tc>
        <w:tc>
          <w:tcPr>
            <w:tcW w:w="883" w:type="dxa"/>
            <w:shd w:val="clear" w:color="auto" w:fill="auto"/>
            <w:vAlign w:val="center"/>
            <w:hideMark/>
          </w:tcPr>
          <w:p w14:paraId="74A49732"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19781,85</w:t>
            </w:r>
          </w:p>
        </w:tc>
        <w:tc>
          <w:tcPr>
            <w:tcW w:w="844" w:type="dxa"/>
            <w:shd w:val="clear" w:color="auto" w:fill="auto"/>
            <w:vAlign w:val="center"/>
            <w:hideMark/>
          </w:tcPr>
          <w:p w14:paraId="69494030"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23904,48</w:t>
            </w:r>
          </w:p>
        </w:tc>
        <w:tc>
          <w:tcPr>
            <w:tcW w:w="844" w:type="dxa"/>
            <w:shd w:val="clear" w:color="auto" w:fill="auto"/>
            <w:vAlign w:val="center"/>
            <w:hideMark/>
          </w:tcPr>
          <w:p w14:paraId="3A306859"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27234,80</w:t>
            </w:r>
          </w:p>
        </w:tc>
        <w:tc>
          <w:tcPr>
            <w:tcW w:w="873" w:type="dxa"/>
            <w:shd w:val="clear" w:color="auto" w:fill="auto"/>
            <w:vAlign w:val="center"/>
            <w:hideMark/>
          </w:tcPr>
          <w:p w14:paraId="6E200249"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3330,32</w:t>
            </w:r>
          </w:p>
        </w:tc>
      </w:tr>
      <w:tr w:rsidR="00195FD0" w:rsidRPr="009E5B39" w14:paraId="7FA907E2" w14:textId="77777777" w:rsidTr="0026150B">
        <w:trPr>
          <w:trHeight w:val="20"/>
        </w:trPr>
        <w:tc>
          <w:tcPr>
            <w:tcW w:w="714" w:type="dxa"/>
            <w:shd w:val="clear" w:color="auto" w:fill="auto"/>
            <w:vAlign w:val="center"/>
            <w:hideMark/>
          </w:tcPr>
          <w:p w14:paraId="131CBABD" w14:textId="77777777" w:rsidR="00195FD0" w:rsidRPr="009E5B39" w:rsidRDefault="00195FD0" w:rsidP="00D32382">
            <w:pPr>
              <w:spacing w:after="0" w:line="240" w:lineRule="auto"/>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1060" w:type="dxa"/>
          </w:tcPr>
          <w:p w14:paraId="50349FB4"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1975</w:t>
            </w:r>
          </w:p>
        </w:tc>
        <w:tc>
          <w:tcPr>
            <w:tcW w:w="851" w:type="dxa"/>
          </w:tcPr>
          <w:p w14:paraId="0DDF9B54"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p>
        </w:tc>
        <w:tc>
          <w:tcPr>
            <w:tcW w:w="869" w:type="dxa"/>
            <w:shd w:val="clear" w:color="auto" w:fill="auto"/>
            <w:vAlign w:val="center"/>
            <w:hideMark/>
          </w:tcPr>
          <w:p w14:paraId="56569E4F"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23904,48</w:t>
            </w:r>
          </w:p>
        </w:tc>
        <w:tc>
          <w:tcPr>
            <w:tcW w:w="844" w:type="dxa"/>
            <w:shd w:val="clear" w:color="auto" w:fill="auto"/>
            <w:vAlign w:val="center"/>
            <w:hideMark/>
          </w:tcPr>
          <w:p w14:paraId="540430C3"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27610,80</w:t>
            </w:r>
          </w:p>
        </w:tc>
        <w:tc>
          <w:tcPr>
            <w:tcW w:w="743" w:type="dxa"/>
            <w:shd w:val="clear" w:color="auto" w:fill="auto"/>
            <w:vAlign w:val="center"/>
            <w:hideMark/>
          </w:tcPr>
          <w:p w14:paraId="3FCF908A"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3706,32</w:t>
            </w:r>
          </w:p>
        </w:tc>
        <w:tc>
          <w:tcPr>
            <w:tcW w:w="836" w:type="dxa"/>
            <w:shd w:val="clear" w:color="auto" w:fill="auto"/>
            <w:vAlign w:val="center"/>
            <w:hideMark/>
          </w:tcPr>
          <w:p w14:paraId="18E8E6F6"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17959,83</w:t>
            </w:r>
          </w:p>
        </w:tc>
        <w:tc>
          <w:tcPr>
            <w:tcW w:w="883" w:type="dxa"/>
            <w:shd w:val="clear" w:color="auto" w:fill="auto"/>
            <w:vAlign w:val="center"/>
            <w:hideMark/>
          </w:tcPr>
          <w:p w14:paraId="39F12344"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18356,42</w:t>
            </w:r>
          </w:p>
        </w:tc>
        <w:tc>
          <w:tcPr>
            <w:tcW w:w="844" w:type="dxa"/>
            <w:shd w:val="clear" w:color="auto" w:fill="auto"/>
            <w:vAlign w:val="center"/>
            <w:hideMark/>
          </w:tcPr>
          <w:p w14:paraId="72E2AE82"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23507,89</w:t>
            </w:r>
          </w:p>
        </w:tc>
        <w:tc>
          <w:tcPr>
            <w:tcW w:w="844" w:type="dxa"/>
            <w:shd w:val="clear" w:color="auto" w:fill="auto"/>
            <w:vAlign w:val="center"/>
            <w:hideMark/>
          </w:tcPr>
          <w:p w14:paraId="7D4DA403"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27303,48</w:t>
            </w:r>
          </w:p>
        </w:tc>
        <w:tc>
          <w:tcPr>
            <w:tcW w:w="873" w:type="dxa"/>
            <w:shd w:val="clear" w:color="auto" w:fill="auto"/>
            <w:vAlign w:val="center"/>
            <w:hideMark/>
          </w:tcPr>
          <w:p w14:paraId="269A11C9"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3795,59</w:t>
            </w:r>
          </w:p>
        </w:tc>
      </w:tr>
      <w:tr w:rsidR="00195FD0" w:rsidRPr="009E5B39" w14:paraId="7DD21718" w14:textId="77777777" w:rsidTr="0026150B">
        <w:trPr>
          <w:trHeight w:val="20"/>
        </w:trPr>
        <w:tc>
          <w:tcPr>
            <w:tcW w:w="714" w:type="dxa"/>
            <w:shd w:val="clear" w:color="auto" w:fill="auto"/>
            <w:vAlign w:val="center"/>
            <w:hideMark/>
          </w:tcPr>
          <w:p w14:paraId="12A06E54" w14:textId="77777777" w:rsidR="00195FD0" w:rsidRPr="009E5B39" w:rsidRDefault="00195FD0" w:rsidP="00D32382">
            <w:pPr>
              <w:spacing w:after="0" w:line="240" w:lineRule="auto"/>
              <w:jc w:val="both"/>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Total</w:t>
            </w:r>
          </w:p>
        </w:tc>
        <w:tc>
          <w:tcPr>
            <w:tcW w:w="1060" w:type="dxa"/>
          </w:tcPr>
          <w:p w14:paraId="2FB53E7E"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p>
        </w:tc>
        <w:tc>
          <w:tcPr>
            <w:tcW w:w="851" w:type="dxa"/>
          </w:tcPr>
          <w:p w14:paraId="572B4788"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p>
        </w:tc>
        <w:tc>
          <w:tcPr>
            <w:tcW w:w="869" w:type="dxa"/>
            <w:shd w:val="clear" w:color="auto" w:fill="auto"/>
            <w:vAlign w:val="center"/>
            <w:hideMark/>
          </w:tcPr>
          <w:p w14:paraId="32640B7E"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 </w:t>
            </w:r>
          </w:p>
        </w:tc>
        <w:tc>
          <w:tcPr>
            <w:tcW w:w="844" w:type="dxa"/>
            <w:shd w:val="clear" w:color="auto" w:fill="auto"/>
            <w:vAlign w:val="center"/>
            <w:hideMark/>
          </w:tcPr>
          <w:p w14:paraId="4319A782"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 </w:t>
            </w:r>
          </w:p>
        </w:tc>
        <w:tc>
          <w:tcPr>
            <w:tcW w:w="743" w:type="dxa"/>
            <w:shd w:val="clear" w:color="auto" w:fill="auto"/>
            <w:vAlign w:val="center"/>
            <w:hideMark/>
          </w:tcPr>
          <w:p w14:paraId="4A3BEBAF"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 </w:t>
            </w:r>
          </w:p>
        </w:tc>
        <w:tc>
          <w:tcPr>
            <w:tcW w:w="836" w:type="dxa"/>
            <w:shd w:val="clear" w:color="auto" w:fill="auto"/>
            <w:vAlign w:val="center"/>
            <w:hideMark/>
          </w:tcPr>
          <w:p w14:paraId="77CD8105"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58940,42</w:t>
            </w:r>
          </w:p>
        </w:tc>
        <w:tc>
          <w:tcPr>
            <w:tcW w:w="883" w:type="dxa"/>
            <w:shd w:val="clear" w:color="auto" w:fill="auto"/>
            <w:vAlign w:val="center"/>
            <w:hideMark/>
          </w:tcPr>
          <w:p w14:paraId="21DBA4F7"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58044,17</w:t>
            </w:r>
          </w:p>
        </w:tc>
        <w:tc>
          <w:tcPr>
            <w:tcW w:w="844" w:type="dxa"/>
            <w:shd w:val="clear" w:color="auto" w:fill="auto"/>
            <w:vAlign w:val="center"/>
            <w:hideMark/>
          </w:tcPr>
          <w:p w14:paraId="02544CDC"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 </w:t>
            </w:r>
          </w:p>
        </w:tc>
        <w:tc>
          <w:tcPr>
            <w:tcW w:w="844" w:type="dxa"/>
            <w:shd w:val="clear" w:color="auto" w:fill="auto"/>
            <w:vAlign w:val="center"/>
            <w:hideMark/>
          </w:tcPr>
          <w:p w14:paraId="77153F14"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 </w:t>
            </w:r>
          </w:p>
        </w:tc>
        <w:tc>
          <w:tcPr>
            <w:tcW w:w="873" w:type="dxa"/>
            <w:shd w:val="clear" w:color="auto" w:fill="auto"/>
            <w:vAlign w:val="center"/>
            <w:hideMark/>
          </w:tcPr>
          <w:p w14:paraId="0521D417"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 </w:t>
            </w:r>
          </w:p>
        </w:tc>
      </w:tr>
      <w:tr w:rsidR="00195FD0" w:rsidRPr="009E5B39" w14:paraId="76E13D71" w14:textId="77777777" w:rsidTr="0026150B">
        <w:trPr>
          <w:trHeight w:val="20"/>
        </w:trPr>
        <w:tc>
          <w:tcPr>
            <w:tcW w:w="9361" w:type="dxa"/>
            <w:gridSpan w:val="11"/>
          </w:tcPr>
          <w:p w14:paraId="7FCD0261" w14:textId="77777777" w:rsidR="00195FD0" w:rsidRPr="009E5B39" w:rsidRDefault="00195FD0" w:rsidP="00D32382">
            <w:pPr>
              <w:spacing w:after="0" w:line="240" w:lineRule="auto"/>
              <w:jc w:val="center"/>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Folosință</w:t>
            </w:r>
          </w:p>
        </w:tc>
      </w:tr>
      <w:tr w:rsidR="00195FD0" w:rsidRPr="009E5B39" w14:paraId="4DF79F7D" w14:textId="77777777" w:rsidTr="0026150B">
        <w:trPr>
          <w:trHeight w:val="20"/>
        </w:trPr>
        <w:tc>
          <w:tcPr>
            <w:tcW w:w="714" w:type="dxa"/>
            <w:shd w:val="clear" w:color="auto" w:fill="auto"/>
            <w:vAlign w:val="center"/>
            <w:hideMark/>
          </w:tcPr>
          <w:p w14:paraId="39FF2225" w14:textId="77777777" w:rsidR="00195FD0" w:rsidRPr="009E5B39" w:rsidRDefault="00195FD0" w:rsidP="00D32382">
            <w:pPr>
              <w:spacing w:after="0" w:line="240" w:lineRule="auto"/>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1060" w:type="dxa"/>
          </w:tcPr>
          <w:p w14:paraId="0BCDB64B"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326</w:t>
            </w:r>
          </w:p>
        </w:tc>
        <w:tc>
          <w:tcPr>
            <w:tcW w:w="851" w:type="dxa"/>
          </w:tcPr>
          <w:p w14:paraId="6DD70E58"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279,36</w:t>
            </w:r>
          </w:p>
        </w:tc>
        <w:tc>
          <w:tcPr>
            <w:tcW w:w="869" w:type="dxa"/>
            <w:shd w:val="clear" w:color="auto" w:fill="auto"/>
            <w:vAlign w:val="center"/>
            <w:hideMark/>
          </w:tcPr>
          <w:p w14:paraId="6E4E4186"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34293,85</w:t>
            </w:r>
          </w:p>
        </w:tc>
        <w:tc>
          <w:tcPr>
            <w:tcW w:w="844" w:type="dxa"/>
            <w:shd w:val="clear" w:color="auto" w:fill="auto"/>
            <w:vAlign w:val="center"/>
            <w:hideMark/>
          </w:tcPr>
          <w:p w14:paraId="4B349FC0"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35223,59</w:t>
            </w:r>
          </w:p>
        </w:tc>
        <w:tc>
          <w:tcPr>
            <w:tcW w:w="743" w:type="dxa"/>
            <w:shd w:val="clear" w:color="auto" w:fill="auto"/>
            <w:vAlign w:val="center"/>
            <w:hideMark/>
          </w:tcPr>
          <w:p w14:paraId="3CE15C25"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929,74</w:t>
            </w:r>
          </w:p>
        </w:tc>
        <w:tc>
          <w:tcPr>
            <w:tcW w:w="836" w:type="dxa"/>
            <w:shd w:val="clear" w:color="auto" w:fill="auto"/>
            <w:vAlign w:val="center"/>
            <w:hideMark/>
          </w:tcPr>
          <w:p w14:paraId="2C98D7A7"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6187,40</w:t>
            </w:r>
          </w:p>
        </w:tc>
        <w:tc>
          <w:tcPr>
            <w:tcW w:w="883" w:type="dxa"/>
            <w:shd w:val="clear" w:color="auto" w:fill="auto"/>
            <w:vAlign w:val="center"/>
            <w:hideMark/>
          </w:tcPr>
          <w:p w14:paraId="7E95DDD5"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2579,42</w:t>
            </w:r>
          </w:p>
        </w:tc>
        <w:tc>
          <w:tcPr>
            <w:tcW w:w="844" w:type="dxa"/>
            <w:shd w:val="clear" w:color="auto" w:fill="auto"/>
            <w:vAlign w:val="center"/>
            <w:hideMark/>
          </w:tcPr>
          <w:p w14:paraId="566C2F1C"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37901,83</w:t>
            </w:r>
          </w:p>
        </w:tc>
        <w:tc>
          <w:tcPr>
            <w:tcW w:w="844" w:type="dxa"/>
            <w:shd w:val="clear" w:color="auto" w:fill="auto"/>
            <w:vAlign w:val="center"/>
            <w:hideMark/>
          </w:tcPr>
          <w:p w14:paraId="0F583365"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38886,41</w:t>
            </w:r>
          </w:p>
        </w:tc>
        <w:tc>
          <w:tcPr>
            <w:tcW w:w="873" w:type="dxa"/>
            <w:shd w:val="clear" w:color="auto" w:fill="auto"/>
            <w:vAlign w:val="center"/>
            <w:hideMark/>
          </w:tcPr>
          <w:p w14:paraId="45B86496"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984,58</w:t>
            </w:r>
          </w:p>
        </w:tc>
      </w:tr>
      <w:tr w:rsidR="00195FD0" w:rsidRPr="009E5B39" w14:paraId="04923A24" w14:textId="77777777" w:rsidTr="0026150B">
        <w:trPr>
          <w:trHeight w:val="20"/>
        </w:trPr>
        <w:tc>
          <w:tcPr>
            <w:tcW w:w="714" w:type="dxa"/>
            <w:shd w:val="clear" w:color="auto" w:fill="auto"/>
            <w:vAlign w:val="center"/>
            <w:hideMark/>
          </w:tcPr>
          <w:p w14:paraId="2FAE65D0" w14:textId="77777777" w:rsidR="00195FD0" w:rsidRPr="009E5B39" w:rsidRDefault="00195FD0" w:rsidP="00D32382">
            <w:pPr>
              <w:spacing w:after="0" w:line="240" w:lineRule="auto"/>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1060" w:type="dxa"/>
          </w:tcPr>
          <w:p w14:paraId="5084A983"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291</w:t>
            </w:r>
          </w:p>
        </w:tc>
        <w:tc>
          <w:tcPr>
            <w:tcW w:w="851" w:type="dxa"/>
          </w:tcPr>
          <w:p w14:paraId="0C67F556"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291,59</w:t>
            </w:r>
          </w:p>
        </w:tc>
        <w:tc>
          <w:tcPr>
            <w:tcW w:w="869" w:type="dxa"/>
            <w:shd w:val="clear" w:color="auto" w:fill="auto"/>
            <w:vAlign w:val="center"/>
            <w:hideMark/>
          </w:tcPr>
          <w:p w14:paraId="0B3BA98E"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37901,83</w:t>
            </w:r>
          </w:p>
        </w:tc>
        <w:tc>
          <w:tcPr>
            <w:tcW w:w="844" w:type="dxa"/>
            <w:shd w:val="clear" w:color="auto" w:fill="auto"/>
            <w:vAlign w:val="center"/>
            <w:hideMark/>
          </w:tcPr>
          <w:p w14:paraId="0AE460BD"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38886,58</w:t>
            </w:r>
          </w:p>
        </w:tc>
        <w:tc>
          <w:tcPr>
            <w:tcW w:w="743" w:type="dxa"/>
            <w:shd w:val="clear" w:color="auto" w:fill="auto"/>
            <w:vAlign w:val="center"/>
            <w:hideMark/>
          </w:tcPr>
          <w:p w14:paraId="765FF651"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984,75</w:t>
            </w:r>
          </w:p>
        </w:tc>
        <w:tc>
          <w:tcPr>
            <w:tcW w:w="836" w:type="dxa"/>
            <w:shd w:val="clear" w:color="auto" w:fill="auto"/>
            <w:vAlign w:val="center"/>
            <w:hideMark/>
          </w:tcPr>
          <w:p w14:paraId="5A798273"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5276,49</w:t>
            </w:r>
          </w:p>
        </w:tc>
        <w:tc>
          <w:tcPr>
            <w:tcW w:w="883" w:type="dxa"/>
            <w:shd w:val="clear" w:color="auto" w:fill="auto"/>
            <w:vAlign w:val="center"/>
            <w:hideMark/>
          </w:tcPr>
          <w:p w14:paraId="028E6DE4"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2185,97</w:t>
            </w:r>
          </w:p>
        </w:tc>
        <w:tc>
          <w:tcPr>
            <w:tcW w:w="844" w:type="dxa"/>
            <w:shd w:val="clear" w:color="auto" w:fill="auto"/>
            <w:vAlign w:val="center"/>
            <w:hideMark/>
          </w:tcPr>
          <w:p w14:paraId="2D1A7DD3"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40992,36</w:t>
            </w:r>
          </w:p>
        </w:tc>
        <w:tc>
          <w:tcPr>
            <w:tcW w:w="844" w:type="dxa"/>
            <w:shd w:val="clear" w:color="auto" w:fill="auto"/>
            <w:vAlign w:val="center"/>
            <w:hideMark/>
          </w:tcPr>
          <w:p w14:paraId="6C59D1C2"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42120,00</w:t>
            </w:r>
          </w:p>
        </w:tc>
        <w:tc>
          <w:tcPr>
            <w:tcW w:w="873" w:type="dxa"/>
            <w:shd w:val="clear" w:color="auto" w:fill="auto"/>
            <w:vAlign w:val="center"/>
            <w:hideMark/>
          </w:tcPr>
          <w:p w14:paraId="4CD0E29B"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1127,64</w:t>
            </w:r>
          </w:p>
        </w:tc>
      </w:tr>
      <w:tr w:rsidR="00195FD0" w:rsidRPr="009E5B39" w14:paraId="6ED41022" w14:textId="77777777" w:rsidTr="0026150B">
        <w:trPr>
          <w:trHeight w:val="20"/>
        </w:trPr>
        <w:tc>
          <w:tcPr>
            <w:tcW w:w="714" w:type="dxa"/>
            <w:shd w:val="clear" w:color="auto" w:fill="auto"/>
            <w:vAlign w:val="center"/>
            <w:hideMark/>
          </w:tcPr>
          <w:p w14:paraId="78CD24C8" w14:textId="77777777" w:rsidR="00195FD0" w:rsidRPr="009E5B39" w:rsidRDefault="00195FD0" w:rsidP="00D32382">
            <w:pPr>
              <w:spacing w:after="0" w:line="240" w:lineRule="auto"/>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1060" w:type="dxa"/>
          </w:tcPr>
          <w:p w14:paraId="71090537"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629</w:t>
            </w:r>
          </w:p>
        </w:tc>
        <w:tc>
          <w:tcPr>
            <w:tcW w:w="851" w:type="dxa"/>
          </w:tcPr>
          <w:p w14:paraId="0219F2DD"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508,23</w:t>
            </w:r>
          </w:p>
        </w:tc>
        <w:tc>
          <w:tcPr>
            <w:tcW w:w="869" w:type="dxa"/>
            <w:shd w:val="clear" w:color="auto" w:fill="auto"/>
            <w:vAlign w:val="center"/>
            <w:hideMark/>
          </w:tcPr>
          <w:p w14:paraId="3886C0B5"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40992,36</w:t>
            </w:r>
          </w:p>
        </w:tc>
        <w:tc>
          <w:tcPr>
            <w:tcW w:w="844" w:type="dxa"/>
            <w:shd w:val="clear" w:color="auto" w:fill="auto"/>
            <w:vAlign w:val="center"/>
            <w:hideMark/>
          </w:tcPr>
          <w:p w14:paraId="249BB0FB"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42120,00</w:t>
            </w:r>
          </w:p>
        </w:tc>
        <w:tc>
          <w:tcPr>
            <w:tcW w:w="743" w:type="dxa"/>
            <w:shd w:val="clear" w:color="auto" w:fill="auto"/>
            <w:vAlign w:val="center"/>
            <w:hideMark/>
          </w:tcPr>
          <w:p w14:paraId="03E153C5"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1127,64</w:t>
            </w:r>
          </w:p>
        </w:tc>
        <w:tc>
          <w:tcPr>
            <w:tcW w:w="836" w:type="dxa"/>
            <w:shd w:val="clear" w:color="auto" w:fill="auto"/>
            <w:vAlign w:val="center"/>
            <w:hideMark/>
          </w:tcPr>
          <w:p w14:paraId="76576416"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7996,82</w:t>
            </w:r>
          </w:p>
        </w:tc>
        <w:tc>
          <w:tcPr>
            <w:tcW w:w="883" w:type="dxa"/>
            <w:shd w:val="clear" w:color="auto" w:fill="auto"/>
            <w:vAlign w:val="center"/>
            <w:hideMark/>
          </w:tcPr>
          <w:p w14:paraId="11A790B0"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3187,49</w:t>
            </w:r>
          </w:p>
        </w:tc>
        <w:tc>
          <w:tcPr>
            <w:tcW w:w="844" w:type="dxa"/>
            <w:shd w:val="clear" w:color="auto" w:fill="auto"/>
            <w:vAlign w:val="center"/>
            <w:hideMark/>
          </w:tcPr>
          <w:p w14:paraId="64666A9B"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45801,68</w:t>
            </w:r>
          </w:p>
        </w:tc>
        <w:tc>
          <w:tcPr>
            <w:tcW w:w="844" w:type="dxa"/>
            <w:shd w:val="clear" w:color="auto" w:fill="auto"/>
            <w:vAlign w:val="center"/>
            <w:hideMark/>
          </w:tcPr>
          <w:p w14:paraId="48149EC4"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46882,59</w:t>
            </w:r>
          </w:p>
        </w:tc>
        <w:tc>
          <w:tcPr>
            <w:tcW w:w="873" w:type="dxa"/>
            <w:shd w:val="clear" w:color="auto" w:fill="auto"/>
            <w:vAlign w:val="center"/>
            <w:hideMark/>
          </w:tcPr>
          <w:p w14:paraId="5A1B929A" w14:textId="77777777" w:rsidR="00195FD0" w:rsidRPr="009E5B39" w:rsidRDefault="00195FD0" w:rsidP="00D32382">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1080,91</w:t>
            </w:r>
          </w:p>
        </w:tc>
      </w:tr>
      <w:tr w:rsidR="00195FD0" w:rsidRPr="009E5B39" w14:paraId="0B0B8D76" w14:textId="77777777" w:rsidTr="0026150B">
        <w:trPr>
          <w:trHeight w:val="20"/>
        </w:trPr>
        <w:tc>
          <w:tcPr>
            <w:tcW w:w="714" w:type="dxa"/>
            <w:shd w:val="clear" w:color="auto" w:fill="auto"/>
            <w:vAlign w:val="center"/>
            <w:hideMark/>
          </w:tcPr>
          <w:p w14:paraId="587BE1A9" w14:textId="77777777" w:rsidR="00195FD0" w:rsidRPr="009E5B39" w:rsidRDefault="00195FD0" w:rsidP="00D32382">
            <w:pPr>
              <w:spacing w:after="0" w:line="240" w:lineRule="auto"/>
              <w:jc w:val="both"/>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Total</w:t>
            </w:r>
          </w:p>
        </w:tc>
        <w:tc>
          <w:tcPr>
            <w:tcW w:w="1060" w:type="dxa"/>
          </w:tcPr>
          <w:p w14:paraId="238CED3C"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p>
        </w:tc>
        <w:tc>
          <w:tcPr>
            <w:tcW w:w="851" w:type="dxa"/>
          </w:tcPr>
          <w:p w14:paraId="7075CC4B"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p>
        </w:tc>
        <w:tc>
          <w:tcPr>
            <w:tcW w:w="869" w:type="dxa"/>
            <w:shd w:val="clear" w:color="auto" w:fill="auto"/>
            <w:vAlign w:val="center"/>
            <w:hideMark/>
          </w:tcPr>
          <w:p w14:paraId="722B4D9B"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 </w:t>
            </w:r>
          </w:p>
        </w:tc>
        <w:tc>
          <w:tcPr>
            <w:tcW w:w="844" w:type="dxa"/>
            <w:shd w:val="clear" w:color="auto" w:fill="auto"/>
            <w:vAlign w:val="center"/>
            <w:hideMark/>
          </w:tcPr>
          <w:p w14:paraId="024D36F6"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 </w:t>
            </w:r>
          </w:p>
        </w:tc>
        <w:tc>
          <w:tcPr>
            <w:tcW w:w="743" w:type="dxa"/>
            <w:shd w:val="clear" w:color="auto" w:fill="auto"/>
            <w:vAlign w:val="center"/>
            <w:hideMark/>
          </w:tcPr>
          <w:p w14:paraId="67423463"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 </w:t>
            </w:r>
          </w:p>
        </w:tc>
        <w:tc>
          <w:tcPr>
            <w:tcW w:w="836" w:type="dxa"/>
            <w:shd w:val="clear" w:color="auto" w:fill="auto"/>
            <w:vAlign w:val="center"/>
            <w:hideMark/>
          </w:tcPr>
          <w:p w14:paraId="71E09C92"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19460,71</w:t>
            </w:r>
          </w:p>
        </w:tc>
        <w:tc>
          <w:tcPr>
            <w:tcW w:w="883" w:type="dxa"/>
            <w:shd w:val="clear" w:color="auto" w:fill="auto"/>
            <w:vAlign w:val="center"/>
            <w:hideMark/>
          </w:tcPr>
          <w:p w14:paraId="50E37F61"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7952,88</w:t>
            </w:r>
          </w:p>
        </w:tc>
        <w:tc>
          <w:tcPr>
            <w:tcW w:w="844" w:type="dxa"/>
            <w:shd w:val="clear" w:color="auto" w:fill="auto"/>
            <w:vAlign w:val="center"/>
            <w:hideMark/>
          </w:tcPr>
          <w:p w14:paraId="429A8D45"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 </w:t>
            </w:r>
          </w:p>
        </w:tc>
        <w:tc>
          <w:tcPr>
            <w:tcW w:w="844" w:type="dxa"/>
            <w:shd w:val="clear" w:color="auto" w:fill="auto"/>
            <w:vAlign w:val="center"/>
            <w:hideMark/>
          </w:tcPr>
          <w:p w14:paraId="3E2A7286"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 </w:t>
            </w:r>
          </w:p>
        </w:tc>
        <w:tc>
          <w:tcPr>
            <w:tcW w:w="873" w:type="dxa"/>
            <w:shd w:val="clear" w:color="auto" w:fill="auto"/>
            <w:vAlign w:val="center"/>
            <w:hideMark/>
          </w:tcPr>
          <w:p w14:paraId="7D784C14" w14:textId="77777777" w:rsidR="00195FD0" w:rsidRPr="009E5B39" w:rsidRDefault="00195FD0" w:rsidP="00D32382">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 </w:t>
            </w:r>
          </w:p>
        </w:tc>
      </w:tr>
      <w:tr w:rsidR="00195FD0" w:rsidRPr="009E5B39" w14:paraId="2F2F7FC6" w14:textId="77777777" w:rsidTr="0026150B">
        <w:trPr>
          <w:trHeight w:val="20"/>
        </w:trPr>
        <w:tc>
          <w:tcPr>
            <w:tcW w:w="714" w:type="dxa"/>
            <w:shd w:val="clear" w:color="auto" w:fill="auto"/>
            <w:vAlign w:val="center"/>
            <w:hideMark/>
          </w:tcPr>
          <w:p w14:paraId="553E9473" w14:textId="77777777" w:rsidR="00195FD0" w:rsidRPr="009E5B39" w:rsidRDefault="00195FD0" w:rsidP="00D32382">
            <w:pPr>
              <w:spacing w:after="0" w:line="240" w:lineRule="auto"/>
              <w:jc w:val="both"/>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În total</w:t>
            </w:r>
          </w:p>
        </w:tc>
        <w:tc>
          <w:tcPr>
            <w:tcW w:w="1060" w:type="dxa"/>
          </w:tcPr>
          <w:p w14:paraId="5CD1DC8A" w14:textId="77777777" w:rsidR="00195FD0" w:rsidRPr="009E5B39" w:rsidRDefault="00195FD0" w:rsidP="00D32382">
            <w:pPr>
              <w:spacing w:after="0" w:line="240" w:lineRule="auto"/>
              <w:jc w:val="right"/>
              <w:rPr>
                <w:rFonts w:asciiTheme="majorHAnsi" w:eastAsia="Times New Roman" w:hAnsiTheme="majorHAnsi" w:cstheme="majorHAnsi"/>
                <w:b/>
                <w:bCs/>
                <w:sz w:val="16"/>
                <w:szCs w:val="16"/>
                <w:lang w:val="ro-MD"/>
              </w:rPr>
            </w:pPr>
          </w:p>
        </w:tc>
        <w:tc>
          <w:tcPr>
            <w:tcW w:w="851" w:type="dxa"/>
          </w:tcPr>
          <w:p w14:paraId="7A066F06" w14:textId="77777777" w:rsidR="00195FD0" w:rsidRPr="009E5B39" w:rsidRDefault="00195FD0" w:rsidP="00D32382">
            <w:pPr>
              <w:spacing w:after="0" w:line="240" w:lineRule="auto"/>
              <w:jc w:val="right"/>
              <w:rPr>
                <w:rFonts w:asciiTheme="majorHAnsi" w:eastAsia="Times New Roman" w:hAnsiTheme="majorHAnsi" w:cstheme="majorHAnsi"/>
                <w:b/>
                <w:bCs/>
                <w:sz w:val="16"/>
                <w:szCs w:val="16"/>
                <w:lang w:val="ro-MD"/>
              </w:rPr>
            </w:pPr>
          </w:p>
        </w:tc>
        <w:tc>
          <w:tcPr>
            <w:tcW w:w="869" w:type="dxa"/>
            <w:shd w:val="clear" w:color="auto" w:fill="auto"/>
            <w:vAlign w:val="center"/>
            <w:hideMark/>
          </w:tcPr>
          <w:p w14:paraId="63DE31AA" w14:textId="77777777" w:rsidR="00195FD0" w:rsidRPr="009E5B39" w:rsidRDefault="00195FD0" w:rsidP="00D32382">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56783,00</w:t>
            </w:r>
          </w:p>
        </w:tc>
        <w:tc>
          <w:tcPr>
            <w:tcW w:w="844" w:type="dxa"/>
            <w:shd w:val="clear" w:color="auto" w:fill="auto"/>
            <w:vAlign w:val="center"/>
            <w:hideMark/>
          </w:tcPr>
          <w:p w14:paraId="5E242398" w14:textId="77777777" w:rsidR="00195FD0" w:rsidRPr="009E5B39" w:rsidRDefault="00195FD0" w:rsidP="00D32382">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60504,98</w:t>
            </w:r>
          </w:p>
        </w:tc>
        <w:tc>
          <w:tcPr>
            <w:tcW w:w="743" w:type="dxa"/>
            <w:shd w:val="clear" w:color="auto" w:fill="auto"/>
            <w:vAlign w:val="center"/>
            <w:hideMark/>
          </w:tcPr>
          <w:p w14:paraId="2B765A15" w14:textId="77777777" w:rsidR="00195FD0" w:rsidRPr="009E5B39" w:rsidRDefault="00195FD0" w:rsidP="00D32382">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3721,98</w:t>
            </w:r>
          </w:p>
        </w:tc>
        <w:tc>
          <w:tcPr>
            <w:tcW w:w="836" w:type="dxa"/>
            <w:shd w:val="clear" w:color="auto" w:fill="auto"/>
            <w:vAlign w:val="center"/>
            <w:hideMark/>
          </w:tcPr>
          <w:p w14:paraId="766AA5A0" w14:textId="77777777" w:rsidR="00195FD0" w:rsidRPr="009E5B39" w:rsidRDefault="00195FD0" w:rsidP="00D32382">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78401,13</w:t>
            </w:r>
          </w:p>
        </w:tc>
        <w:tc>
          <w:tcPr>
            <w:tcW w:w="883" w:type="dxa"/>
            <w:shd w:val="clear" w:color="auto" w:fill="auto"/>
            <w:vAlign w:val="center"/>
            <w:hideMark/>
          </w:tcPr>
          <w:p w14:paraId="7460EEB2" w14:textId="77777777" w:rsidR="00195FD0" w:rsidRPr="009E5B39" w:rsidRDefault="00195FD0" w:rsidP="00D32382">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65997,05</w:t>
            </w:r>
          </w:p>
        </w:tc>
        <w:tc>
          <w:tcPr>
            <w:tcW w:w="844" w:type="dxa"/>
            <w:shd w:val="clear" w:color="auto" w:fill="auto"/>
            <w:vAlign w:val="center"/>
            <w:hideMark/>
          </w:tcPr>
          <w:p w14:paraId="45B2215E" w14:textId="77777777" w:rsidR="00195FD0" w:rsidRPr="009E5B39" w:rsidRDefault="00195FD0" w:rsidP="00D32382">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69309,57</w:t>
            </w:r>
          </w:p>
        </w:tc>
        <w:tc>
          <w:tcPr>
            <w:tcW w:w="844" w:type="dxa"/>
            <w:shd w:val="clear" w:color="auto" w:fill="auto"/>
            <w:vAlign w:val="center"/>
            <w:hideMark/>
          </w:tcPr>
          <w:p w14:paraId="5DB6F2FB" w14:textId="77777777" w:rsidR="00195FD0" w:rsidRPr="009E5B39" w:rsidRDefault="00195FD0" w:rsidP="00D32382">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74186,07</w:t>
            </w:r>
          </w:p>
        </w:tc>
        <w:tc>
          <w:tcPr>
            <w:tcW w:w="873" w:type="dxa"/>
            <w:shd w:val="clear" w:color="auto" w:fill="auto"/>
            <w:vAlign w:val="center"/>
            <w:hideMark/>
          </w:tcPr>
          <w:p w14:paraId="4E946D3C" w14:textId="77777777" w:rsidR="00195FD0" w:rsidRPr="009E5B39" w:rsidRDefault="00195FD0" w:rsidP="00D32382">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4876,50</w:t>
            </w:r>
          </w:p>
        </w:tc>
      </w:tr>
    </w:tbl>
    <w:p w14:paraId="2468E1C5" w14:textId="2795C3CD" w:rsidR="00195FD0" w:rsidRPr="009E5B39" w:rsidRDefault="004E45A8" w:rsidP="004E45A8">
      <w:pPr>
        <w:tabs>
          <w:tab w:val="left" w:pos="0"/>
          <w:tab w:val="left" w:pos="360"/>
        </w:tabs>
        <w:spacing w:after="0" w:line="276" w:lineRule="auto"/>
        <w:jc w:val="both"/>
        <w:rPr>
          <w:rFonts w:asciiTheme="majorHAnsi" w:eastAsia="Calibri" w:hAnsiTheme="majorHAnsi" w:cstheme="majorHAnsi"/>
          <w:sz w:val="24"/>
          <w:szCs w:val="24"/>
          <w:lang w:val="ro-MD"/>
        </w:rPr>
      </w:pPr>
      <w:r w:rsidRPr="009E5B39">
        <w:rPr>
          <w:rFonts w:asciiTheme="majorHAnsi" w:eastAsia="Calibri" w:hAnsiTheme="majorHAnsi" w:cstheme="majorHAnsi"/>
          <w:sz w:val="24"/>
          <w:szCs w:val="24"/>
          <w:lang w:val="ro-MD"/>
        </w:rPr>
        <w:tab/>
      </w:r>
      <w:r w:rsidRPr="009E5B39">
        <w:rPr>
          <w:rFonts w:asciiTheme="majorHAnsi" w:eastAsia="Calibri" w:hAnsiTheme="majorHAnsi" w:cstheme="majorHAnsi"/>
          <w:sz w:val="24"/>
          <w:szCs w:val="24"/>
          <w:lang w:val="ro-MD"/>
        </w:rPr>
        <w:tab/>
      </w:r>
      <w:r w:rsidR="00195FD0" w:rsidRPr="009E5B39">
        <w:rPr>
          <w:rFonts w:asciiTheme="majorHAnsi" w:eastAsia="Calibri" w:hAnsiTheme="majorHAnsi" w:cstheme="majorHAnsi"/>
          <w:sz w:val="24"/>
          <w:szCs w:val="24"/>
          <w:lang w:val="ro-MD"/>
        </w:rPr>
        <w:t xml:space="preserve">Auditul </w:t>
      </w:r>
      <w:r w:rsidR="00F4493C" w:rsidRPr="009E5B39">
        <w:rPr>
          <w:rFonts w:asciiTheme="majorHAnsi" w:eastAsia="Calibri" w:hAnsiTheme="majorHAnsi" w:cstheme="majorHAnsi"/>
          <w:sz w:val="24"/>
          <w:szCs w:val="24"/>
          <w:lang w:val="ro-MD"/>
        </w:rPr>
        <w:t xml:space="preserve">a </w:t>
      </w:r>
      <w:r w:rsidR="00195FD0" w:rsidRPr="009E5B39">
        <w:rPr>
          <w:rFonts w:asciiTheme="majorHAnsi" w:eastAsia="Calibri" w:hAnsiTheme="majorHAnsi" w:cstheme="majorHAnsi"/>
          <w:sz w:val="24"/>
          <w:szCs w:val="24"/>
          <w:lang w:val="ro-MD"/>
        </w:rPr>
        <w:t>constat</w:t>
      </w:r>
      <w:r w:rsidR="00F4493C" w:rsidRPr="009E5B39">
        <w:rPr>
          <w:rFonts w:asciiTheme="majorHAnsi" w:eastAsia="Calibri" w:hAnsiTheme="majorHAnsi" w:cstheme="majorHAnsi"/>
          <w:sz w:val="24"/>
          <w:szCs w:val="24"/>
          <w:lang w:val="ro-MD"/>
        </w:rPr>
        <w:t>at</w:t>
      </w:r>
      <w:r w:rsidR="00195FD0" w:rsidRPr="009E5B39">
        <w:rPr>
          <w:rFonts w:asciiTheme="majorHAnsi" w:eastAsia="Calibri" w:hAnsiTheme="majorHAnsi" w:cstheme="majorHAnsi"/>
          <w:sz w:val="24"/>
          <w:szCs w:val="24"/>
          <w:lang w:val="ro-MD"/>
        </w:rPr>
        <w:t xml:space="preserve"> divergențe semnificative </w:t>
      </w:r>
      <w:r w:rsidR="00F4493C" w:rsidRPr="009E5B39">
        <w:rPr>
          <w:rFonts w:asciiTheme="majorHAnsi" w:eastAsia="Calibri" w:hAnsiTheme="majorHAnsi" w:cstheme="majorHAnsi"/>
          <w:sz w:val="24"/>
          <w:szCs w:val="24"/>
          <w:lang w:val="ro-MD"/>
        </w:rPr>
        <w:t>privind</w:t>
      </w:r>
      <w:r w:rsidR="00195FD0" w:rsidRPr="009E5B39">
        <w:rPr>
          <w:rFonts w:asciiTheme="majorHAnsi" w:eastAsia="Calibri" w:hAnsiTheme="majorHAnsi" w:cstheme="majorHAnsi"/>
          <w:sz w:val="24"/>
          <w:szCs w:val="24"/>
          <w:lang w:val="ro-MD"/>
        </w:rPr>
        <w:t xml:space="preserve"> venituril</w:t>
      </w:r>
      <w:r w:rsidR="00F4493C" w:rsidRPr="009E5B39">
        <w:rPr>
          <w:rFonts w:asciiTheme="majorHAnsi" w:eastAsia="Calibri" w:hAnsiTheme="majorHAnsi" w:cstheme="majorHAnsi"/>
          <w:sz w:val="24"/>
          <w:szCs w:val="24"/>
          <w:lang w:val="ro-MD"/>
        </w:rPr>
        <w:t>e</w:t>
      </w:r>
      <w:r w:rsidR="00195FD0" w:rsidRPr="009E5B39">
        <w:rPr>
          <w:rFonts w:asciiTheme="majorHAnsi" w:eastAsia="Calibri" w:hAnsiTheme="majorHAnsi" w:cstheme="majorHAnsi"/>
          <w:sz w:val="24"/>
          <w:szCs w:val="24"/>
          <w:lang w:val="ro-MD"/>
        </w:rPr>
        <w:t xml:space="preserve"> încasate din arenda/ superfici</w:t>
      </w:r>
      <w:r w:rsidR="00F4493C" w:rsidRPr="009E5B39">
        <w:rPr>
          <w:rFonts w:asciiTheme="majorHAnsi" w:eastAsia="Calibri" w:hAnsiTheme="majorHAnsi" w:cstheme="majorHAnsi"/>
          <w:sz w:val="24"/>
          <w:szCs w:val="24"/>
          <w:lang w:val="ro-MD"/>
        </w:rPr>
        <w:t>a</w:t>
      </w:r>
      <w:r w:rsidR="00195FD0" w:rsidRPr="009E5B39">
        <w:rPr>
          <w:rFonts w:asciiTheme="majorHAnsi" w:eastAsia="Calibri" w:hAnsiTheme="majorHAnsi" w:cstheme="majorHAnsi"/>
          <w:sz w:val="24"/>
          <w:szCs w:val="24"/>
          <w:lang w:val="ro-MD"/>
        </w:rPr>
        <w:t xml:space="preserve"> și folosința terenurilor (cod ECO 141532) între datele raportate de către DGF, </w:t>
      </w:r>
      <w:r w:rsidR="00F4493C" w:rsidRPr="009E5B39">
        <w:rPr>
          <w:rFonts w:asciiTheme="majorHAnsi" w:eastAsia="Calibri" w:hAnsiTheme="majorHAnsi" w:cstheme="majorHAnsi"/>
          <w:sz w:val="24"/>
          <w:szCs w:val="24"/>
          <w:lang w:val="ro-MD"/>
        </w:rPr>
        <w:t>datele di</w:t>
      </w:r>
      <w:r w:rsidR="00195FD0" w:rsidRPr="009E5B39">
        <w:rPr>
          <w:rFonts w:asciiTheme="majorHAnsi" w:eastAsia="Calibri" w:hAnsiTheme="majorHAnsi" w:cstheme="majorHAnsi"/>
          <w:sz w:val="24"/>
          <w:szCs w:val="24"/>
          <w:lang w:val="ro-MD"/>
        </w:rPr>
        <w:t xml:space="preserve">n Rapoartele privind executarea bugetului pentru anii 2018-2020 (forma FD-044) și datele generate de SI, în care se ține evidența contractelor de arendă/ superficie și folosință de către DGAURF, unde suma achitată este mai mică cu </w:t>
      </w:r>
      <w:r w:rsidR="00195FD0" w:rsidRPr="009E5B39">
        <w:rPr>
          <w:rFonts w:asciiTheme="majorHAnsi" w:eastAsia="Calibri" w:hAnsiTheme="majorHAnsi" w:cstheme="majorHAnsi"/>
          <w:b/>
          <w:sz w:val="24"/>
          <w:szCs w:val="24"/>
          <w:lang w:val="ro-MD"/>
        </w:rPr>
        <w:t>2,75 mil</w:t>
      </w:r>
      <w:r w:rsidR="00F4493C" w:rsidRPr="009E5B39">
        <w:rPr>
          <w:rFonts w:asciiTheme="majorHAnsi" w:eastAsia="Calibri" w:hAnsiTheme="majorHAnsi" w:cstheme="majorHAnsi"/>
          <w:b/>
          <w:sz w:val="24"/>
          <w:szCs w:val="24"/>
          <w:lang w:val="ro-MD"/>
        </w:rPr>
        <w:t>.</w:t>
      </w:r>
      <w:r w:rsidR="00195FD0" w:rsidRPr="009E5B39">
        <w:rPr>
          <w:rFonts w:asciiTheme="majorHAnsi" w:eastAsia="Calibri" w:hAnsiTheme="majorHAnsi" w:cstheme="majorHAnsi"/>
          <w:b/>
          <w:sz w:val="24"/>
          <w:szCs w:val="24"/>
          <w:lang w:val="ro-MD"/>
        </w:rPr>
        <w:t xml:space="preserve"> lei</w:t>
      </w:r>
      <w:r w:rsidR="00195FD0" w:rsidRPr="009E5B39">
        <w:rPr>
          <w:rFonts w:asciiTheme="majorHAnsi" w:eastAsia="Calibri" w:hAnsiTheme="majorHAnsi" w:cstheme="majorHAnsi"/>
          <w:sz w:val="24"/>
          <w:szCs w:val="24"/>
          <w:lang w:val="ro-MD"/>
        </w:rPr>
        <w:t xml:space="preserve"> – la 31.12.2018; cu </w:t>
      </w:r>
      <w:r w:rsidR="00195FD0" w:rsidRPr="009E5B39">
        <w:rPr>
          <w:rFonts w:asciiTheme="majorHAnsi" w:eastAsia="Calibri" w:hAnsiTheme="majorHAnsi" w:cstheme="majorHAnsi"/>
          <w:b/>
          <w:sz w:val="24"/>
          <w:szCs w:val="24"/>
          <w:lang w:val="ro-MD"/>
        </w:rPr>
        <w:t>9,79 mil</w:t>
      </w:r>
      <w:r w:rsidR="00F4493C" w:rsidRPr="009E5B39">
        <w:rPr>
          <w:rFonts w:asciiTheme="majorHAnsi" w:eastAsia="Calibri" w:hAnsiTheme="majorHAnsi" w:cstheme="majorHAnsi"/>
          <w:b/>
          <w:sz w:val="24"/>
          <w:szCs w:val="24"/>
          <w:lang w:val="ro-MD"/>
        </w:rPr>
        <w:t>.</w:t>
      </w:r>
      <w:r w:rsidR="00195FD0" w:rsidRPr="009E5B39">
        <w:rPr>
          <w:rFonts w:asciiTheme="majorHAnsi" w:eastAsia="Calibri" w:hAnsiTheme="majorHAnsi" w:cstheme="majorHAnsi"/>
          <w:sz w:val="24"/>
          <w:szCs w:val="24"/>
          <w:lang w:val="ro-MD"/>
        </w:rPr>
        <w:t xml:space="preserve"> lei – la 31.12.2019</w:t>
      </w:r>
      <w:r w:rsidR="00F4493C" w:rsidRPr="009E5B39">
        <w:rPr>
          <w:rFonts w:asciiTheme="majorHAnsi" w:eastAsia="Calibri" w:hAnsiTheme="majorHAnsi" w:cstheme="majorHAnsi"/>
          <w:sz w:val="24"/>
          <w:szCs w:val="24"/>
          <w:lang w:val="ro-MD"/>
        </w:rPr>
        <w:t xml:space="preserve">, </w:t>
      </w:r>
      <w:r w:rsidR="00195FD0" w:rsidRPr="009E5B39">
        <w:rPr>
          <w:rFonts w:asciiTheme="majorHAnsi" w:eastAsia="Calibri" w:hAnsiTheme="majorHAnsi" w:cstheme="majorHAnsi"/>
          <w:sz w:val="24"/>
          <w:szCs w:val="24"/>
          <w:lang w:val="ro-MD"/>
        </w:rPr>
        <w:t xml:space="preserve"> și cu </w:t>
      </w:r>
      <w:r w:rsidR="00195FD0" w:rsidRPr="009E5B39">
        <w:rPr>
          <w:rFonts w:asciiTheme="majorHAnsi" w:eastAsia="Calibri" w:hAnsiTheme="majorHAnsi" w:cstheme="majorHAnsi"/>
          <w:b/>
          <w:sz w:val="24"/>
          <w:szCs w:val="24"/>
          <w:lang w:val="ro-MD"/>
        </w:rPr>
        <w:t>5,04 mil</w:t>
      </w:r>
      <w:r w:rsidR="00F4493C" w:rsidRPr="009E5B39">
        <w:rPr>
          <w:rFonts w:asciiTheme="majorHAnsi" w:eastAsia="Calibri" w:hAnsiTheme="majorHAnsi" w:cstheme="majorHAnsi"/>
          <w:b/>
          <w:sz w:val="24"/>
          <w:szCs w:val="24"/>
          <w:lang w:val="ro-MD"/>
        </w:rPr>
        <w:t>.</w:t>
      </w:r>
      <w:r w:rsidR="00195FD0" w:rsidRPr="009E5B39">
        <w:rPr>
          <w:rFonts w:asciiTheme="majorHAnsi" w:eastAsia="Calibri" w:hAnsiTheme="majorHAnsi" w:cstheme="majorHAnsi"/>
          <w:b/>
          <w:sz w:val="24"/>
          <w:szCs w:val="24"/>
          <w:lang w:val="ro-MD"/>
        </w:rPr>
        <w:t xml:space="preserve"> lei</w:t>
      </w:r>
      <w:r w:rsidR="00195FD0" w:rsidRPr="009E5B39">
        <w:rPr>
          <w:rFonts w:asciiTheme="majorHAnsi" w:eastAsia="Calibri" w:hAnsiTheme="majorHAnsi" w:cstheme="majorHAnsi"/>
          <w:sz w:val="24"/>
          <w:szCs w:val="24"/>
          <w:lang w:val="ro-MD"/>
        </w:rPr>
        <w:t xml:space="preserve"> – la 31.12.2020, față de cea raportată:</w:t>
      </w:r>
    </w:p>
    <w:p w14:paraId="66AA0FBE" w14:textId="77777777" w:rsidR="00195FD0" w:rsidRPr="009E5B39" w:rsidRDefault="00195FD0" w:rsidP="007102DC">
      <w:pPr>
        <w:tabs>
          <w:tab w:val="left" w:pos="0"/>
        </w:tabs>
        <w:spacing w:after="0" w:line="240" w:lineRule="auto"/>
        <w:jc w:val="right"/>
        <w:rPr>
          <w:rFonts w:asciiTheme="majorHAnsi" w:eastAsia="Calibri" w:hAnsiTheme="majorHAnsi" w:cstheme="majorHAnsi"/>
          <w:b/>
          <w:i/>
          <w:sz w:val="24"/>
          <w:szCs w:val="24"/>
          <w:lang w:val="ro-MD"/>
        </w:rPr>
      </w:pPr>
      <w:r w:rsidRPr="009E5B39">
        <w:rPr>
          <w:rFonts w:asciiTheme="majorHAnsi" w:eastAsia="Calibri" w:hAnsiTheme="majorHAnsi" w:cstheme="majorHAnsi"/>
          <w:b/>
          <w:i/>
          <w:sz w:val="24"/>
          <w:szCs w:val="24"/>
          <w:lang w:val="ro-MD"/>
        </w:rPr>
        <w:t>mii lei</w:t>
      </w:r>
    </w:p>
    <w:tbl>
      <w:tblPr>
        <w:tblpPr w:leftFromText="180" w:rightFromText="180" w:vertAnchor="text" w:horzAnchor="margin" w:tblpY="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781"/>
        <w:gridCol w:w="1310"/>
        <w:gridCol w:w="1998"/>
        <w:gridCol w:w="910"/>
        <w:gridCol w:w="976"/>
        <w:gridCol w:w="1374"/>
        <w:gridCol w:w="1276"/>
      </w:tblGrid>
      <w:tr w:rsidR="00195FD0" w:rsidRPr="009E5B39" w14:paraId="414EA7C2" w14:textId="77777777" w:rsidTr="0026150B">
        <w:trPr>
          <w:trHeight w:val="80"/>
        </w:trPr>
        <w:tc>
          <w:tcPr>
            <w:tcW w:w="726" w:type="dxa"/>
            <w:vMerge w:val="restart"/>
            <w:shd w:val="clear" w:color="auto" w:fill="auto"/>
            <w:noWrap/>
            <w:vAlign w:val="center"/>
            <w:hideMark/>
          </w:tcPr>
          <w:p w14:paraId="252AC950" w14:textId="77777777" w:rsidR="00195FD0" w:rsidRPr="009E5B39" w:rsidRDefault="00195FD0" w:rsidP="007102DC">
            <w:pPr>
              <w:tabs>
                <w:tab w:val="left" w:pos="166"/>
              </w:tabs>
              <w:spacing w:after="0" w:line="240" w:lineRule="auto"/>
              <w:ind w:left="90" w:hanging="4"/>
              <w:contextualSpacing/>
              <w:jc w:val="center"/>
              <w:rPr>
                <w:rFonts w:asciiTheme="majorHAnsi" w:eastAsia="Calibri" w:hAnsiTheme="majorHAnsi" w:cstheme="majorHAnsi"/>
                <w:b/>
                <w:sz w:val="16"/>
                <w:szCs w:val="16"/>
                <w:lang w:val="ro-MD"/>
              </w:rPr>
            </w:pPr>
            <w:r w:rsidRPr="009E5B39">
              <w:rPr>
                <w:rFonts w:asciiTheme="majorHAnsi" w:eastAsia="Calibri" w:hAnsiTheme="majorHAnsi" w:cstheme="majorHAnsi"/>
                <w:b/>
                <w:sz w:val="16"/>
                <w:szCs w:val="16"/>
                <w:lang w:val="ro-MD"/>
              </w:rPr>
              <w:t>Contul ECO</w:t>
            </w:r>
          </w:p>
        </w:tc>
        <w:tc>
          <w:tcPr>
            <w:tcW w:w="781" w:type="dxa"/>
            <w:vMerge w:val="restart"/>
            <w:vAlign w:val="center"/>
          </w:tcPr>
          <w:p w14:paraId="7579BB01" w14:textId="77777777" w:rsidR="00195FD0" w:rsidRPr="009E5B39" w:rsidRDefault="00195FD0" w:rsidP="007102DC">
            <w:pPr>
              <w:tabs>
                <w:tab w:val="left" w:pos="166"/>
              </w:tabs>
              <w:spacing w:after="0" w:line="240" w:lineRule="auto"/>
              <w:ind w:hanging="4"/>
              <w:contextualSpacing/>
              <w:jc w:val="center"/>
              <w:rPr>
                <w:rFonts w:asciiTheme="majorHAnsi" w:eastAsia="Calibri" w:hAnsiTheme="majorHAnsi" w:cstheme="majorHAnsi"/>
                <w:b/>
                <w:sz w:val="16"/>
                <w:szCs w:val="16"/>
                <w:lang w:val="ro-MD"/>
              </w:rPr>
            </w:pPr>
            <w:r w:rsidRPr="009E5B39">
              <w:rPr>
                <w:rFonts w:asciiTheme="majorHAnsi" w:eastAsia="Calibri" w:hAnsiTheme="majorHAnsi" w:cstheme="majorHAnsi"/>
                <w:b/>
                <w:sz w:val="16"/>
                <w:szCs w:val="16"/>
                <w:lang w:val="ro-MD"/>
              </w:rPr>
              <w:t>Perioada</w:t>
            </w:r>
          </w:p>
        </w:tc>
        <w:tc>
          <w:tcPr>
            <w:tcW w:w="1310" w:type="dxa"/>
            <w:vMerge w:val="restart"/>
            <w:shd w:val="clear" w:color="auto" w:fill="auto"/>
            <w:vAlign w:val="center"/>
            <w:hideMark/>
          </w:tcPr>
          <w:p w14:paraId="5A08175D" w14:textId="77777777" w:rsidR="00195FD0" w:rsidRPr="009E5B39" w:rsidRDefault="00195FD0" w:rsidP="007102DC">
            <w:pPr>
              <w:tabs>
                <w:tab w:val="left" w:pos="166"/>
              </w:tabs>
              <w:spacing w:after="0" w:line="240" w:lineRule="auto"/>
              <w:ind w:hanging="4"/>
              <w:contextualSpacing/>
              <w:jc w:val="center"/>
              <w:rPr>
                <w:rFonts w:asciiTheme="majorHAnsi" w:eastAsia="Calibri" w:hAnsiTheme="majorHAnsi" w:cstheme="majorHAnsi"/>
                <w:b/>
                <w:sz w:val="16"/>
                <w:szCs w:val="16"/>
                <w:lang w:val="ro-MD"/>
              </w:rPr>
            </w:pPr>
            <w:r w:rsidRPr="009E5B39">
              <w:rPr>
                <w:rFonts w:asciiTheme="majorHAnsi" w:eastAsia="Calibri" w:hAnsiTheme="majorHAnsi" w:cstheme="majorHAnsi"/>
                <w:b/>
                <w:sz w:val="16"/>
                <w:szCs w:val="16"/>
                <w:lang w:val="ro-MD"/>
              </w:rPr>
              <w:t>Raport FD-44</w:t>
            </w:r>
          </w:p>
          <w:p w14:paraId="03752A53" w14:textId="77777777" w:rsidR="00195FD0" w:rsidRPr="009E5B39" w:rsidRDefault="00195FD0" w:rsidP="007102DC">
            <w:pPr>
              <w:tabs>
                <w:tab w:val="left" w:pos="166"/>
              </w:tabs>
              <w:spacing w:after="0" w:line="240" w:lineRule="auto"/>
              <w:ind w:hanging="4"/>
              <w:contextualSpacing/>
              <w:jc w:val="center"/>
              <w:rPr>
                <w:rFonts w:asciiTheme="majorHAnsi" w:eastAsia="Calibri" w:hAnsiTheme="majorHAnsi" w:cstheme="majorHAnsi"/>
                <w:b/>
                <w:sz w:val="16"/>
                <w:szCs w:val="16"/>
                <w:lang w:val="ro-MD"/>
              </w:rPr>
            </w:pPr>
            <w:r w:rsidRPr="009E5B39">
              <w:rPr>
                <w:rFonts w:asciiTheme="majorHAnsi" w:eastAsia="Calibri" w:hAnsiTheme="majorHAnsi" w:cstheme="majorHAnsi"/>
                <w:b/>
                <w:sz w:val="16"/>
                <w:szCs w:val="16"/>
                <w:lang w:val="ro-MD"/>
              </w:rPr>
              <w:t>Executat/ Efectiv</w:t>
            </w:r>
          </w:p>
        </w:tc>
        <w:tc>
          <w:tcPr>
            <w:tcW w:w="1998" w:type="dxa"/>
            <w:vMerge w:val="restart"/>
            <w:vAlign w:val="center"/>
          </w:tcPr>
          <w:p w14:paraId="40E555F8" w14:textId="260E8449" w:rsidR="00195FD0" w:rsidRPr="009E5B39" w:rsidRDefault="00195FD0" w:rsidP="007102DC">
            <w:pPr>
              <w:tabs>
                <w:tab w:val="left" w:pos="166"/>
              </w:tabs>
              <w:spacing w:after="0" w:line="240" w:lineRule="auto"/>
              <w:ind w:left="90" w:hanging="4"/>
              <w:contextualSpacing/>
              <w:jc w:val="center"/>
              <w:rPr>
                <w:rFonts w:asciiTheme="majorHAnsi" w:eastAsia="Calibri" w:hAnsiTheme="majorHAnsi" w:cstheme="majorHAnsi"/>
                <w:b/>
                <w:sz w:val="16"/>
                <w:szCs w:val="16"/>
                <w:lang w:val="ro-MD"/>
              </w:rPr>
            </w:pPr>
            <w:r w:rsidRPr="009E5B39">
              <w:rPr>
                <w:rFonts w:asciiTheme="majorHAnsi" w:eastAsia="Calibri" w:hAnsiTheme="majorHAnsi" w:cstheme="majorHAnsi"/>
                <w:b/>
                <w:sz w:val="16"/>
                <w:szCs w:val="16"/>
                <w:lang w:val="ro-MD"/>
              </w:rPr>
              <w:t>Încasarea veniturilor</w:t>
            </w:r>
            <w:r w:rsidR="007550CE" w:rsidRPr="009E5B39">
              <w:rPr>
                <w:rFonts w:asciiTheme="majorHAnsi" w:eastAsia="Calibri" w:hAnsiTheme="majorHAnsi" w:cstheme="majorHAnsi"/>
                <w:b/>
                <w:sz w:val="16"/>
                <w:szCs w:val="16"/>
                <w:lang w:val="ro-MD"/>
              </w:rPr>
              <w:t>,</w:t>
            </w:r>
            <w:r w:rsidRPr="009E5B39">
              <w:rPr>
                <w:rFonts w:asciiTheme="majorHAnsi" w:eastAsia="Calibri" w:hAnsiTheme="majorHAnsi" w:cstheme="majorHAnsi"/>
                <w:b/>
                <w:sz w:val="16"/>
                <w:szCs w:val="16"/>
                <w:lang w:val="ro-MD"/>
              </w:rPr>
              <w:t xml:space="preserve"> prezentată de DGAURF</w:t>
            </w:r>
          </w:p>
        </w:tc>
        <w:tc>
          <w:tcPr>
            <w:tcW w:w="1886" w:type="dxa"/>
            <w:gridSpan w:val="2"/>
            <w:vAlign w:val="center"/>
          </w:tcPr>
          <w:p w14:paraId="391FDE31" w14:textId="77777777" w:rsidR="00195FD0" w:rsidRPr="009E5B39" w:rsidRDefault="00195FD0" w:rsidP="007102DC">
            <w:pPr>
              <w:tabs>
                <w:tab w:val="left" w:pos="166"/>
              </w:tabs>
              <w:spacing w:after="0" w:line="240" w:lineRule="auto"/>
              <w:ind w:left="90" w:hanging="4"/>
              <w:contextualSpacing/>
              <w:jc w:val="center"/>
              <w:rPr>
                <w:rFonts w:asciiTheme="majorHAnsi" w:eastAsia="Calibri" w:hAnsiTheme="majorHAnsi" w:cstheme="majorHAnsi"/>
                <w:b/>
                <w:sz w:val="16"/>
                <w:szCs w:val="16"/>
                <w:lang w:val="ro-MD"/>
              </w:rPr>
            </w:pPr>
            <w:r w:rsidRPr="009E5B39">
              <w:rPr>
                <w:rFonts w:asciiTheme="majorHAnsi" w:eastAsia="Calibri" w:hAnsiTheme="majorHAnsi" w:cstheme="majorHAnsi"/>
                <w:b/>
                <w:sz w:val="16"/>
                <w:szCs w:val="16"/>
                <w:lang w:val="ro-MD"/>
              </w:rPr>
              <w:t>Informația din SI de evidență a DGAURF</w:t>
            </w:r>
          </w:p>
        </w:tc>
        <w:tc>
          <w:tcPr>
            <w:tcW w:w="1374" w:type="dxa"/>
            <w:vMerge w:val="restart"/>
            <w:shd w:val="clear" w:color="auto" w:fill="auto"/>
            <w:vAlign w:val="center"/>
          </w:tcPr>
          <w:p w14:paraId="169BC223" w14:textId="05CDC125" w:rsidR="00195FD0" w:rsidRPr="009E5B39" w:rsidRDefault="00195FD0" w:rsidP="007102DC">
            <w:pPr>
              <w:tabs>
                <w:tab w:val="left" w:pos="166"/>
              </w:tabs>
              <w:spacing w:after="0" w:line="240" w:lineRule="auto"/>
              <w:ind w:left="90" w:hanging="4"/>
              <w:contextualSpacing/>
              <w:jc w:val="center"/>
              <w:rPr>
                <w:rFonts w:asciiTheme="majorHAnsi" w:eastAsia="Calibri" w:hAnsiTheme="majorHAnsi" w:cstheme="majorHAnsi"/>
                <w:b/>
                <w:sz w:val="16"/>
                <w:szCs w:val="16"/>
                <w:lang w:val="ro-MD"/>
              </w:rPr>
            </w:pPr>
            <w:r w:rsidRPr="009E5B39">
              <w:rPr>
                <w:rFonts w:asciiTheme="majorHAnsi" w:eastAsia="Calibri" w:hAnsiTheme="majorHAnsi" w:cstheme="majorHAnsi"/>
                <w:b/>
                <w:sz w:val="16"/>
                <w:szCs w:val="16"/>
                <w:lang w:val="ro-MD"/>
              </w:rPr>
              <w:t>Diferența FD</w:t>
            </w:r>
            <w:r w:rsidR="007550CE" w:rsidRPr="009E5B39">
              <w:rPr>
                <w:rFonts w:asciiTheme="majorHAnsi" w:eastAsia="Calibri" w:hAnsiTheme="majorHAnsi" w:cstheme="majorHAnsi"/>
                <w:b/>
                <w:sz w:val="16"/>
                <w:szCs w:val="16"/>
                <w:lang w:val="ro-MD"/>
              </w:rPr>
              <w:t>-</w:t>
            </w:r>
            <w:r w:rsidRPr="009E5B39">
              <w:rPr>
                <w:rFonts w:asciiTheme="majorHAnsi" w:eastAsia="Calibri" w:hAnsiTheme="majorHAnsi" w:cstheme="majorHAnsi"/>
                <w:b/>
                <w:sz w:val="16"/>
                <w:szCs w:val="16"/>
                <w:lang w:val="ro-MD"/>
              </w:rPr>
              <w:t>044  și încasarea veniturilor</w:t>
            </w:r>
          </w:p>
        </w:tc>
        <w:tc>
          <w:tcPr>
            <w:tcW w:w="1276" w:type="dxa"/>
            <w:vMerge w:val="restart"/>
            <w:vAlign w:val="center"/>
          </w:tcPr>
          <w:p w14:paraId="7073855D" w14:textId="743804AA" w:rsidR="00195FD0" w:rsidRPr="009E5B39" w:rsidRDefault="00195FD0" w:rsidP="007102DC">
            <w:pPr>
              <w:tabs>
                <w:tab w:val="left" w:pos="166"/>
              </w:tabs>
              <w:spacing w:after="0" w:line="240" w:lineRule="auto"/>
              <w:ind w:hanging="4"/>
              <w:contextualSpacing/>
              <w:jc w:val="center"/>
              <w:rPr>
                <w:rFonts w:asciiTheme="majorHAnsi" w:eastAsia="Calibri" w:hAnsiTheme="majorHAnsi" w:cstheme="majorHAnsi"/>
                <w:b/>
                <w:sz w:val="16"/>
                <w:szCs w:val="16"/>
                <w:lang w:val="ro-MD"/>
              </w:rPr>
            </w:pPr>
            <w:r w:rsidRPr="009E5B39">
              <w:rPr>
                <w:rFonts w:asciiTheme="majorHAnsi" w:eastAsia="Calibri" w:hAnsiTheme="majorHAnsi" w:cstheme="majorHAnsi"/>
                <w:b/>
                <w:sz w:val="16"/>
                <w:szCs w:val="16"/>
                <w:lang w:val="ro-MD"/>
              </w:rPr>
              <w:t>Diferența</w:t>
            </w:r>
            <w:r w:rsidR="007550CE" w:rsidRPr="009E5B39">
              <w:rPr>
                <w:rFonts w:asciiTheme="majorHAnsi" w:eastAsia="Calibri" w:hAnsiTheme="majorHAnsi" w:cstheme="majorHAnsi"/>
                <w:b/>
                <w:sz w:val="16"/>
                <w:szCs w:val="16"/>
                <w:lang w:val="ro-MD"/>
              </w:rPr>
              <w:t xml:space="preserve"> dintre</w:t>
            </w:r>
          </w:p>
          <w:p w14:paraId="1AD03A06" w14:textId="41776C7A" w:rsidR="00195FD0" w:rsidRPr="009E5B39" w:rsidRDefault="00195FD0" w:rsidP="007102DC">
            <w:pPr>
              <w:tabs>
                <w:tab w:val="left" w:pos="166"/>
              </w:tabs>
              <w:spacing w:after="0" w:line="240" w:lineRule="auto"/>
              <w:ind w:hanging="4"/>
              <w:contextualSpacing/>
              <w:jc w:val="center"/>
              <w:rPr>
                <w:rFonts w:asciiTheme="majorHAnsi" w:eastAsia="Calibri" w:hAnsiTheme="majorHAnsi" w:cstheme="majorHAnsi"/>
                <w:b/>
                <w:sz w:val="16"/>
                <w:szCs w:val="16"/>
                <w:lang w:val="ro-MD"/>
              </w:rPr>
            </w:pPr>
            <w:r w:rsidRPr="009E5B39">
              <w:rPr>
                <w:rFonts w:asciiTheme="majorHAnsi" w:eastAsia="Calibri" w:hAnsiTheme="majorHAnsi" w:cstheme="majorHAnsi"/>
                <w:b/>
                <w:sz w:val="16"/>
                <w:szCs w:val="16"/>
                <w:lang w:val="ro-MD"/>
              </w:rPr>
              <w:t>F</w:t>
            </w:r>
            <w:r w:rsidR="007550CE" w:rsidRPr="009E5B39">
              <w:rPr>
                <w:rFonts w:asciiTheme="majorHAnsi" w:eastAsia="Calibri" w:hAnsiTheme="majorHAnsi" w:cstheme="majorHAnsi"/>
                <w:b/>
                <w:sz w:val="16"/>
                <w:szCs w:val="16"/>
                <w:lang w:val="ro-MD"/>
              </w:rPr>
              <w:t>D</w:t>
            </w:r>
            <w:r w:rsidRPr="009E5B39">
              <w:rPr>
                <w:rFonts w:asciiTheme="majorHAnsi" w:eastAsia="Calibri" w:hAnsiTheme="majorHAnsi" w:cstheme="majorHAnsi"/>
                <w:b/>
                <w:sz w:val="16"/>
                <w:szCs w:val="16"/>
                <w:lang w:val="ro-MD"/>
              </w:rPr>
              <w:t>-044 și SI</w:t>
            </w:r>
          </w:p>
        </w:tc>
      </w:tr>
      <w:tr w:rsidR="00195FD0" w:rsidRPr="009E5B39" w14:paraId="71A7E6CE" w14:textId="77777777" w:rsidTr="0026150B">
        <w:trPr>
          <w:trHeight w:val="47"/>
        </w:trPr>
        <w:tc>
          <w:tcPr>
            <w:tcW w:w="726" w:type="dxa"/>
            <w:vMerge/>
            <w:shd w:val="clear" w:color="auto" w:fill="auto"/>
            <w:noWrap/>
            <w:vAlign w:val="center"/>
          </w:tcPr>
          <w:p w14:paraId="0186A46F" w14:textId="77777777" w:rsidR="00195FD0" w:rsidRPr="009E5B39" w:rsidRDefault="00195FD0" w:rsidP="00D32382">
            <w:pPr>
              <w:tabs>
                <w:tab w:val="left" w:pos="166"/>
              </w:tabs>
              <w:spacing w:after="0" w:line="240" w:lineRule="auto"/>
              <w:ind w:hanging="4"/>
              <w:contextualSpacing/>
              <w:jc w:val="center"/>
              <w:rPr>
                <w:rFonts w:asciiTheme="majorHAnsi" w:eastAsia="Calibri" w:hAnsiTheme="majorHAnsi" w:cstheme="majorHAnsi"/>
                <w:sz w:val="16"/>
                <w:szCs w:val="16"/>
                <w:lang w:val="ro-MD"/>
              </w:rPr>
            </w:pPr>
          </w:p>
        </w:tc>
        <w:tc>
          <w:tcPr>
            <w:tcW w:w="781" w:type="dxa"/>
            <w:vMerge/>
            <w:vAlign w:val="center"/>
          </w:tcPr>
          <w:p w14:paraId="255ED978"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p>
        </w:tc>
        <w:tc>
          <w:tcPr>
            <w:tcW w:w="1310" w:type="dxa"/>
            <w:vMerge/>
            <w:shd w:val="clear" w:color="auto" w:fill="auto"/>
            <w:noWrap/>
            <w:vAlign w:val="center"/>
          </w:tcPr>
          <w:p w14:paraId="42C98B57"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p>
        </w:tc>
        <w:tc>
          <w:tcPr>
            <w:tcW w:w="1998" w:type="dxa"/>
            <w:vMerge/>
            <w:vAlign w:val="center"/>
          </w:tcPr>
          <w:p w14:paraId="48F3572B" w14:textId="77777777" w:rsidR="00195FD0" w:rsidRPr="009E5B39" w:rsidRDefault="00195FD0" w:rsidP="00D32382">
            <w:pPr>
              <w:tabs>
                <w:tab w:val="left" w:pos="0"/>
              </w:tabs>
              <w:spacing w:after="0"/>
              <w:ind w:left="90"/>
              <w:contextualSpacing/>
              <w:jc w:val="both"/>
              <w:rPr>
                <w:rFonts w:asciiTheme="majorHAnsi" w:eastAsia="Calibri" w:hAnsiTheme="majorHAnsi" w:cstheme="majorHAnsi"/>
                <w:b/>
                <w:sz w:val="16"/>
                <w:szCs w:val="16"/>
                <w:lang w:val="ro-MD"/>
              </w:rPr>
            </w:pPr>
          </w:p>
        </w:tc>
        <w:tc>
          <w:tcPr>
            <w:tcW w:w="910" w:type="dxa"/>
          </w:tcPr>
          <w:p w14:paraId="3A63E496" w14:textId="77777777" w:rsidR="00195FD0" w:rsidRPr="009E5B39" w:rsidRDefault="00195FD0" w:rsidP="00D32382">
            <w:pPr>
              <w:tabs>
                <w:tab w:val="left" w:pos="0"/>
              </w:tabs>
              <w:spacing w:after="0"/>
              <w:ind w:left="90"/>
              <w:contextualSpacing/>
              <w:jc w:val="both"/>
              <w:rPr>
                <w:rFonts w:asciiTheme="majorHAnsi" w:eastAsia="Calibri" w:hAnsiTheme="majorHAnsi" w:cstheme="majorHAnsi"/>
                <w:b/>
                <w:sz w:val="16"/>
                <w:szCs w:val="16"/>
                <w:lang w:val="ro-MD"/>
              </w:rPr>
            </w:pPr>
            <w:r w:rsidRPr="009E5B39">
              <w:rPr>
                <w:rFonts w:asciiTheme="majorHAnsi" w:eastAsia="Calibri" w:hAnsiTheme="majorHAnsi" w:cstheme="majorHAnsi"/>
                <w:b/>
                <w:sz w:val="16"/>
                <w:szCs w:val="16"/>
                <w:lang w:val="ro-MD"/>
              </w:rPr>
              <w:t xml:space="preserve">Calculat </w:t>
            </w:r>
          </w:p>
        </w:tc>
        <w:tc>
          <w:tcPr>
            <w:tcW w:w="976" w:type="dxa"/>
            <w:shd w:val="clear" w:color="auto" w:fill="auto"/>
            <w:noWrap/>
          </w:tcPr>
          <w:p w14:paraId="254531C6" w14:textId="77777777" w:rsidR="00195FD0" w:rsidRPr="009E5B39" w:rsidRDefault="00195FD0" w:rsidP="00D32382">
            <w:pPr>
              <w:tabs>
                <w:tab w:val="left" w:pos="0"/>
              </w:tabs>
              <w:spacing w:after="0"/>
              <w:ind w:left="90"/>
              <w:contextualSpacing/>
              <w:jc w:val="both"/>
              <w:rPr>
                <w:rFonts w:asciiTheme="majorHAnsi" w:eastAsia="Calibri" w:hAnsiTheme="majorHAnsi" w:cstheme="majorHAnsi"/>
                <w:b/>
                <w:sz w:val="16"/>
                <w:szCs w:val="16"/>
                <w:lang w:val="ro-MD"/>
              </w:rPr>
            </w:pPr>
            <w:r w:rsidRPr="009E5B39">
              <w:rPr>
                <w:rFonts w:asciiTheme="majorHAnsi" w:eastAsia="Calibri" w:hAnsiTheme="majorHAnsi" w:cstheme="majorHAnsi"/>
                <w:b/>
                <w:sz w:val="16"/>
                <w:szCs w:val="16"/>
                <w:lang w:val="ro-MD"/>
              </w:rPr>
              <w:t>Achitat</w:t>
            </w:r>
          </w:p>
        </w:tc>
        <w:tc>
          <w:tcPr>
            <w:tcW w:w="1374" w:type="dxa"/>
            <w:vMerge/>
            <w:shd w:val="clear" w:color="auto" w:fill="auto"/>
            <w:noWrap/>
            <w:vAlign w:val="center"/>
          </w:tcPr>
          <w:p w14:paraId="6A934641"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p>
        </w:tc>
        <w:tc>
          <w:tcPr>
            <w:tcW w:w="1276" w:type="dxa"/>
            <w:vMerge/>
            <w:vAlign w:val="center"/>
          </w:tcPr>
          <w:p w14:paraId="2EFB16D6" w14:textId="77777777" w:rsidR="00195FD0" w:rsidRPr="009E5B39" w:rsidRDefault="00195FD0" w:rsidP="00D32382">
            <w:pPr>
              <w:tabs>
                <w:tab w:val="left" w:pos="166"/>
              </w:tabs>
              <w:spacing w:after="0" w:line="240" w:lineRule="auto"/>
              <w:ind w:hanging="4"/>
              <w:contextualSpacing/>
              <w:jc w:val="center"/>
              <w:rPr>
                <w:rFonts w:asciiTheme="majorHAnsi" w:eastAsia="Calibri" w:hAnsiTheme="majorHAnsi" w:cstheme="majorHAnsi"/>
                <w:sz w:val="16"/>
                <w:szCs w:val="16"/>
                <w:lang w:val="ro-MD"/>
              </w:rPr>
            </w:pPr>
          </w:p>
        </w:tc>
      </w:tr>
      <w:tr w:rsidR="00195FD0" w:rsidRPr="009E5B39" w14:paraId="623DF9C3" w14:textId="77777777" w:rsidTr="0026150B">
        <w:trPr>
          <w:trHeight w:val="255"/>
        </w:trPr>
        <w:tc>
          <w:tcPr>
            <w:tcW w:w="726" w:type="dxa"/>
            <w:vMerge w:val="restart"/>
            <w:shd w:val="clear" w:color="auto" w:fill="auto"/>
            <w:noWrap/>
            <w:vAlign w:val="center"/>
          </w:tcPr>
          <w:p w14:paraId="514E6F96" w14:textId="77777777" w:rsidR="00195FD0" w:rsidRPr="009E5B39" w:rsidRDefault="00195FD0" w:rsidP="00D32382">
            <w:pPr>
              <w:tabs>
                <w:tab w:val="left" w:pos="166"/>
              </w:tabs>
              <w:spacing w:after="0" w:line="240" w:lineRule="auto"/>
              <w:ind w:hanging="4"/>
              <w:contextualSpacing/>
              <w:jc w:val="center"/>
              <w:rPr>
                <w:rFonts w:asciiTheme="majorHAnsi" w:eastAsia="Calibri" w:hAnsiTheme="majorHAnsi" w:cstheme="majorHAnsi"/>
                <w:sz w:val="16"/>
                <w:szCs w:val="16"/>
                <w:lang w:val="ro-MD"/>
              </w:rPr>
            </w:pPr>
            <w:r w:rsidRPr="009E5B39">
              <w:rPr>
                <w:rFonts w:asciiTheme="majorHAnsi" w:eastAsia="Calibri" w:hAnsiTheme="majorHAnsi" w:cstheme="majorHAnsi"/>
                <w:sz w:val="16"/>
                <w:szCs w:val="16"/>
                <w:lang w:val="ro-MD"/>
              </w:rPr>
              <w:t>141532</w:t>
            </w:r>
          </w:p>
        </w:tc>
        <w:tc>
          <w:tcPr>
            <w:tcW w:w="781" w:type="dxa"/>
            <w:vAlign w:val="center"/>
          </w:tcPr>
          <w:p w14:paraId="491BA5FB"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eastAsia="Calibri" w:hAnsiTheme="majorHAnsi" w:cstheme="majorHAnsi"/>
                <w:sz w:val="16"/>
                <w:szCs w:val="16"/>
                <w:lang w:val="ro-MD"/>
              </w:rPr>
              <w:t>2018</w:t>
            </w:r>
          </w:p>
        </w:tc>
        <w:tc>
          <w:tcPr>
            <w:tcW w:w="1310" w:type="dxa"/>
            <w:shd w:val="clear" w:color="auto" w:fill="auto"/>
            <w:noWrap/>
            <w:vAlign w:val="center"/>
          </w:tcPr>
          <w:p w14:paraId="44BB7BE1"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eastAsia="Calibri" w:hAnsiTheme="majorHAnsi" w:cstheme="majorHAnsi"/>
                <w:sz w:val="16"/>
                <w:szCs w:val="16"/>
                <w:lang w:val="ro-MD"/>
              </w:rPr>
              <w:t>25237,17</w:t>
            </w:r>
          </w:p>
        </w:tc>
        <w:tc>
          <w:tcPr>
            <w:tcW w:w="1998" w:type="dxa"/>
            <w:vAlign w:val="center"/>
          </w:tcPr>
          <w:p w14:paraId="678C3D94" w14:textId="77777777" w:rsidR="00195FD0" w:rsidRPr="009E5B39" w:rsidRDefault="00195FD0" w:rsidP="00D32382">
            <w:pPr>
              <w:tabs>
                <w:tab w:val="left" w:pos="166"/>
              </w:tabs>
              <w:spacing w:after="0" w:line="240" w:lineRule="auto"/>
              <w:ind w:left="90" w:hanging="4"/>
              <w:contextualSpacing/>
              <w:jc w:val="center"/>
              <w:rPr>
                <w:rFonts w:asciiTheme="majorHAnsi" w:hAnsiTheme="majorHAnsi" w:cstheme="majorHAnsi"/>
                <w:sz w:val="16"/>
                <w:szCs w:val="16"/>
                <w:lang w:val="ro-MD"/>
              </w:rPr>
            </w:pPr>
            <w:r w:rsidRPr="009E5B39">
              <w:rPr>
                <w:rFonts w:asciiTheme="majorHAnsi" w:eastAsia="Calibri" w:hAnsiTheme="majorHAnsi" w:cstheme="majorHAnsi"/>
                <w:sz w:val="16"/>
                <w:szCs w:val="16"/>
                <w:lang w:val="ro-MD"/>
              </w:rPr>
              <w:t>25443,11</w:t>
            </w:r>
            <w:r w:rsidRPr="009E5B39">
              <w:rPr>
                <w:rFonts w:asciiTheme="majorHAnsi" w:eastAsia="Calibri" w:hAnsiTheme="majorHAnsi" w:cstheme="majorHAnsi"/>
                <w:sz w:val="16"/>
                <w:szCs w:val="16"/>
                <w:vertAlign w:val="superscript"/>
                <w:lang w:val="ro-MD"/>
              </w:rPr>
              <w:footnoteReference w:id="143"/>
            </w:r>
          </w:p>
        </w:tc>
        <w:tc>
          <w:tcPr>
            <w:tcW w:w="910" w:type="dxa"/>
            <w:vAlign w:val="bottom"/>
          </w:tcPr>
          <w:p w14:paraId="0A23449D"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hAnsiTheme="majorHAnsi" w:cstheme="majorHAnsi"/>
                <w:sz w:val="16"/>
                <w:szCs w:val="16"/>
                <w:lang w:val="ro-MD"/>
              </w:rPr>
              <w:t>27695,07</w:t>
            </w:r>
          </w:p>
        </w:tc>
        <w:tc>
          <w:tcPr>
            <w:tcW w:w="976" w:type="dxa"/>
            <w:shd w:val="clear" w:color="auto" w:fill="auto"/>
            <w:noWrap/>
            <w:vAlign w:val="bottom"/>
          </w:tcPr>
          <w:p w14:paraId="060BF974"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hAnsiTheme="majorHAnsi" w:cstheme="majorHAnsi"/>
                <w:sz w:val="16"/>
                <w:szCs w:val="16"/>
                <w:lang w:val="ro-MD"/>
              </w:rPr>
              <w:t>22485,32</w:t>
            </w:r>
          </w:p>
        </w:tc>
        <w:tc>
          <w:tcPr>
            <w:tcW w:w="1374" w:type="dxa"/>
            <w:shd w:val="clear" w:color="auto" w:fill="auto"/>
            <w:noWrap/>
            <w:vAlign w:val="center"/>
          </w:tcPr>
          <w:p w14:paraId="146D9662"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eastAsia="Calibri" w:hAnsiTheme="majorHAnsi" w:cstheme="majorHAnsi"/>
                <w:sz w:val="16"/>
                <w:szCs w:val="16"/>
                <w:lang w:val="ro-MD"/>
              </w:rPr>
              <w:t>-205,94</w:t>
            </w:r>
          </w:p>
        </w:tc>
        <w:tc>
          <w:tcPr>
            <w:tcW w:w="1276" w:type="dxa"/>
            <w:vAlign w:val="center"/>
          </w:tcPr>
          <w:p w14:paraId="4B2EECC4" w14:textId="77777777" w:rsidR="00195FD0" w:rsidRPr="009E5B39" w:rsidRDefault="00195FD0" w:rsidP="00D32382">
            <w:pPr>
              <w:tabs>
                <w:tab w:val="left" w:pos="166"/>
              </w:tabs>
              <w:spacing w:after="0" w:line="240" w:lineRule="auto"/>
              <w:ind w:hanging="4"/>
              <w:contextualSpacing/>
              <w:jc w:val="center"/>
              <w:rPr>
                <w:rFonts w:asciiTheme="majorHAnsi" w:eastAsia="Calibri" w:hAnsiTheme="majorHAnsi" w:cstheme="majorHAnsi"/>
                <w:sz w:val="16"/>
                <w:szCs w:val="16"/>
                <w:lang w:val="ro-MD"/>
              </w:rPr>
            </w:pPr>
            <w:r w:rsidRPr="009E5B39">
              <w:rPr>
                <w:rFonts w:asciiTheme="majorHAnsi" w:eastAsia="Calibri" w:hAnsiTheme="majorHAnsi" w:cstheme="majorHAnsi"/>
                <w:sz w:val="16"/>
                <w:szCs w:val="16"/>
                <w:lang w:val="ro-MD"/>
              </w:rPr>
              <w:t>2751,83</w:t>
            </w:r>
          </w:p>
        </w:tc>
      </w:tr>
      <w:tr w:rsidR="00195FD0" w:rsidRPr="009E5B39" w14:paraId="6F7F3763" w14:textId="77777777" w:rsidTr="0026150B">
        <w:trPr>
          <w:trHeight w:val="255"/>
        </w:trPr>
        <w:tc>
          <w:tcPr>
            <w:tcW w:w="726" w:type="dxa"/>
            <w:vMerge/>
            <w:shd w:val="clear" w:color="auto" w:fill="auto"/>
            <w:noWrap/>
            <w:vAlign w:val="center"/>
            <w:hideMark/>
          </w:tcPr>
          <w:p w14:paraId="7EA39084"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p>
        </w:tc>
        <w:tc>
          <w:tcPr>
            <w:tcW w:w="781" w:type="dxa"/>
            <w:vAlign w:val="center"/>
          </w:tcPr>
          <w:p w14:paraId="63EC209F"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eastAsia="Calibri" w:hAnsiTheme="majorHAnsi" w:cstheme="majorHAnsi"/>
                <w:sz w:val="16"/>
                <w:szCs w:val="16"/>
                <w:lang w:val="ro-MD"/>
              </w:rPr>
              <w:t>2019</w:t>
            </w:r>
          </w:p>
        </w:tc>
        <w:tc>
          <w:tcPr>
            <w:tcW w:w="1310" w:type="dxa"/>
            <w:shd w:val="clear" w:color="auto" w:fill="auto"/>
            <w:noWrap/>
            <w:vAlign w:val="center"/>
          </w:tcPr>
          <w:p w14:paraId="74AC5996"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eastAsia="Calibri" w:hAnsiTheme="majorHAnsi" w:cstheme="majorHAnsi"/>
                <w:sz w:val="16"/>
                <w:szCs w:val="16"/>
                <w:lang w:val="ro-MD"/>
              </w:rPr>
              <w:t>31759,92</w:t>
            </w:r>
          </w:p>
        </w:tc>
        <w:tc>
          <w:tcPr>
            <w:tcW w:w="1998" w:type="dxa"/>
            <w:vAlign w:val="center"/>
          </w:tcPr>
          <w:p w14:paraId="12F5C9EE" w14:textId="77777777" w:rsidR="00195FD0" w:rsidRPr="009E5B39" w:rsidRDefault="00195FD0" w:rsidP="00D32382">
            <w:pPr>
              <w:tabs>
                <w:tab w:val="left" w:pos="166"/>
              </w:tabs>
              <w:spacing w:after="0" w:line="240" w:lineRule="auto"/>
              <w:ind w:left="90" w:hanging="4"/>
              <w:contextualSpacing/>
              <w:jc w:val="center"/>
              <w:rPr>
                <w:rFonts w:asciiTheme="majorHAnsi" w:hAnsiTheme="majorHAnsi" w:cstheme="majorHAnsi"/>
                <w:sz w:val="16"/>
                <w:szCs w:val="16"/>
                <w:lang w:val="ro-MD"/>
              </w:rPr>
            </w:pPr>
            <w:r w:rsidRPr="009E5B39">
              <w:rPr>
                <w:rFonts w:asciiTheme="majorHAnsi" w:eastAsia="Calibri" w:hAnsiTheme="majorHAnsi" w:cstheme="majorHAnsi"/>
                <w:sz w:val="16"/>
                <w:szCs w:val="16"/>
                <w:lang w:val="ro-MD"/>
              </w:rPr>
              <w:t>31781,55</w:t>
            </w:r>
          </w:p>
        </w:tc>
        <w:tc>
          <w:tcPr>
            <w:tcW w:w="910" w:type="dxa"/>
            <w:vAlign w:val="bottom"/>
          </w:tcPr>
          <w:p w14:paraId="7A505B71"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hAnsiTheme="majorHAnsi" w:cstheme="majorHAnsi"/>
                <w:sz w:val="16"/>
                <w:szCs w:val="16"/>
                <w:lang w:val="ro-MD"/>
              </w:rPr>
              <w:t>24749,41</w:t>
            </w:r>
          </w:p>
        </w:tc>
        <w:tc>
          <w:tcPr>
            <w:tcW w:w="976" w:type="dxa"/>
            <w:shd w:val="clear" w:color="auto" w:fill="auto"/>
            <w:noWrap/>
            <w:vAlign w:val="bottom"/>
          </w:tcPr>
          <w:p w14:paraId="77D0EFCA"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hAnsiTheme="majorHAnsi" w:cstheme="majorHAnsi"/>
                <w:sz w:val="16"/>
                <w:szCs w:val="16"/>
                <w:lang w:val="ro-MD"/>
              </w:rPr>
              <w:t>21967,82</w:t>
            </w:r>
          </w:p>
        </w:tc>
        <w:tc>
          <w:tcPr>
            <w:tcW w:w="1374" w:type="dxa"/>
            <w:shd w:val="clear" w:color="auto" w:fill="auto"/>
            <w:noWrap/>
            <w:vAlign w:val="center"/>
          </w:tcPr>
          <w:p w14:paraId="258C0E66"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eastAsia="Calibri" w:hAnsiTheme="majorHAnsi" w:cstheme="majorHAnsi"/>
                <w:sz w:val="16"/>
                <w:szCs w:val="16"/>
                <w:lang w:val="ro-MD"/>
              </w:rPr>
              <w:t>-22,35</w:t>
            </w:r>
          </w:p>
        </w:tc>
        <w:tc>
          <w:tcPr>
            <w:tcW w:w="1276" w:type="dxa"/>
            <w:vAlign w:val="center"/>
          </w:tcPr>
          <w:p w14:paraId="091115D5" w14:textId="77777777" w:rsidR="00195FD0" w:rsidRPr="009E5B39" w:rsidRDefault="00195FD0" w:rsidP="00D32382">
            <w:pPr>
              <w:tabs>
                <w:tab w:val="left" w:pos="166"/>
              </w:tabs>
              <w:spacing w:after="0" w:line="240" w:lineRule="auto"/>
              <w:ind w:hanging="4"/>
              <w:contextualSpacing/>
              <w:jc w:val="center"/>
              <w:rPr>
                <w:rFonts w:asciiTheme="majorHAnsi" w:eastAsia="Calibri" w:hAnsiTheme="majorHAnsi" w:cstheme="majorHAnsi"/>
                <w:sz w:val="16"/>
                <w:szCs w:val="16"/>
                <w:lang w:val="ro-MD"/>
              </w:rPr>
            </w:pPr>
            <w:r w:rsidRPr="009E5B39">
              <w:rPr>
                <w:rFonts w:asciiTheme="majorHAnsi" w:eastAsia="Calibri" w:hAnsiTheme="majorHAnsi" w:cstheme="majorHAnsi"/>
                <w:sz w:val="16"/>
                <w:szCs w:val="16"/>
                <w:lang w:val="ro-MD"/>
              </w:rPr>
              <w:t>9792,09</w:t>
            </w:r>
          </w:p>
        </w:tc>
      </w:tr>
      <w:tr w:rsidR="00195FD0" w:rsidRPr="009E5B39" w14:paraId="04F2B5F8" w14:textId="77777777" w:rsidTr="0026150B">
        <w:trPr>
          <w:trHeight w:val="255"/>
        </w:trPr>
        <w:tc>
          <w:tcPr>
            <w:tcW w:w="726" w:type="dxa"/>
            <w:vMerge/>
            <w:shd w:val="clear" w:color="auto" w:fill="auto"/>
            <w:noWrap/>
            <w:vAlign w:val="center"/>
            <w:hideMark/>
          </w:tcPr>
          <w:p w14:paraId="7E7CB4D7"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p>
        </w:tc>
        <w:tc>
          <w:tcPr>
            <w:tcW w:w="781" w:type="dxa"/>
            <w:vAlign w:val="center"/>
          </w:tcPr>
          <w:p w14:paraId="1132A142"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eastAsia="Calibri" w:hAnsiTheme="majorHAnsi" w:cstheme="majorHAnsi"/>
                <w:sz w:val="16"/>
                <w:szCs w:val="16"/>
                <w:lang w:val="ro-MD"/>
              </w:rPr>
              <w:t>2020</w:t>
            </w:r>
          </w:p>
        </w:tc>
        <w:tc>
          <w:tcPr>
            <w:tcW w:w="1310" w:type="dxa"/>
            <w:shd w:val="clear" w:color="auto" w:fill="auto"/>
            <w:noWrap/>
            <w:vAlign w:val="center"/>
          </w:tcPr>
          <w:p w14:paraId="5E610BE9"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eastAsia="Calibri" w:hAnsiTheme="majorHAnsi" w:cstheme="majorHAnsi"/>
                <w:sz w:val="16"/>
                <w:szCs w:val="16"/>
                <w:lang w:val="ro-MD"/>
              </w:rPr>
              <w:t>26580,09</w:t>
            </w:r>
          </w:p>
        </w:tc>
        <w:tc>
          <w:tcPr>
            <w:tcW w:w="1998" w:type="dxa"/>
            <w:vAlign w:val="center"/>
          </w:tcPr>
          <w:p w14:paraId="4C12C68E" w14:textId="77777777" w:rsidR="00195FD0" w:rsidRPr="009E5B39" w:rsidRDefault="00195FD0" w:rsidP="00D32382">
            <w:pPr>
              <w:tabs>
                <w:tab w:val="left" w:pos="166"/>
              </w:tabs>
              <w:spacing w:after="0" w:line="240" w:lineRule="auto"/>
              <w:ind w:left="90" w:hanging="4"/>
              <w:contextualSpacing/>
              <w:jc w:val="center"/>
              <w:rPr>
                <w:rFonts w:asciiTheme="majorHAnsi" w:hAnsiTheme="majorHAnsi" w:cstheme="majorHAnsi"/>
                <w:sz w:val="16"/>
                <w:szCs w:val="16"/>
                <w:lang w:val="ro-MD"/>
              </w:rPr>
            </w:pPr>
            <w:r w:rsidRPr="009E5B39">
              <w:rPr>
                <w:rFonts w:asciiTheme="majorHAnsi" w:eastAsia="Calibri" w:hAnsiTheme="majorHAnsi" w:cstheme="majorHAnsi"/>
                <w:sz w:val="16"/>
                <w:szCs w:val="16"/>
                <w:lang w:val="ro-MD"/>
              </w:rPr>
              <w:t>26605,05</w:t>
            </w:r>
          </w:p>
        </w:tc>
        <w:tc>
          <w:tcPr>
            <w:tcW w:w="910" w:type="dxa"/>
            <w:vAlign w:val="bottom"/>
          </w:tcPr>
          <w:p w14:paraId="0758186C"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hAnsiTheme="majorHAnsi" w:cstheme="majorHAnsi"/>
                <w:sz w:val="16"/>
                <w:szCs w:val="16"/>
                <w:lang w:val="ro-MD"/>
              </w:rPr>
              <w:t>25956,65</w:t>
            </w:r>
          </w:p>
        </w:tc>
        <w:tc>
          <w:tcPr>
            <w:tcW w:w="976" w:type="dxa"/>
            <w:shd w:val="clear" w:color="auto" w:fill="auto"/>
            <w:noWrap/>
            <w:vAlign w:val="bottom"/>
          </w:tcPr>
          <w:p w14:paraId="59AD8AC0"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hAnsiTheme="majorHAnsi" w:cstheme="majorHAnsi"/>
                <w:sz w:val="16"/>
                <w:szCs w:val="16"/>
                <w:lang w:val="ro-MD"/>
              </w:rPr>
              <w:t>21543,91</w:t>
            </w:r>
          </w:p>
        </w:tc>
        <w:tc>
          <w:tcPr>
            <w:tcW w:w="1374" w:type="dxa"/>
            <w:shd w:val="clear" w:color="auto" w:fill="auto"/>
            <w:noWrap/>
            <w:vAlign w:val="center"/>
          </w:tcPr>
          <w:p w14:paraId="71B0C555" w14:textId="77777777" w:rsidR="00195FD0" w:rsidRPr="009E5B39" w:rsidRDefault="00195FD0" w:rsidP="00D32382">
            <w:pPr>
              <w:tabs>
                <w:tab w:val="left" w:pos="166"/>
              </w:tabs>
              <w:spacing w:after="0" w:line="240" w:lineRule="auto"/>
              <w:ind w:left="90" w:hanging="4"/>
              <w:contextualSpacing/>
              <w:jc w:val="center"/>
              <w:rPr>
                <w:rFonts w:asciiTheme="majorHAnsi" w:eastAsia="Calibri" w:hAnsiTheme="majorHAnsi" w:cstheme="majorHAnsi"/>
                <w:sz w:val="16"/>
                <w:szCs w:val="16"/>
                <w:lang w:val="ro-MD"/>
              </w:rPr>
            </w:pPr>
            <w:r w:rsidRPr="009E5B39">
              <w:rPr>
                <w:rFonts w:asciiTheme="majorHAnsi" w:eastAsia="Calibri" w:hAnsiTheme="majorHAnsi" w:cstheme="majorHAnsi"/>
                <w:sz w:val="16"/>
                <w:szCs w:val="16"/>
                <w:lang w:val="ro-MD"/>
              </w:rPr>
              <w:t>-24,96</w:t>
            </w:r>
          </w:p>
        </w:tc>
        <w:tc>
          <w:tcPr>
            <w:tcW w:w="1276" w:type="dxa"/>
            <w:vAlign w:val="center"/>
          </w:tcPr>
          <w:p w14:paraId="258F4910" w14:textId="77777777" w:rsidR="00195FD0" w:rsidRPr="009E5B39" w:rsidRDefault="00195FD0" w:rsidP="00D32382">
            <w:pPr>
              <w:tabs>
                <w:tab w:val="left" w:pos="166"/>
              </w:tabs>
              <w:spacing w:after="0" w:line="240" w:lineRule="auto"/>
              <w:ind w:hanging="4"/>
              <w:contextualSpacing/>
              <w:jc w:val="center"/>
              <w:rPr>
                <w:rFonts w:asciiTheme="majorHAnsi" w:eastAsia="Calibri" w:hAnsiTheme="majorHAnsi" w:cstheme="majorHAnsi"/>
                <w:sz w:val="16"/>
                <w:szCs w:val="16"/>
                <w:lang w:val="ro-MD"/>
              </w:rPr>
            </w:pPr>
            <w:r w:rsidRPr="009E5B39">
              <w:rPr>
                <w:rFonts w:asciiTheme="majorHAnsi" w:eastAsia="Calibri" w:hAnsiTheme="majorHAnsi" w:cstheme="majorHAnsi"/>
                <w:sz w:val="16"/>
                <w:szCs w:val="16"/>
                <w:lang w:val="ro-MD"/>
              </w:rPr>
              <w:t>5036,18</w:t>
            </w:r>
          </w:p>
        </w:tc>
      </w:tr>
    </w:tbl>
    <w:p w14:paraId="01502C6E" w14:textId="1A3E5A0C" w:rsidR="00195FD0" w:rsidRPr="009E5B39" w:rsidRDefault="00195FD0" w:rsidP="000D1457">
      <w:pPr>
        <w:pStyle w:val="ListParagraph"/>
        <w:numPr>
          <w:ilvl w:val="0"/>
          <w:numId w:val="92"/>
        </w:numPr>
        <w:spacing w:before="240" w:after="0" w:line="276" w:lineRule="auto"/>
        <w:ind w:left="0" w:firstLine="0"/>
        <w:jc w:val="both"/>
        <w:rPr>
          <w:rFonts w:asciiTheme="majorHAnsi" w:hAnsiTheme="majorHAnsi" w:cstheme="majorHAnsi"/>
          <w:b/>
          <w:sz w:val="24"/>
          <w:szCs w:val="24"/>
          <w:lang w:val="ro-MD"/>
        </w:rPr>
      </w:pPr>
      <w:r w:rsidRPr="009E5B39">
        <w:rPr>
          <w:rFonts w:asciiTheme="majorHAnsi" w:hAnsiTheme="majorHAnsi" w:cstheme="majorHAnsi"/>
          <w:b/>
          <w:sz w:val="24"/>
          <w:szCs w:val="24"/>
          <w:lang w:val="ro-MD"/>
        </w:rPr>
        <w:t xml:space="preserve">Sistemul informațional de evidență a contractelor de vânzare-cumpărare a terenurilor, administrat de către DGAURF,  nu asigură evidența conformă și veridică, generând date eronate și neautentice. </w:t>
      </w:r>
      <w:r w:rsidRPr="009E5B39">
        <w:rPr>
          <w:rFonts w:asciiTheme="majorHAnsi" w:hAnsiTheme="majorHAnsi" w:cstheme="majorHAnsi"/>
          <w:sz w:val="24"/>
          <w:szCs w:val="24"/>
          <w:lang w:val="ro-MD"/>
        </w:rPr>
        <w:t>Auditul a stabilit diferențe semnificative între datele generate de SI și datele raportate în Raportul privind executarea bugetului (</w:t>
      </w:r>
      <w:r w:rsidR="007550CE" w:rsidRPr="009E5B39">
        <w:rPr>
          <w:rFonts w:asciiTheme="majorHAnsi" w:hAnsiTheme="majorHAnsi" w:cstheme="majorHAnsi"/>
          <w:sz w:val="24"/>
          <w:szCs w:val="24"/>
          <w:lang w:val="ro-MD"/>
        </w:rPr>
        <w:t>F</w:t>
      </w:r>
      <w:r w:rsidRPr="009E5B39">
        <w:rPr>
          <w:rFonts w:asciiTheme="majorHAnsi" w:hAnsiTheme="majorHAnsi" w:cstheme="majorHAnsi"/>
          <w:sz w:val="24"/>
          <w:szCs w:val="24"/>
          <w:lang w:val="ro-MD"/>
        </w:rPr>
        <w:t>orma FD-044).</w:t>
      </w:r>
      <w:r w:rsidRPr="009E5B39">
        <w:rPr>
          <w:rFonts w:asciiTheme="majorHAnsi" w:eastAsia="Times New Roman" w:hAnsiTheme="majorHAnsi" w:cstheme="majorHAnsi"/>
          <w:sz w:val="24"/>
          <w:szCs w:val="24"/>
          <w:lang w:val="ro-MD"/>
        </w:rPr>
        <w:t xml:space="preserve"> </w:t>
      </w:r>
    </w:p>
    <w:p w14:paraId="7BC52331" w14:textId="77777777" w:rsidR="00195FD0" w:rsidRPr="009E5B39" w:rsidRDefault="00195FD0" w:rsidP="00195FD0">
      <w:pPr>
        <w:spacing w:after="0"/>
        <w:ind w:left="284"/>
        <w:contextualSpacing/>
        <w:jc w:val="right"/>
        <w:rPr>
          <w:rFonts w:asciiTheme="majorHAnsi" w:hAnsiTheme="majorHAnsi" w:cstheme="majorHAnsi"/>
          <w:b/>
          <w:i/>
          <w:sz w:val="24"/>
          <w:szCs w:val="24"/>
          <w:lang w:val="ro-MD"/>
        </w:rPr>
      </w:pPr>
      <w:r w:rsidRPr="009E5B39">
        <w:rPr>
          <w:rFonts w:asciiTheme="majorHAnsi" w:eastAsia="Times New Roman" w:hAnsiTheme="majorHAnsi" w:cstheme="majorHAnsi"/>
          <w:i/>
          <w:sz w:val="24"/>
          <w:szCs w:val="24"/>
          <w:lang w:val="ro-MD"/>
        </w:rPr>
        <w:t>mii lei</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276"/>
        <w:gridCol w:w="1134"/>
        <w:gridCol w:w="1088"/>
        <w:gridCol w:w="993"/>
        <w:gridCol w:w="896"/>
        <w:gridCol w:w="1166"/>
        <w:gridCol w:w="1006"/>
        <w:gridCol w:w="1088"/>
      </w:tblGrid>
      <w:tr w:rsidR="00195FD0" w:rsidRPr="009E5B39" w14:paraId="38DBA691" w14:textId="77777777" w:rsidTr="0026150B">
        <w:trPr>
          <w:trHeight w:val="389"/>
        </w:trPr>
        <w:tc>
          <w:tcPr>
            <w:tcW w:w="709" w:type="dxa"/>
          </w:tcPr>
          <w:p w14:paraId="54E40796" w14:textId="77777777" w:rsidR="00195FD0" w:rsidRPr="009E5B39" w:rsidRDefault="00195FD0" w:rsidP="00D32382">
            <w:pPr>
              <w:spacing w:after="0" w:line="240" w:lineRule="auto"/>
              <w:rPr>
                <w:rFonts w:asciiTheme="majorHAnsi" w:eastAsia="Times New Roman" w:hAnsiTheme="majorHAnsi" w:cstheme="majorHAnsi"/>
                <w:b/>
                <w:sz w:val="20"/>
                <w:szCs w:val="20"/>
                <w:lang w:val="ro-MD"/>
              </w:rPr>
            </w:pPr>
            <w:r w:rsidRPr="009E5B39">
              <w:rPr>
                <w:rFonts w:asciiTheme="majorHAnsi" w:eastAsia="Times New Roman" w:hAnsiTheme="majorHAnsi" w:cstheme="majorHAnsi"/>
                <w:b/>
                <w:sz w:val="20"/>
                <w:szCs w:val="20"/>
                <w:lang w:val="ro-MD"/>
              </w:rPr>
              <w:t>Anul</w:t>
            </w:r>
          </w:p>
        </w:tc>
        <w:tc>
          <w:tcPr>
            <w:tcW w:w="1276" w:type="dxa"/>
          </w:tcPr>
          <w:p w14:paraId="4B03E361" w14:textId="77777777" w:rsidR="00195FD0" w:rsidRPr="009E5B39" w:rsidRDefault="00195FD0" w:rsidP="00D32382">
            <w:pPr>
              <w:spacing w:after="0" w:line="240" w:lineRule="auto"/>
              <w:jc w:val="center"/>
              <w:rPr>
                <w:rFonts w:asciiTheme="majorHAnsi" w:eastAsia="Times New Roman" w:hAnsiTheme="majorHAnsi" w:cstheme="majorHAnsi"/>
                <w:b/>
                <w:sz w:val="20"/>
                <w:szCs w:val="20"/>
                <w:lang w:val="ro-MD"/>
              </w:rPr>
            </w:pPr>
            <w:r w:rsidRPr="009E5B39">
              <w:rPr>
                <w:rFonts w:asciiTheme="majorHAnsi" w:eastAsia="Times New Roman" w:hAnsiTheme="majorHAnsi" w:cstheme="majorHAnsi"/>
                <w:b/>
                <w:sz w:val="20"/>
                <w:szCs w:val="20"/>
                <w:lang w:val="ro-MD"/>
              </w:rPr>
              <w:t>Nr.</w:t>
            </w:r>
          </w:p>
          <w:p w14:paraId="6F36CA91" w14:textId="6A0D59F2" w:rsidR="00195FD0" w:rsidRPr="009E5B39" w:rsidRDefault="005E56D9" w:rsidP="00D32382">
            <w:pPr>
              <w:spacing w:after="0" w:line="240" w:lineRule="auto"/>
              <w:jc w:val="center"/>
              <w:rPr>
                <w:rFonts w:asciiTheme="majorHAnsi" w:eastAsia="Times New Roman" w:hAnsiTheme="majorHAnsi" w:cstheme="majorHAnsi"/>
                <w:b/>
                <w:sz w:val="20"/>
                <w:szCs w:val="20"/>
                <w:lang w:val="ro-MD"/>
              </w:rPr>
            </w:pPr>
            <w:r w:rsidRPr="009E5B39">
              <w:rPr>
                <w:rFonts w:asciiTheme="majorHAnsi" w:eastAsia="Times New Roman" w:hAnsiTheme="majorHAnsi" w:cstheme="majorHAnsi"/>
                <w:b/>
                <w:sz w:val="20"/>
                <w:szCs w:val="20"/>
                <w:lang w:val="ro-MD"/>
              </w:rPr>
              <w:t>C</w:t>
            </w:r>
            <w:r w:rsidR="00195FD0" w:rsidRPr="009E5B39">
              <w:rPr>
                <w:rFonts w:asciiTheme="majorHAnsi" w:eastAsia="Times New Roman" w:hAnsiTheme="majorHAnsi" w:cstheme="majorHAnsi"/>
                <w:b/>
                <w:sz w:val="20"/>
                <w:szCs w:val="20"/>
                <w:lang w:val="ro-MD"/>
              </w:rPr>
              <w:t>ontractelor</w:t>
            </w:r>
          </w:p>
        </w:tc>
        <w:tc>
          <w:tcPr>
            <w:tcW w:w="1134" w:type="dxa"/>
          </w:tcPr>
          <w:p w14:paraId="2405FDB6" w14:textId="77777777" w:rsidR="00195FD0" w:rsidRPr="009E5B39" w:rsidRDefault="00195FD0" w:rsidP="00D32382">
            <w:pPr>
              <w:spacing w:after="0" w:line="240" w:lineRule="auto"/>
              <w:jc w:val="center"/>
              <w:rPr>
                <w:rFonts w:asciiTheme="majorHAnsi" w:eastAsia="Times New Roman" w:hAnsiTheme="majorHAnsi" w:cstheme="majorHAnsi"/>
                <w:b/>
                <w:sz w:val="20"/>
                <w:szCs w:val="20"/>
                <w:lang w:val="ro-MD"/>
              </w:rPr>
            </w:pPr>
            <w:r w:rsidRPr="009E5B39">
              <w:rPr>
                <w:rFonts w:asciiTheme="majorHAnsi" w:eastAsia="Times New Roman" w:hAnsiTheme="majorHAnsi" w:cstheme="majorHAnsi"/>
                <w:b/>
                <w:sz w:val="20"/>
                <w:szCs w:val="20"/>
                <w:lang w:val="ro-MD"/>
              </w:rPr>
              <w:t>Suprafața</w:t>
            </w:r>
          </w:p>
        </w:tc>
        <w:tc>
          <w:tcPr>
            <w:tcW w:w="1088" w:type="dxa"/>
          </w:tcPr>
          <w:p w14:paraId="14E2EB4A" w14:textId="77777777" w:rsidR="00195FD0" w:rsidRPr="009E5B39" w:rsidRDefault="00195FD0" w:rsidP="00D32382">
            <w:pPr>
              <w:spacing w:after="0" w:line="240" w:lineRule="auto"/>
              <w:jc w:val="center"/>
              <w:rPr>
                <w:rFonts w:asciiTheme="majorHAnsi" w:eastAsia="Times New Roman" w:hAnsiTheme="majorHAnsi" w:cstheme="majorHAnsi"/>
                <w:b/>
                <w:sz w:val="20"/>
                <w:szCs w:val="20"/>
                <w:lang w:val="ro-MD"/>
              </w:rPr>
            </w:pPr>
            <w:r w:rsidRPr="009E5B39">
              <w:rPr>
                <w:rFonts w:asciiTheme="majorHAnsi" w:eastAsia="Times New Roman" w:hAnsiTheme="majorHAnsi" w:cstheme="majorHAnsi"/>
                <w:b/>
                <w:sz w:val="20"/>
                <w:szCs w:val="20"/>
                <w:lang w:val="ro-MD"/>
              </w:rPr>
              <w:t>Creanțe,</w:t>
            </w:r>
          </w:p>
          <w:p w14:paraId="606923E3" w14:textId="77777777" w:rsidR="00195FD0" w:rsidRPr="009E5B39" w:rsidRDefault="00195FD0" w:rsidP="00D32382">
            <w:pPr>
              <w:spacing w:after="0" w:line="240" w:lineRule="auto"/>
              <w:jc w:val="center"/>
              <w:rPr>
                <w:rFonts w:asciiTheme="majorHAnsi" w:eastAsia="Times New Roman" w:hAnsiTheme="majorHAnsi" w:cstheme="majorHAnsi"/>
                <w:b/>
                <w:sz w:val="20"/>
                <w:szCs w:val="20"/>
                <w:lang w:val="ro-MD"/>
              </w:rPr>
            </w:pPr>
            <w:r w:rsidRPr="009E5B39">
              <w:rPr>
                <w:rFonts w:asciiTheme="majorHAnsi" w:eastAsia="Times New Roman" w:hAnsiTheme="majorHAnsi" w:cstheme="majorHAnsi"/>
                <w:b/>
                <w:sz w:val="20"/>
                <w:szCs w:val="20"/>
                <w:lang w:val="ro-MD"/>
              </w:rPr>
              <w:t>sold inițial</w:t>
            </w:r>
          </w:p>
        </w:tc>
        <w:tc>
          <w:tcPr>
            <w:tcW w:w="993" w:type="dxa"/>
          </w:tcPr>
          <w:p w14:paraId="3C92A989" w14:textId="77777777" w:rsidR="00195FD0" w:rsidRPr="009E5B39" w:rsidRDefault="00195FD0" w:rsidP="00D32382">
            <w:pPr>
              <w:spacing w:after="0" w:line="240" w:lineRule="auto"/>
              <w:jc w:val="center"/>
              <w:rPr>
                <w:rFonts w:asciiTheme="majorHAnsi" w:eastAsia="Times New Roman" w:hAnsiTheme="majorHAnsi" w:cstheme="majorHAnsi"/>
                <w:b/>
                <w:sz w:val="20"/>
                <w:szCs w:val="20"/>
                <w:lang w:val="ro-MD"/>
              </w:rPr>
            </w:pPr>
            <w:r w:rsidRPr="009E5B39">
              <w:rPr>
                <w:rFonts w:asciiTheme="majorHAnsi" w:eastAsia="Times New Roman" w:hAnsiTheme="majorHAnsi" w:cstheme="majorHAnsi"/>
                <w:b/>
                <w:sz w:val="20"/>
                <w:szCs w:val="20"/>
                <w:lang w:val="ro-MD"/>
              </w:rPr>
              <w:t>Calculat</w:t>
            </w:r>
          </w:p>
        </w:tc>
        <w:tc>
          <w:tcPr>
            <w:tcW w:w="896" w:type="dxa"/>
          </w:tcPr>
          <w:p w14:paraId="617EC017" w14:textId="77777777" w:rsidR="00195FD0" w:rsidRPr="009E5B39" w:rsidRDefault="00195FD0" w:rsidP="00D32382">
            <w:pPr>
              <w:spacing w:after="0" w:line="240" w:lineRule="auto"/>
              <w:jc w:val="center"/>
              <w:rPr>
                <w:rFonts w:asciiTheme="majorHAnsi" w:eastAsia="Times New Roman" w:hAnsiTheme="majorHAnsi" w:cstheme="majorHAnsi"/>
                <w:b/>
                <w:sz w:val="20"/>
                <w:szCs w:val="20"/>
                <w:lang w:val="ro-MD"/>
              </w:rPr>
            </w:pPr>
            <w:r w:rsidRPr="009E5B39">
              <w:rPr>
                <w:rFonts w:asciiTheme="majorHAnsi" w:eastAsia="Times New Roman" w:hAnsiTheme="majorHAnsi" w:cstheme="majorHAnsi"/>
                <w:b/>
                <w:sz w:val="20"/>
                <w:szCs w:val="20"/>
                <w:lang w:val="ro-MD"/>
              </w:rPr>
              <w:t>Achitat</w:t>
            </w:r>
          </w:p>
        </w:tc>
        <w:tc>
          <w:tcPr>
            <w:tcW w:w="1166" w:type="dxa"/>
          </w:tcPr>
          <w:p w14:paraId="569C0B98" w14:textId="77777777" w:rsidR="00195FD0" w:rsidRPr="009E5B39" w:rsidRDefault="00195FD0" w:rsidP="00D32382">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b/>
                <w:sz w:val="20"/>
                <w:szCs w:val="20"/>
                <w:lang w:val="ro-MD"/>
              </w:rPr>
              <w:t>Creanțe, sold final</w:t>
            </w:r>
          </w:p>
        </w:tc>
        <w:tc>
          <w:tcPr>
            <w:tcW w:w="1006" w:type="dxa"/>
          </w:tcPr>
          <w:p w14:paraId="3B75ACDF" w14:textId="132581CF" w:rsidR="00195FD0" w:rsidRPr="009E5B39" w:rsidRDefault="00195FD0" w:rsidP="00D32382">
            <w:pPr>
              <w:spacing w:after="0" w:line="240" w:lineRule="auto"/>
              <w:jc w:val="center"/>
              <w:rPr>
                <w:rFonts w:asciiTheme="majorHAnsi" w:eastAsia="Times New Roman" w:hAnsiTheme="majorHAnsi" w:cstheme="majorHAnsi"/>
                <w:b/>
                <w:sz w:val="20"/>
                <w:szCs w:val="20"/>
                <w:lang w:val="ro-MD"/>
              </w:rPr>
            </w:pPr>
            <w:r w:rsidRPr="009E5B39">
              <w:rPr>
                <w:rFonts w:asciiTheme="majorHAnsi" w:eastAsia="Times New Roman" w:hAnsiTheme="majorHAnsi" w:cstheme="majorHAnsi"/>
                <w:b/>
                <w:sz w:val="20"/>
                <w:szCs w:val="20"/>
                <w:lang w:val="ro-MD"/>
              </w:rPr>
              <w:t>Achitat</w:t>
            </w:r>
            <w:r w:rsidR="007550CE" w:rsidRPr="009E5B39">
              <w:rPr>
                <w:rFonts w:asciiTheme="majorHAnsi" w:eastAsia="Times New Roman" w:hAnsiTheme="majorHAnsi" w:cstheme="majorHAnsi"/>
                <w:b/>
                <w:sz w:val="20"/>
                <w:szCs w:val="20"/>
                <w:lang w:val="ro-MD"/>
              </w:rPr>
              <w:t>,</w:t>
            </w:r>
          </w:p>
          <w:p w14:paraId="2C75BB02" w14:textId="28FD9D32" w:rsidR="00195FD0" w:rsidRPr="009E5B39" w:rsidRDefault="00195FD0" w:rsidP="00D32382">
            <w:pPr>
              <w:spacing w:after="0" w:line="240" w:lineRule="auto"/>
              <w:jc w:val="center"/>
              <w:rPr>
                <w:rFonts w:asciiTheme="majorHAnsi" w:eastAsia="Times New Roman" w:hAnsiTheme="majorHAnsi" w:cstheme="majorHAnsi"/>
                <w:b/>
                <w:sz w:val="20"/>
                <w:szCs w:val="20"/>
                <w:lang w:val="ro-MD"/>
              </w:rPr>
            </w:pPr>
            <w:r w:rsidRPr="009E5B39">
              <w:rPr>
                <w:rFonts w:asciiTheme="majorHAnsi" w:eastAsia="Times New Roman" w:hAnsiTheme="majorHAnsi" w:cstheme="majorHAnsi"/>
                <w:b/>
                <w:sz w:val="20"/>
                <w:szCs w:val="20"/>
                <w:lang w:val="ro-MD"/>
              </w:rPr>
              <w:t>FD</w:t>
            </w:r>
            <w:r w:rsidR="007550CE" w:rsidRPr="009E5B39">
              <w:rPr>
                <w:rFonts w:asciiTheme="majorHAnsi" w:eastAsia="Times New Roman" w:hAnsiTheme="majorHAnsi" w:cstheme="majorHAnsi"/>
                <w:b/>
                <w:sz w:val="20"/>
                <w:szCs w:val="20"/>
                <w:lang w:val="ro-MD"/>
              </w:rPr>
              <w:t>-</w:t>
            </w:r>
            <w:r w:rsidRPr="009E5B39">
              <w:rPr>
                <w:rFonts w:asciiTheme="majorHAnsi" w:eastAsia="Times New Roman" w:hAnsiTheme="majorHAnsi" w:cstheme="majorHAnsi"/>
                <w:b/>
                <w:sz w:val="20"/>
                <w:szCs w:val="20"/>
                <w:lang w:val="ro-MD"/>
              </w:rPr>
              <w:t>044</w:t>
            </w:r>
          </w:p>
        </w:tc>
        <w:tc>
          <w:tcPr>
            <w:tcW w:w="1088" w:type="dxa"/>
          </w:tcPr>
          <w:p w14:paraId="3B9406F5" w14:textId="248446EE" w:rsidR="00195FD0" w:rsidRPr="009E5B39" w:rsidRDefault="00195FD0" w:rsidP="00D32382">
            <w:pPr>
              <w:spacing w:after="0" w:line="240" w:lineRule="auto"/>
              <w:jc w:val="center"/>
              <w:rPr>
                <w:rFonts w:asciiTheme="majorHAnsi" w:eastAsia="Times New Roman" w:hAnsiTheme="majorHAnsi" w:cstheme="majorHAnsi"/>
                <w:b/>
                <w:sz w:val="20"/>
                <w:szCs w:val="20"/>
                <w:lang w:val="ro-MD"/>
              </w:rPr>
            </w:pPr>
            <w:r w:rsidRPr="009E5B39">
              <w:rPr>
                <w:rFonts w:asciiTheme="majorHAnsi" w:eastAsia="Times New Roman" w:hAnsiTheme="majorHAnsi" w:cstheme="majorHAnsi"/>
                <w:b/>
                <w:sz w:val="20"/>
                <w:szCs w:val="20"/>
                <w:lang w:val="ro-MD"/>
              </w:rPr>
              <w:t>Diferenț</w:t>
            </w:r>
            <w:r w:rsidR="007550CE" w:rsidRPr="009E5B39">
              <w:rPr>
                <w:rFonts w:asciiTheme="majorHAnsi" w:eastAsia="Times New Roman" w:hAnsiTheme="majorHAnsi" w:cstheme="majorHAnsi"/>
                <w:b/>
                <w:sz w:val="20"/>
                <w:szCs w:val="20"/>
                <w:lang w:val="ro-MD"/>
              </w:rPr>
              <w:t>a</w:t>
            </w:r>
          </w:p>
        </w:tc>
      </w:tr>
      <w:tr w:rsidR="00195FD0" w:rsidRPr="009E5B39" w14:paraId="602EF370" w14:textId="77777777" w:rsidTr="0026150B">
        <w:tc>
          <w:tcPr>
            <w:tcW w:w="709" w:type="dxa"/>
          </w:tcPr>
          <w:p w14:paraId="5D91E00A" w14:textId="77777777" w:rsidR="00195FD0" w:rsidRPr="009E5B39" w:rsidRDefault="00195FD0" w:rsidP="00D32382">
            <w:pPr>
              <w:spacing w:after="0" w:line="240" w:lineRule="auto"/>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 xml:space="preserve">2018 </w:t>
            </w:r>
          </w:p>
        </w:tc>
        <w:tc>
          <w:tcPr>
            <w:tcW w:w="1276" w:type="dxa"/>
          </w:tcPr>
          <w:p w14:paraId="404CD7E5" w14:textId="77777777" w:rsidR="00195FD0" w:rsidRPr="009E5B39" w:rsidRDefault="00195FD0" w:rsidP="00D32382">
            <w:pPr>
              <w:spacing w:after="0" w:line="240" w:lineRule="auto"/>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2239</w:t>
            </w:r>
          </w:p>
        </w:tc>
        <w:tc>
          <w:tcPr>
            <w:tcW w:w="1134" w:type="dxa"/>
          </w:tcPr>
          <w:p w14:paraId="5F03341F"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311,98</w:t>
            </w:r>
          </w:p>
        </w:tc>
        <w:tc>
          <w:tcPr>
            <w:tcW w:w="1088" w:type="dxa"/>
          </w:tcPr>
          <w:p w14:paraId="18F3717D"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5733,29</w:t>
            </w:r>
          </w:p>
        </w:tc>
        <w:tc>
          <w:tcPr>
            <w:tcW w:w="993" w:type="dxa"/>
          </w:tcPr>
          <w:p w14:paraId="4E559549"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2384,68</w:t>
            </w:r>
          </w:p>
        </w:tc>
        <w:tc>
          <w:tcPr>
            <w:tcW w:w="896" w:type="dxa"/>
          </w:tcPr>
          <w:p w14:paraId="444CF94C"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2076,12</w:t>
            </w:r>
          </w:p>
        </w:tc>
        <w:tc>
          <w:tcPr>
            <w:tcW w:w="1166" w:type="dxa"/>
          </w:tcPr>
          <w:p w14:paraId="5804A20A"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6041,85</w:t>
            </w:r>
          </w:p>
        </w:tc>
        <w:tc>
          <w:tcPr>
            <w:tcW w:w="1006" w:type="dxa"/>
          </w:tcPr>
          <w:p w14:paraId="44C933C6"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24171,47</w:t>
            </w:r>
          </w:p>
        </w:tc>
        <w:tc>
          <w:tcPr>
            <w:tcW w:w="1088" w:type="dxa"/>
          </w:tcPr>
          <w:p w14:paraId="75D3FA1C"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22095,34</w:t>
            </w:r>
          </w:p>
        </w:tc>
      </w:tr>
      <w:tr w:rsidR="00195FD0" w:rsidRPr="009E5B39" w14:paraId="393B46D2" w14:textId="77777777" w:rsidTr="0026150B">
        <w:tc>
          <w:tcPr>
            <w:tcW w:w="709" w:type="dxa"/>
          </w:tcPr>
          <w:p w14:paraId="043E05DA" w14:textId="77777777" w:rsidR="00195FD0" w:rsidRPr="009E5B39" w:rsidRDefault="00195FD0" w:rsidP="00D32382">
            <w:pPr>
              <w:spacing w:after="0" w:line="240" w:lineRule="auto"/>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 xml:space="preserve">2019 </w:t>
            </w:r>
          </w:p>
        </w:tc>
        <w:tc>
          <w:tcPr>
            <w:tcW w:w="1276" w:type="dxa"/>
          </w:tcPr>
          <w:p w14:paraId="5A7340D4" w14:textId="77777777" w:rsidR="00195FD0" w:rsidRPr="009E5B39" w:rsidRDefault="00195FD0" w:rsidP="00D32382">
            <w:pPr>
              <w:spacing w:after="0" w:line="240" w:lineRule="auto"/>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2270</w:t>
            </w:r>
          </w:p>
        </w:tc>
        <w:tc>
          <w:tcPr>
            <w:tcW w:w="1134" w:type="dxa"/>
          </w:tcPr>
          <w:p w14:paraId="128AED8B"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314,50</w:t>
            </w:r>
          </w:p>
        </w:tc>
        <w:tc>
          <w:tcPr>
            <w:tcW w:w="1088" w:type="dxa"/>
          </w:tcPr>
          <w:p w14:paraId="76C7AFE1"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6041,85</w:t>
            </w:r>
          </w:p>
        </w:tc>
        <w:tc>
          <w:tcPr>
            <w:tcW w:w="993" w:type="dxa"/>
          </w:tcPr>
          <w:p w14:paraId="65B34864"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7833,96</w:t>
            </w:r>
          </w:p>
        </w:tc>
        <w:tc>
          <w:tcPr>
            <w:tcW w:w="896" w:type="dxa"/>
          </w:tcPr>
          <w:p w14:paraId="29ED15B2"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8165,06</w:t>
            </w:r>
          </w:p>
        </w:tc>
        <w:tc>
          <w:tcPr>
            <w:tcW w:w="1166" w:type="dxa"/>
          </w:tcPr>
          <w:p w14:paraId="076620B0"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5711,10</w:t>
            </w:r>
          </w:p>
        </w:tc>
        <w:tc>
          <w:tcPr>
            <w:tcW w:w="1006" w:type="dxa"/>
          </w:tcPr>
          <w:p w14:paraId="7400BD4D"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12631,75</w:t>
            </w:r>
          </w:p>
        </w:tc>
        <w:tc>
          <w:tcPr>
            <w:tcW w:w="1088" w:type="dxa"/>
          </w:tcPr>
          <w:p w14:paraId="5B6B2A1B"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eastAsia="ru-RU"/>
              </w:rPr>
              <w:t>4466,69</w:t>
            </w:r>
          </w:p>
        </w:tc>
      </w:tr>
      <w:tr w:rsidR="00195FD0" w:rsidRPr="009E5B39" w14:paraId="2CF00563" w14:textId="77777777" w:rsidTr="0026150B">
        <w:tc>
          <w:tcPr>
            <w:tcW w:w="709" w:type="dxa"/>
          </w:tcPr>
          <w:p w14:paraId="3218A72E" w14:textId="77777777" w:rsidR="00195FD0" w:rsidRPr="009E5B39" w:rsidRDefault="00195FD0" w:rsidP="00D32382">
            <w:pPr>
              <w:spacing w:after="0" w:line="240" w:lineRule="auto"/>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76" w:type="dxa"/>
          </w:tcPr>
          <w:p w14:paraId="76D24EB9" w14:textId="77777777" w:rsidR="00195FD0" w:rsidRPr="009E5B39" w:rsidRDefault="00195FD0" w:rsidP="00D32382">
            <w:pPr>
              <w:spacing w:after="0" w:line="240" w:lineRule="auto"/>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2513</w:t>
            </w:r>
          </w:p>
        </w:tc>
        <w:tc>
          <w:tcPr>
            <w:tcW w:w="1134" w:type="dxa"/>
          </w:tcPr>
          <w:p w14:paraId="7D230631"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332,90</w:t>
            </w:r>
          </w:p>
        </w:tc>
        <w:tc>
          <w:tcPr>
            <w:tcW w:w="1088" w:type="dxa"/>
          </w:tcPr>
          <w:p w14:paraId="43B170B9"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5711,10</w:t>
            </w:r>
          </w:p>
        </w:tc>
        <w:tc>
          <w:tcPr>
            <w:tcW w:w="993" w:type="dxa"/>
          </w:tcPr>
          <w:p w14:paraId="093E4AD8"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37517,19</w:t>
            </w:r>
          </w:p>
        </w:tc>
        <w:tc>
          <w:tcPr>
            <w:tcW w:w="896" w:type="dxa"/>
          </w:tcPr>
          <w:p w14:paraId="35C9E795"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8294,84</w:t>
            </w:r>
          </w:p>
        </w:tc>
        <w:tc>
          <w:tcPr>
            <w:tcW w:w="1166" w:type="dxa"/>
          </w:tcPr>
          <w:p w14:paraId="1DC611ED"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34933,45</w:t>
            </w:r>
          </w:p>
        </w:tc>
        <w:tc>
          <w:tcPr>
            <w:tcW w:w="1006" w:type="dxa"/>
          </w:tcPr>
          <w:p w14:paraId="52AA7FEC"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46195,42</w:t>
            </w:r>
          </w:p>
        </w:tc>
        <w:tc>
          <w:tcPr>
            <w:tcW w:w="1088" w:type="dxa"/>
          </w:tcPr>
          <w:p w14:paraId="71FA5DDE"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37900,58</w:t>
            </w:r>
          </w:p>
        </w:tc>
      </w:tr>
    </w:tbl>
    <w:p w14:paraId="0F0B64A2" w14:textId="01A1E20B" w:rsidR="00195FD0" w:rsidRPr="009E5B39" w:rsidRDefault="00195FD0" w:rsidP="00195FD0">
      <w:pPr>
        <w:tabs>
          <w:tab w:val="left" w:pos="0"/>
        </w:tabs>
        <w:spacing w:after="0" w:line="240" w:lineRule="auto"/>
        <w:contextualSpacing/>
        <w:jc w:val="both"/>
        <w:rPr>
          <w:rFonts w:asciiTheme="majorHAnsi" w:eastAsia="Times New Roman" w:hAnsiTheme="majorHAnsi" w:cstheme="majorHAnsi"/>
          <w:i/>
          <w:sz w:val="16"/>
          <w:szCs w:val="16"/>
          <w:lang w:val="ro-MD"/>
        </w:rPr>
      </w:pPr>
      <w:r w:rsidRPr="009E5B39">
        <w:rPr>
          <w:rFonts w:asciiTheme="majorHAnsi" w:eastAsia="Times New Roman" w:hAnsiTheme="majorHAnsi" w:cstheme="majorHAnsi"/>
          <w:sz w:val="16"/>
          <w:szCs w:val="16"/>
          <w:lang w:val="ro-MD"/>
        </w:rPr>
        <w:t xml:space="preserve"> </w:t>
      </w:r>
      <w:r w:rsidRPr="009E5B39">
        <w:rPr>
          <w:rFonts w:asciiTheme="majorHAnsi" w:eastAsia="Times New Roman" w:hAnsiTheme="majorHAnsi" w:cstheme="majorHAnsi"/>
          <w:b/>
          <w:i/>
          <w:sz w:val="16"/>
          <w:szCs w:val="16"/>
          <w:lang w:val="ro-MD"/>
        </w:rPr>
        <w:t>Sursa:</w:t>
      </w:r>
      <w:r w:rsidRPr="009E5B39">
        <w:rPr>
          <w:rFonts w:asciiTheme="majorHAnsi" w:eastAsia="Times New Roman" w:hAnsiTheme="majorHAnsi" w:cstheme="majorHAnsi"/>
          <w:sz w:val="16"/>
          <w:szCs w:val="16"/>
          <w:lang w:val="ro-MD"/>
        </w:rPr>
        <w:t xml:space="preserve"> </w:t>
      </w:r>
      <w:r w:rsidR="007550CE" w:rsidRPr="009E5B39">
        <w:rPr>
          <w:rFonts w:asciiTheme="majorHAnsi" w:eastAsia="Times New Roman" w:hAnsiTheme="majorHAnsi" w:cstheme="majorHAnsi"/>
          <w:i/>
          <w:sz w:val="16"/>
          <w:szCs w:val="16"/>
          <w:lang w:val="ro-MD"/>
        </w:rPr>
        <w:t>D</w:t>
      </w:r>
      <w:r w:rsidRPr="009E5B39">
        <w:rPr>
          <w:rFonts w:asciiTheme="majorHAnsi" w:eastAsia="Times New Roman" w:hAnsiTheme="majorHAnsi" w:cstheme="majorHAnsi"/>
          <w:i/>
          <w:sz w:val="16"/>
          <w:szCs w:val="16"/>
          <w:lang w:val="ro-MD"/>
        </w:rPr>
        <w:t>atele SI a</w:t>
      </w:r>
      <w:r w:rsidR="007550CE" w:rsidRPr="009E5B39">
        <w:rPr>
          <w:rFonts w:asciiTheme="majorHAnsi" w:eastAsia="Times New Roman" w:hAnsiTheme="majorHAnsi" w:cstheme="majorHAnsi"/>
          <w:i/>
          <w:sz w:val="16"/>
          <w:szCs w:val="16"/>
          <w:lang w:val="ro-MD"/>
        </w:rPr>
        <w:t>l</w:t>
      </w:r>
      <w:r w:rsidRPr="009E5B39">
        <w:rPr>
          <w:rFonts w:asciiTheme="majorHAnsi" w:eastAsia="Times New Roman" w:hAnsiTheme="majorHAnsi" w:cstheme="majorHAnsi"/>
          <w:i/>
          <w:sz w:val="16"/>
          <w:szCs w:val="16"/>
          <w:lang w:val="ro-MD"/>
        </w:rPr>
        <w:t xml:space="preserve"> DGAURF pentru anii 2018, 2019, 2020</w:t>
      </w:r>
      <w:r w:rsidR="007550CE" w:rsidRPr="009E5B39">
        <w:rPr>
          <w:rFonts w:asciiTheme="majorHAnsi" w:eastAsia="Times New Roman" w:hAnsiTheme="majorHAnsi" w:cstheme="majorHAnsi"/>
          <w:i/>
          <w:sz w:val="16"/>
          <w:szCs w:val="16"/>
          <w:lang w:val="ro-MD"/>
        </w:rPr>
        <w:t>.</w:t>
      </w:r>
    </w:p>
    <w:p w14:paraId="43206122" w14:textId="4B9EAA52" w:rsidR="00195FD0" w:rsidRPr="009E5B39" w:rsidRDefault="00195FD0" w:rsidP="000D1457">
      <w:pPr>
        <w:spacing w:before="240" w:after="0" w:line="276" w:lineRule="auto"/>
        <w:ind w:firstLine="426"/>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b/>
          <w:sz w:val="26"/>
          <w:szCs w:val="26"/>
          <w:lang w:val="ro-MD"/>
        </w:rPr>
        <w:t xml:space="preserve">   </w:t>
      </w:r>
      <w:r w:rsidRPr="009E5B39">
        <w:rPr>
          <w:rFonts w:asciiTheme="majorHAnsi" w:hAnsiTheme="majorHAnsi" w:cstheme="majorHAnsi"/>
          <w:sz w:val="24"/>
          <w:szCs w:val="24"/>
          <w:lang w:val="ro-MD"/>
        </w:rPr>
        <w:t xml:space="preserve">Deși pe parcursul misiunii de audit </w:t>
      </w:r>
      <w:r w:rsidR="007550CE" w:rsidRPr="009E5B39">
        <w:rPr>
          <w:rFonts w:asciiTheme="majorHAnsi" w:hAnsiTheme="majorHAnsi" w:cstheme="majorHAnsi"/>
          <w:sz w:val="24"/>
          <w:szCs w:val="24"/>
          <w:lang w:val="ro-MD"/>
        </w:rPr>
        <w:t>s-</w:t>
      </w:r>
      <w:r w:rsidRPr="009E5B39">
        <w:rPr>
          <w:rFonts w:asciiTheme="majorHAnsi" w:hAnsiTheme="majorHAnsi" w:cstheme="majorHAnsi"/>
          <w:sz w:val="24"/>
          <w:szCs w:val="24"/>
          <w:lang w:val="ro-MD"/>
        </w:rPr>
        <w:t>au corectat erorile, fiind ajustate sumele achitate, reflectate în SI</w:t>
      </w:r>
      <w:r w:rsidR="00CE7A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00CE7A45" w:rsidRPr="009E5B39">
        <w:rPr>
          <w:rFonts w:asciiTheme="majorHAnsi" w:hAnsiTheme="majorHAnsi" w:cstheme="majorHAnsi"/>
          <w:sz w:val="24"/>
          <w:szCs w:val="24"/>
          <w:lang w:val="ro-MD"/>
        </w:rPr>
        <w:t>la</w:t>
      </w:r>
      <w:r w:rsidRPr="009E5B39">
        <w:rPr>
          <w:rFonts w:asciiTheme="majorHAnsi" w:hAnsiTheme="majorHAnsi" w:cstheme="majorHAnsi"/>
          <w:sz w:val="24"/>
          <w:szCs w:val="24"/>
          <w:lang w:val="ro-MD"/>
        </w:rPr>
        <w:t xml:space="preserve"> datele raportate în </w:t>
      </w:r>
      <w:r w:rsidR="00CE7A45" w:rsidRPr="009E5B39">
        <w:rPr>
          <w:rFonts w:asciiTheme="majorHAnsi" w:hAnsiTheme="majorHAnsi" w:cstheme="majorHAnsi"/>
          <w:sz w:val="24"/>
          <w:szCs w:val="24"/>
          <w:lang w:val="ro-MD"/>
        </w:rPr>
        <w:t>F</w:t>
      </w:r>
      <w:r w:rsidRPr="009E5B39">
        <w:rPr>
          <w:rFonts w:asciiTheme="majorHAnsi" w:hAnsiTheme="majorHAnsi" w:cstheme="majorHAnsi"/>
          <w:sz w:val="24"/>
          <w:szCs w:val="24"/>
          <w:lang w:val="ro-MD"/>
        </w:rPr>
        <w:t xml:space="preserve">orma FD-044 în </w:t>
      </w:r>
      <w:r w:rsidR="00CE7A45" w:rsidRPr="009E5B39">
        <w:rPr>
          <w:rFonts w:asciiTheme="majorHAnsi" w:hAnsiTheme="majorHAnsi" w:cstheme="majorHAnsi"/>
          <w:sz w:val="24"/>
          <w:szCs w:val="24"/>
          <w:lang w:val="ro-MD"/>
        </w:rPr>
        <w:t>anii</w:t>
      </w:r>
      <w:r w:rsidRPr="009E5B39">
        <w:rPr>
          <w:rFonts w:asciiTheme="majorHAnsi" w:hAnsiTheme="majorHAnsi" w:cstheme="majorHAnsi"/>
          <w:sz w:val="24"/>
          <w:szCs w:val="24"/>
          <w:lang w:val="ro-MD"/>
        </w:rPr>
        <w:t xml:space="preserve"> 2018-2020, SI continu</w:t>
      </w:r>
      <w:r w:rsidR="00CE7A45" w:rsidRPr="009E5B39">
        <w:rPr>
          <w:rFonts w:asciiTheme="majorHAnsi" w:hAnsiTheme="majorHAnsi" w:cstheme="majorHAnsi"/>
          <w:sz w:val="24"/>
          <w:szCs w:val="24"/>
          <w:lang w:val="ro-MD"/>
        </w:rPr>
        <w:t>ă să</w:t>
      </w:r>
      <w:r w:rsidRPr="009E5B39">
        <w:rPr>
          <w:rFonts w:asciiTheme="majorHAnsi" w:hAnsiTheme="majorHAnsi" w:cstheme="majorHAnsi"/>
          <w:sz w:val="24"/>
          <w:szCs w:val="24"/>
          <w:lang w:val="ro-MD"/>
        </w:rPr>
        <w:t xml:space="preserve"> genere</w:t>
      </w:r>
      <w:r w:rsidR="00CE7A45" w:rsidRPr="009E5B39">
        <w:rPr>
          <w:rFonts w:asciiTheme="majorHAnsi" w:hAnsiTheme="majorHAnsi" w:cstheme="majorHAnsi"/>
          <w:sz w:val="24"/>
          <w:szCs w:val="24"/>
          <w:lang w:val="ro-MD"/>
        </w:rPr>
        <w:t xml:space="preserve">ze </w:t>
      </w:r>
      <w:r w:rsidRPr="009E5B39">
        <w:rPr>
          <w:rFonts w:asciiTheme="majorHAnsi" w:hAnsiTheme="majorHAnsi" w:cstheme="majorHAnsi"/>
          <w:sz w:val="24"/>
          <w:szCs w:val="24"/>
          <w:lang w:val="ro-MD"/>
        </w:rPr>
        <w:t xml:space="preserve"> date diferite a</w:t>
      </w:r>
      <w:r w:rsidR="00CE7A45" w:rsidRPr="009E5B39">
        <w:rPr>
          <w:rFonts w:asciiTheme="majorHAnsi" w:hAnsiTheme="majorHAnsi" w:cstheme="majorHAnsi"/>
          <w:sz w:val="24"/>
          <w:szCs w:val="24"/>
          <w:lang w:val="ro-MD"/>
        </w:rPr>
        <w:t>le</w:t>
      </w:r>
      <w:r w:rsidRPr="009E5B39">
        <w:rPr>
          <w:rFonts w:asciiTheme="majorHAnsi" w:hAnsiTheme="majorHAnsi" w:cstheme="majorHAnsi"/>
          <w:sz w:val="24"/>
          <w:szCs w:val="24"/>
          <w:lang w:val="ro-MD"/>
        </w:rPr>
        <w:t xml:space="preserve"> sumei creanțelor înregistrate la finele perioadei (la situația din 31.12.) și cele de la începutul perioadei următoare (01.01.). </w:t>
      </w:r>
      <w:r w:rsidRPr="009E5B39">
        <w:rPr>
          <w:rFonts w:asciiTheme="majorHAnsi" w:eastAsia="Times New Roman" w:hAnsiTheme="majorHAnsi" w:cstheme="majorHAnsi"/>
          <w:sz w:val="24"/>
          <w:szCs w:val="24"/>
          <w:lang w:val="ro-MD"/>
        </w:rPr>
        <w:t xml:space="preserve">Mai mult </w:t>
      </w:r>
      <w:r w:rsidR="00CE7A45" w:rsidRPr="009E5B39">
        <w:rPr>
          <w:rFonts w:asciiTheme="majorHAnsi" w:eastAsia="Times New Roman" w:hAnsiTheme="majorHAnsi" w:cstheme="majorHAnsi"/>
          <w:sz w:val="24"/>
          <w:szCs w:val="24"/>
          <w:lang w:val="ro-MD"/>
        </w:rPr>
        <w:t>decât</w:t>
      </w:r>
      <w:r w:rsidRPr="009E5B39">
        <w:rPr>
          <w:rFonts w:asciiTheme="majorHAnsi" w:eastAsia="Times New Roman" w:hAnsiTheme="majorHAnsi" w:cstheme="majorHAnsi"/>
          <w:sz w:val="24"/>
          <w:szCs w:val="24"/>
          <w:lang w:val="ro-MD"/>
        </w:rPr>
        <w:t xml:space="preserve"> atât, auditul a constatat că soldurile finale nu se formează în baza </w:t>
      </w:r>
      <w:r w:rsidRPr="009E5B39">
        <w:rPr>
          <w:rFonts w:asciiTheme="majorHAnsi" w:eastAsia="Times New Roman" w:hAnsiTheme="majorHAnsi" w:cstheme="majorHAnsi"/>
          <w:i/>
          <w:sz w:val="24"/>
          <w:szCs w:val="24"/>
          <w:lang w:val="ro-MD"/>
        </w:rPr>
        <w:t>soldului inițial</w:t>
      </w:r>
      <w:r w:rsidRPr="009E5B39">
        <w:rPr>
          <w:rFonts w:asciiTheme="majorHAnsi" w:eastAsia="Times New Roman" w:hAnsiTheme="majorHAnsi" w:cstheme="majorHAnsi"/>
          <w:sz w:val="24"/>
          <w:szCs w:val="24"/>
          <w:lang w:val="ro-MD"/>
        </w:rPr>
        <w:t xml:space="preserve"> majorat cu </w:t>
      </w:r>
      <w:r w:rsidRPr="009E5B39">
        <w:rPr>
          <w:rFonts w:asciiTheme="majorHAnsi" w:eastAsia="Times New Roman" w:hAnsiTheme="majorHAnsi" w:cstheme="majorHAnsi"/>
          <w:i/>
          <w:sz w:val="24"/>
          <w:szCs w:val="24"/>
          <w:lang w:val="ro-MD"/>
        </w:rPr>
        <w:t>calculat</w:t>
      </w:r>
      <w:r w:rsidRPr="009E5B39">
        <w:rPr>
          <w:rFonts w:asciiTheme="majorHAnsi" w:eastAsia="Times New Roman" w:hAnsiTheme="majorHAnsi" w:cstheme="majorHAnsi"/>
          <w:sz w:val="24"/>
          <w:szCs w:val="24"/>
          <w:lang w:val="ro-MD"/>
        </w:rPr>
        <w:t xml:space="preserve"> și diminuat cu </w:t>
      </w:r>
      <w:r w:rsidRPr="009E5B39">
        <w:rPr>
          <w:rFonts w:asciiTheme="majorHAnsi" w:eastAsia="Times New Roman" w:hAnsiTheme="majorHAnsi" w:cstheme="majorHAnsi"/>
          <w:i/>
          <w:sz w:val="24"/>
          <w:szCs w:val="24"/>
          <w:lang w:val="ro-MD"/>
        </w:rPr>
        <w:t>achitat</w:t>
      </w:r>
      <w:r w:rsidRPr="009E5B39">
        <w:rPr>
          <w:rFonts w:asciiTheme="majorHAnsi" w:eastAsia="Times New Roman" w:hAnsiTheme="majorHAnsi" w:cstheme="majorHAnsi"/>
          <w:sz w:val="24"/>
          <w:szCs w:val="24"/>
          <w:lang w:val="ro-MD"/>
        </w:rPr>
        <w:t>.</w:t>
      </w:r>
    </w:p>
    <w:p w14:paraId="4C3B3DBA" w14:textId="74ECD11B" w:rsidR="00195FD0" w:rsidRPr="009E5B39" w:rsidRDefault="00195FD0" w:rsidP="00195FD0">
      <w:pPr>
        <w:spacing w:after="0" w:line="276" w:lineRule="auto"/>
        <w:ind w:firstLine="426"/>
        <w:jc w:val="right"/>
        <w:rPr>
          <w:rFonts w:asciiTheme="majorHAnsi" w:hAnsiTheme="majorHAnsi" w:cstheme="majorHAnsi"/>
          <w:i/>
          <w:sz w:val="24"/>
          <w:szCs w:val="24"/>
          <w:lang w:val="ro-MD"/>
        </w:rPr>
      </w:pPr>
      <w:r w:rsidRPr="009E5B39">
        <w:rPr>
          <w:rFonts w:asciiTheme="majorHAnsi" w:eastAsia="Times New Roman" w:hAnsiTheme="majorHAnsi" w:cstheme="majorHAnsi"/>
          <w:bCs/>
          <w:i/>
          <w:sz w:val="20"/>
          <w:szCs w:val="20"/>
          <w:lang w:val="ro-MD"/>
        </w:rPr>
        <w:t>mii lei</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1135"/>
        <w:gridCol w:w="993"/>
        <w:gridCol w:w="993"/>
        <w:gridCol w:w="991"/>
        <w:gridCol w:w="991"/>
        <w:gridCol w:w="992"/>
        <w:gridCol w:w="992"/>
        <w:gridCol w:w="1561"/>
      </w:tblGrid>
      <w:tr w:rsidR="00195FD0" w:rsidRPr="009E5B39" w14:paraId="1B8C28A7" w14:textId="77777777" w:rsidTr="00D32382">
        <w:trPr>
          <w:trHeight w:val="172"/>
        </w:trPr>
        <w:tc>
          <w:tcPr>
            <w:tcW w:w="708" w:type="dxa"/>
          </w:tcPr>
          <w:p w14:paraId="17BBE363" w14:textId="77777777" w:rsidR="00195FD0" w:rsidRPr="009E5B39" w:rsidRDefault="00195FD0"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Anii</w:t>
            </w:r>
          </w:p>
        </w:tc>
        <w:tc>
          <w:tcPr>
            <w:tcW w:w="1135" w:type="dxa"/>
          </w:tcPr>
          <w:p w14:paraId="1E0F0623" w14:textId="77777777" w:rsidR="00195FD0" w:rsidRPr="009E5B39" w:rsidRDefault="00195FD0"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 xml:space="preserve">Creanțe sold inițial </w:t>
            </w:r>
          </w:p>
        </w:tc>
        <w:tc>
          <w:tcPr>
            <w:tcW w:w="993" w:type="dxa"/>
          </w:tcPr>
          <w:p w14:paraId="416B36E5" w14:textId="77777777" w:rsidR="00195FD0" w:rsidRPr="009E5B39" w:rsidRDefault="00195FD0"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 xml:space="preserve">Calculat </w:t>
            </w:r>
          </w:p>
        </w:tc>
        <w:tc>
          <w:tcPr>
            <w:tcW w:w="993" w:type="dxa"/>
          </w:tcPr>
          <w:p w14:paraId="4925C249" w14:textId="77777777" w:rsidR="00195FD0" w:rsidRPr="009E5B39" w:rsidRDefault="00195FD0"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Achitări</w:t>
            </w:r>
          </w:p>
        </w:tc>
        <w:tc>
          <w:tcPr>
            <w:tcW w:w="991" w:type="dxa"/>
          </w:tcPr>
          <w:p w14:paraId="489B5538" w14:textId="77777777" w:rsidR="00195FD0" w:rsidRPr="009E5B39" w:rsidRDefault="00195FD0"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Creanțe sold final</w:t>
            </w:r>
          </w:p>
        </w:tc>
        <w:tc>
          <w:tcPr>
            <w:tcW w:w="991" w:type="dxa"/>
          </w:tcPr>
          <w:p w14:paraId="0A211200" w14:textId="77777777" w:rsidR="00195FD0" w:rsidRPr="009E5B39" w:rsidRDefault="00195FD0"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 xml:space="preserve">Achitat </w:t>
            </w:r>
          </w:p>
          <w:p w14:paraId="31BC3682" w14:textId="7072BBCF" w:rsidR="00195FD0" w:rsidRPr="009E5B39" w:rsidDel="00380161" w:rsidRDefault="00195FD0"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FD</w:t>
            </w:r>
            <w:r w:rsidR="002F53A6" w:rsidRPr="009E5B39">
              <w:rPr>
                <w:rFonts w:asciiTheme="majorHAnsi" w:eastAsia="Times New Roman" w:hAnsiTheme="majorHAnsi" w:cstheme="majorHAnsi"/>
                <w:b/>
                <w:bCs/>
                <w:sz w:val="20"/>
                <w:szCs w:val="20"/>
                <w:lang w:val="ro-MD"/>
              </w:rPr>
              <w:t>-</w:t>
            </w:r>
            <w:r w:rsidRPr="009E5B39">
              <w:rPr>
                <w:rFonts w:asciiTheme="majorHAnsi" w:eastAsia="Times New Roman" w:hAnsiTheme="majorHAnsi" w:cstheme="majorHAnsi"/>
                <w:b/>
                <w:bCs/>
                <w:sz w:val="20"/>
                <w:szCs w:val="20"/>
                <w:lang w:val="ro-MD"/>
              </w:rPr>
              <w:t>044</w:t>
            </w:r>
          </w:p>
        </w:tc>
        <w:tc>
          <w:tcPr>
            <w:tcW w:w="992" w:type="dxa"/>
          </w:tcPr>
          <w:p w14:paraId="1C83EF06" w14:textId="77777777" w:rsidR="00195FD0" w:rsidRPr="009E5B39" w:rsidRDefault="00195FD0"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Diferență</w:t>
            </w:r>
          </w:p>
          <w:p w14:paraId="0C756BD6" w14:textId="77777777" w:rsidR="00195FD0" w:rsidRPr="009E5B39" w:rsidDel="00380161" w:rsidRDefault="00195FD0"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achitat</w:t>
            </w:r>
          </w:p>
        </w:tc>
        <w:tc>
          <w:tcPr>
            <w:tcW w:w="992" w:type="dxa"/>
          </w:tcPr>
          <w:p w14:paraId="0FB69C21" w14:textId="77777777" w:rsidR="00195FD0" w:rsidRPr="009E5B39" w:rsidRDefault="00195FD0"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Diferență sold</w:t>
            </w:r>
          </w:p>
        </w:tc>
        <w:tc>
          <w:tcPr>
            <w:tcW w:w="1561" w:type="dxa"/>
          </w:tcPr>
          <w:p w14:paraId="6B9057FB" w14:textId="77777777" w:rsidR="00195FD0" w:rsidRPr="009E5B39" w:rsidRDefault="00195FD0"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Sold final calculat de audit</w:t>
            </w:r>
          </w:p>
        </w:tc>
      </w:tr>
      <w:tr w:rsidR="00195FD0" w:rsidRPr="009E5B39" w14:paraId="7E312DB3" w14:textId="77777777" w:rsidTr="00D32382">
        <w:tc>
          <w:tcPr>
            <w:tcW w:w="708" w:type="dxa"/>
          </w:tcPr>
          <w:p w14:paraId="6B005ADE" w14:textId="77777777" w:rsidR="00195FD0" w:rsidRPr="009E5B39" w:rsidRDefault="00195FD0" w:rsidP="00D32382">
            <w:pPr>
              <w:spacing w:after="0" w:line="240" w:lineRule="auto"/>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 xml:space="preserve">2018 </w:t>
            </w:r>
          </w:p>
        </w:tc>
        <w:tc>
          <w:tcPr>
            <w:tcW w:w="1135" w:type="dxa"/>
          </w:tcPr>
          <w:p w14:paraId="07AAEC71"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1085,51</w:t>
            </w:r>
          </w:p>
        </w:tc>
        <w:tc>
          <w:tcPr>
            <w:tcW w:w="993" w:type="dxa"/>
          </w:tcPr>
          <w:p w14:paraId="433D4CD8"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23826,12</w:t>
            </w:r>
          </w:p>
        </w:tc>
        <w:tc>
          <w:tcPr>
            <w:tcW w:w="993" w:type="dxa"/>
          </w:tcPr>
          <w:p w14:paraId="21B9D13D"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24148,11</w:t>
            </w:r>
          </w:p>
        </w:tc>
        <w:tc>
          <w:tcPr>
            <w:tcW w:w="991" w:type="dxa"/>
          </w:tcPr>
          <w:p w14:paraId="709CD1AC"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763,52</w:t>
            </w:r>
          </w:p>
        </w:tc>
        <w:tc>
          <w:tcPr>
            <w:tcW w:w="991" w:type="dxa"/>
          </w:tcPr>
          <w:p w14:paraId="4B249C62"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24171,47</w:t>
            </w:r>
          </w:p>
        </w:tc>
        <w:tc>
          <w:tcPr>
            <w:tcW w:w="992" w:type="dxa"/>
          </w:tcPr>
          <w:p w14:paraId="569040D4"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eastAsia="ru-RU"/>
              </w:rPr>
              <w:t>-23,36</w:t>
            </w:r>
          </w:p>
        </w:tc>
        <w:tc>
          <w:tcPr>
            <w:tcW w:w="992" w:type="dxa"/>
          </w:tcPr>
          <w:p w14:paraId="7713EE10"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eastAsia="ru-RU"/>
              </w:rPr>
            </w:pPr>
          </w:p>
        </w:tc>
        <w:tc>
          <w:tcPr>
            <w:tcW w:w="1561" w:type="dxa"/>
            <w:vAlign w:val="center"/>
          </w:tcPr>
          <w:p w14:paraId="52A0CEFA"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eastAsia="ru-RU"/>
              </w:rPr>
            </w:pPr>
            <w:r w:rsidRPr="009E5B39">
              <w:rPr>
                <w:rFonts w:asciiTheme="majorHAnsi" w:eastAsia="Times New Roman" w:hAnsiTheme="majorHAnsi" w:cstheme="majorHAnsi"/>
                <w:sz w:val="20"/>
                <w:szCs w:val="20"/>
                <w:lang w:val="ro-MD" w:eastAsia="ru-RU"/>
              </w:rPr>
              <w:t>-321,99</w:t>
            </w:r>
          </w:p>
        </w:tc>
      </w:tr>
      <w:tr w:rsidR="00195FD0" w:rsidRPr="009E5B39" w14:paraId="6EB13FBA" w14:textId="77777777" w:rsidTr="00D32382">
        <w:tc>
          <w:tcPr>
            <w:tcW w:w="708" w:type="dxa"/>
          </w:tcPr>
          <w:p w14:paraId="3FB326E9" w14:textId="77777777" w:rsidR="00195FD0" w:rsidRPr="009E5B39" w:rsidRDefault="00195FD0" w:rsidP="00D32382">
            <w:pPr>
              <w:spacing w:after="0" w:line="240" w:lineRule="auto"/>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 xml:space="preserve">2019 </w:t>
            </w:r>
          </w:p>
        </w:tc>
        <w:tc>
          <w:tcPr>
            <w:tcW w:w="1135" w:type="dxa"/>
          </w:tcPr>
          <w:p w14:paraId="56E88E49"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1451,56</w:t>
            </w:r>
          </w:p>
        </w:tc>
        <w:tc>
          <w:tcPr>
            <w:tcW w:w="993" w:type="dxa"/>
          </w:tcPr>
          <w:p w14:paraId="32A777F6"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11262,97</w:t>
            </w:r>
          </w:p>
        </w:tc>
        <w:tc>
          <w:tcPr>
            <w:tcW w:w="993" w:type="dxa"/>
          </w:tcPr>
          <w:p w14:paraId="5DB1F25B"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12630,34</w:t>
            </w:r>
          </w:p>
        </w:tc>
        <w:tc>
          <w:tcPr>
            <w:tcW w:w="991" w:type="dxa"/>
          </w:tcPr>
          <w:p w14:paraId="0EAB6CAC"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84,19</w:t>
            </w:r>
          </w:p>
        </w:tc>
        <w:tc>
          <w:tcPr>
            <w:tcW w:w="991" w:type="dxa"/>
          </w:tcPr>
          <w:p w14:paraId="6174AD44"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12631,75</w:t>
            </w:r>
          </w:p>
        </w:tc>
        <w:tc>
          <w:tcPr>
            <w:tcW w:w="992" w:type="dxa"/>
          </w:tcPr>
          <w:p w14:paraId="5427FF0A"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eastAsia="ru-RU"/>
              </w:rPr>
              <w:t>-1,41</w:t>
            </w:r>
          </w:p>
        </w:tc>
        <w:tc>
          <w:tcPr>
            <w:tcW w:w="992" w:type="dxa"/>
            <w:vAlign w:val="center"/>
          </w:tcPr>
          <w:p w14:paraId="1D700DB5"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eastAsia="ru-RU"/>
              </w:rPr>
            </w:pPr>
            <w:r w:rsidRPr="009E5B39">
              <w:rPr>
                <w:rFonts w:asciiTheme="majorHAnsi" w:eastAsia="Times New Roman" w:hAnsiTheme="majorHAnsi" w:cstheme="majorHAnsi"/>
                <w:sz w:val="20"/>
                <w:szCs w:val="20"/>
                <w:lang w:val="ro-MD" w:eastAsia="ru-RU"/>
              </w:rPr>
              <w:t>688,04</w:t>
            </w:r>
          </w:p>
        </w:tc>
        <w:tc>
          <w:tcPr>
            <w:tcW w:w="1561" w:type="dxa"/>
            <w:vAlign w:val="center"/>
          </w:tcPr>
          <w:p w14:paraId="6ECAA1E2"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eastAsia="ru-RU"/>
              </w:rPr>
            </w:pPr>
            <w:r w:rsidRPr="009E5B39">
              <w:rPr>
                <w:rFonts w:asciiTheme="majorHAnsi" w:eastAsia="Times New Roman" w:hAnsiTheme="majorHAnsi" w:cstheme="majorHAnsi"/>
                <w:sz w:val="20"/>
                <w:szCs w:val="20"/>
                <w:lang w:val="ro-MD" w:eastAsia="ru-RU"/>
              </w:rPr>
              <w:t>-1367,37</w:t>
            </w:r>
          </w:p>
        </w:tc>
      </w:tr>
      <w:tr w:rsidR="00195FD0" w:rsidRPr="009E5B39" w14:paraId="77C587D7" w14:textId="77777777" w:rsidTr="00D32382">
        <w:tc>
          <w:tcPr>
            <w:tcW w:w="708" w:type="dxa"/>
          </w:tcPr>
          <w:p w14:paraId="20E6C0AD" w14:textId="77777777" w:rsidR="00195FD0" w:rsidRPr="009E5B39" w:rsidRDefault="00195FD0" w:rsidP="00D32382">
            <w:pPr>
              <w:spacing w:after="0" w:line="240" w:lineRule="auto"/>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135" w:type="dxa"/>
          </w:tcPr>
          <w:p w14:paraId="4F7A7B4C"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1523,39</w:t>
            </w:r>
          </w:p>
        </w:tc>
        <w:tc>
          <w:tcPr>
            <w:tcW w:w="993" w:type="dxa"/>
          </w:tcPr>
          <w:p w14:paraId="28D8F345"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45558,10</w:t>
            </w:r>
          </w:p>
        </w:tc>
        <w:tc>
          <w:tcPr>
            <w:tcW w:w="993" w:type="dxa"/>
          </w:tcPr>
          <w:p w14:paraId="25F95DAF"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46195,42</w:t>
            </w:r>
          </w:p>
        </w:tc>
        <w:tc>
          <w:tcPr>
            <w:tcW w:w="991" w:type="dxa"/>
          </w:tcPr>
          <w:p w14:paraId="6A8BBE37"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886,02</w:t>
            </w:r>
          </w:p>
        </w:tc>
        <w:tc>
          <w:tcPr>
            <w:tcW w:w="991" w:type="dxa"/>
          </w:tcPr>
          <w:p w14:paraId="0E0D344D"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46195,42</w:t>
            </w:r>
          </w:p>
        </w:tc>
        <w:tc>
          <w:tcPr>
            <w:tcW w:w="992" w:type="dxa"/>
          </w:tcPr>
          <w:p w14:paraId="2B9C2C2A"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p>
        </w:tc>
        <w:tc>
          <w:tcPr>
            <w:tcW w:w="992" w:type="dxa"/>
            <w:vAlign w:val="center"/>
          </w:tcPr>
          <w:p w14:paraId="215717F5"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eastAsia="ru-RU"/>
              </w:rPr>
              <w:t>1439,20</w:t>
            </w:r>
          </w:p>
        </w:tc>
        <w:tc>
          <w:tcPr>
            <w:tcW w:w="1561" w:type="dxa"/>
            <w:vAlign w:val="center"/>
          </w:tcPr>
          <w:p w14:paraId="253EDD89" w14:textId="77777777" w:rsidR="00195FD0" w:rsidRPr="009E5B39" w:rsidRDefault="00195FD0"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eastAsia="ru-RU"/>
              </w:rPr>
              <w:t>-637,32</w:t>
            </w:r>
          </w:p>
        </w:tc>
      </w:tr>
    </w:tbl>
    <w:p w14:paraId="2CFACB57" w14:textId="43C1DBAC" w:rsidR="00B66BD1" w:rsidRPr="009E5B39" w:rsidRDefault="00B66BD1" w:rsidP="000D1457">
      <w:pPr>
        <w:pStyle w:val="ListParagraph"/>
        <w:numPr>
          <w:ilvl w:val="0"/>
          <w:numId w:val="92"/>
        </w:numPr>
        <w:spacing w:before="240" w:after="0" w:line="276" w:lineRule="auto"/>
        <w:ind w:left="0" w:firstLine="0"/>
        <w:jc w:val="both"/>
        <w:rPr>
          <w:rFonts w:ascii="Calibri Light" w:eastAsia="Calibri" w:hAnsi="Calibri Light" w:cs="Tahoma"/>
          <w:sz w:val="24"/>
          <w:lang w:val="ro-MD"/>
        </w:rPr>
      </w:pPr>
      <w:r w:rsidRPr="009E5B39">
        <w:rPr>
          <w:rFonts w:asciiTheme="majorHAnsi" w:hAnsiTheme="majorHAnsi" w:cstheme="majorHAnsi"/>
          <w:sz w:val="24"/>
          <w:szCs w:val="24"/>
          <w:lang w:val="ro-MD"/>
        </w:rPr>
        <w:t>Conform prevederilor regulamentare</w:t>
      </w:r>
      <w:r w:rsidRPr="009E5B39">
        <w:rPr>
          <w:vertAlign w:val="superscript"/>
          <w:lang w:val="ro-MD"/>
        </w:rPr>
        <w:footnoteReference w:id="144"/>
      </w:r>
      <w:r w:rsidRPr="009E5B39">
        <w:rPr>
          <w:rFonts w:asciiTheme="majorHAnsi" w:hAnsiTheme="majorHAnsi" w:cstheme="majorHAnsi"/>
          <w:sz w:val="24"/>
          <w:szCs w:val="24"/>
          <w:lang w:val="ro-MD"/>
        </w:rPr>
        <w:t xml:space="preserve">, responsabilitatea </w:t>
      </w:r>
      <w:r w:rsidR="002F53A6" w:rsidRPr="009E5B39">
        <w:rPr>
          <w:rFonts w:asciiTheme="majorHAnsi" w:hAnsiTheme="majorHAnsi" w:cstheme="majorHAnsi"/>
          <w:sz w:val="24"/>
          <w:szCs w:val="24"/>
          <w:lang w:val="ro-MD"/>
        </w:rPr>
        <w:t xml:space="preserve">pentru </w:t>
      </w:r>
      <w:r w:rsidRPr="009E5B39">
        <w:rPr>
          <w:rFonts w:asciiTheme="majorHAnsi" w:hAnsiTheme="majorHAnsi" w:cstheme="majorHAnsi"/>
          <w:sz w:val="24"/>
          <w:szCs w:val="24"/>
          <w:lang w:val="ro-MD"/>
        </w:rPr>
        <w:t>asigur</w:t>
      </w:r>
      <w:r w:rsidR="002F53A6" w:rsidRPr="009E5B39">
        <w:rPr>
          <w:rFonts w:asciiTheme="majorHAnsi" w:hAnsiTheme="majorHAnsi" w:cstheme="majorHAnsi"/>
          <w:sz w:val="24"/>
          <w:szCs w:val="24"/>
          <w:lang w:val="ro-MD"/>
        </w:rPr>
        <w:t>area</w:t>
      </w:r>
      <w:r w:rsidRPr="009E5B39">
        <w:rPr>
          <w:rFonts w:asciiTheme="majorHAnsi" w:hAnsiTheme="majorHAnsi" w:cstheme="majorHAnsi"/>
          <w:sz w:val="24"/>
          <w:szCs w:val="24"/>
          <w:lang w:val="ro-MD"/>
        </w:rPr>
        <w:t xml:space="preserve"> documentar</w:t>
      </w:r>
      <w:r w:rsidR="002F53A6" w:rsidRPr="009E5B39">
        <w:rPr>
          <w:rFonts w:asciiTheme="majorHAnsi" w:hAnsiTheme="majorHAnsi" w:cstheme="majorHAnsi"/>
          <w:sz w:val="24"/>
          <w:szCs w:val="24"/>
          <w:lang w:val="ro-MD"/>
        </w:rPr>
        <w:t xml:space="preserve">ă </w:t>
      </w:r>
      <w:r w:rsidRPr="009E5B39">
        <w:rPr>
          <w:rFonts w:asciiTheme="majorHAnsi" w:hAnsiTheme="majorHAnsi" w:cstheme="majorHAnsi"/>
          <w:sz w:val="24"/>
          <w:szCs w:val="24"/>
          <w:lang w:val="ro-MD"/>
        </w:rPr>
        <w:t xml:space="preserve"> a tranzacțiilor ce țin de gestionarea patrimoniului public municipal, cum ar fi: privatizarea apartamentelor, privatizarea încăperilor nelocuibile și darea </w:t>
      </w:r>
      <w:r w:rsidR="000B3D80" w:rsidRPr="009E5B39">
        <w:rPr>
          <w:rFonts w:asciiTheme="majorHAnsi" w:hAnsiTheme="majorHAnsi" w:cstheme="majorHAnsi"/>
          <w:sz w:val="24"/>
          <w:szCs w:val="24"/>
          <w:lang w:val="ro-MD"/>
        </w:rPr>
        <w:t>î</w:t>
      </w:r>
      <w:r w:rsidRPr="009E5B39">
        <w:rPr>
          <w:rFonts w:asciiTheme="majorHAnsi" w:hAnsiTheme="majorHAnsi" w:cstheme="majorHAnsi"/>
          <w:sz w:val="24"/>
          <w:szCs w:val="24"/>
          <w:lang w:val="ro-MD"/>
        </w:rPr>
        <w:t>n locațiune a bunurilor patrimoniului public</w:t>
      </w:r>
      <w:r w:rsidR="002F53A6"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 fost pusă în sarcina DGECT</w:t>
      </w:r>
      <w:r w:rsidR="002F53A6" w:rsidRPr="009E5B39">
        <w:rPr>
          <w:rFonts w:asciiTheme="majorHAnsi" w:hAnsiTheme="majorHAnsi" w:cstheme="majorHAnsi"/>
          <w:sz w:val="24"/>
          <w:szCs w:val="24"/>
          <w:lang w:val="ro-MD"/>
        </w:rPr>
        <w:t>, î</w:t>
      </w:r>
      <w:r w:rsidRPr="009E5B39">
        <w:rPr>
          <w:rFonts w:asciiTheme="majorHAnsi" w:hAnsiTheme="majorHAnsi" w:cstheme="majorHAnsi"/>
          <w:sz w:val="24"/>
          <w:szCs w:val="24"/>
          <w:lang w:val="ro-MD"/>
        </w:rPr>
        <w:t xml:space="preserve">nsă aceste bunuri imobile sunt reflectate în evidența contabilă și la alte DG ale CMC; contractele cu locatarii sunt încheiate de DGECT, iar veniturile din aceste tranzacții sunt încasate direct în bugetul municipal, ceea ce nu asigură o evidență analitică conformă și veridică a veniturilor din aceste surse. În </w:t>
      </w:r>
      <w:r w:rsidR="000B3D80" w:rsidRPr="009E5B39">
        <w:rPr>
          <w:rFonts w:asciiTheme="majorHAnsi" w:hAnsiTheme="majorHAnsi" w:cstheme="majorHAnsi"/>
          <w:sz w:val="24"/>
          <w:szCs w:val="24"/>
          <w:lang w:val="ro-MD"/>
        </w:rPr>
        <w:t>anii</w:t>
      </w:r>
      <w:r w:rsidRPr="009E5B39">
        <w:rPr>
          <w:rFonts w:asciiTheme="majorHAnsi" w:hAnsiTheme="majorHAnsi" w:cstheme="majorHAnsi"/>
          <w:sz w:val="24"/>
          <w:szCs w:val="24"/>
          <w:lang w:val="ro-MD"/>
        </w:rPr>
        <w:t xml:space="preserve"> 2018-2020</w:t>
      </w:r>
      <w:r w:rsidR="000B3D8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bugetul municipal din aceste venituri au fost încasate 65.818,12 mii lei:</w:t>
      </w:r>
    </w:p>
    <w:tbl>
      <w:tblPr>
        <w:tblW w:w="94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096"/>
        <w:gridCol w:w="743"/>
        <w:gridCol w:w="863"/>
        <w:gridCol w:w="863"/>
        <w:gridCol w:w="863"/>
      </w:tblGrid>
      <w:tr w:rsidR="00B66BD1" w:rsidRPr="009E5B39" w14:paraId="755F611D" w14:textId="77777777" w:rsidTr="0026150B">
        <w:trPr>
          <w:trHeight w:val="204"/>
        </w:trPr>
        <w:tc>
          <w:tcPr>
            <w:tcW w:w="6096" w:type="dxa"/>
            <w:vMerge w:val="restart"/>
            <w:shd w:val="clear" w:color="auto" w:fill="FFFFFF" w:themeFill="background1"/>
            <w:vAlign w:val="center"/>
            <w:hideMark/>
          </w:tcPr>
          <w:p w14:paraId="2C579A0E" w14:textId="77777777" w:rsidR="00B66BD1" w:rsidRPr="009E5B39" w:rsidRDefault="00B66BD1" w:rsidP="00D32382">
            <w:pPr>
              <w:spacing w:after="0" w:line="240" w:lineRule="auto"/>
              <w:jc w:val="center"/>
              <w:rPr>
                <w:rFonts w:asciiTheme="majorHAnsi" w:eastAsia="Times New Roman" w:hAnsiTheme="majorHAnsi" w:cstheme="majorHAnsi"/>
                <w:b/>
                <w:bCs/>
                <w:sz w:val="16"/>
                <w:szCs w:val="16"/>
                <w:lang w:val="ro-MD" w:eastAsia="ro-RO"/>
              </w:rPr>
            </w:pPr>
            <w:r w:rsidRPr="009E5B39">
              <w:rPr>
                <w:rFonts w:asciiTheme="majorHAnsi" w:eastAsia="Times New Roman" w:hAnsiTheme="majorHAnsi" w:cstheme="majorHAnsi"/>
                <w:b/>
                <w:bCs/>
                <w:sz w:val="16"/>
                <w:szCs w:val="16"/>
                <w:lang w:val="ro-MD" w:eastAsia="ro-RO"/>
              </w:rPr>
              <w:t>Tipul de venit</w:t>
            </w:r>
          </w:p>
        </w:tc>
        <w:tc>
          <w:tcPr>
            <w:tcW w:w="743" w:type="dxa"/>
            <w:vMerge w:val="restart"/>
            <w:shd w:val="clear" w:color="auto" w:fill="FFFFFF" w:themeFill="background1"/>
            <w:vAlign w:val="center"/>
            <w:hideMark/>
          </w:tcPr>
          <w:p w14:paraId="37BDCF92" w14:textId="77777777" w:rsidR="00B66BD1" w:rsidRPr="009E5B39" w:rsidRDefault="00B66BD1" w:rsidP="00D32382">
            <w:pPr>
              <w:spacing w:after="0" w:line="240" w:lineRule="auto"/>
              <w:jc w:val="center"/>
              <w:rPr>
                <w:rFonts w:asciiTheme="majorHAnsi" w:eastAsia="Times New Roman" w:hAnsiTheme="majorHAnsi" w:cstheme="majorHAnsi"/>
                <w:b/>
                <w:bCs/>
                <w:sz w:val="16"/>
                <w:szCs w:val="16"/>
                <w:lang w:val="ro-MD" w:eastAsia="ro-RO"/>
              </w:rPr>
            </w:pPr>
            <w:r w:rsidRPr="009E5B39">
              <w:rPr>
                <w:rFonts w:asciiTheme="majorHAnsi" w:eastAsia="Times New Roman" w:hAnsiTheme="majorHAnsi" w:cstheme="majorHAnsi"/>
                <w:b/>
                <w:bCs/>
                <w:sz w:val="16"/>
                <w:szCs w:val="16"/>
                <w:lang w:val="ro-MD" w:eastAsia="ro-RO"/>
              </w:rPr>
              <w:t>Codul ECO</w:t>
            </w:r>
          </w:p>
        </w:tc>
        <w:tc>
          <w:tcPr>
            <w:tcW w:w="2589" w:type="dxa"/>
            <w:gridSpan w:val="3"/>
            <w:shd w:val="clear" w:color="auto" w:fill="FFFFFF" w:themeFill="background1"/>
            <w:vAlign w:val="center"/>
            <w:hideMark/>
          </w:tcPr>
          <w:p w14:paraId="07D0EEA2" w14:textId="77777777" w:rsidR="00B66BD1" w:rsidRPr="009E5B39" w:rsidRDefault="00B66BD1" w:rsidP="00D32382">
            <w:pPr>
              <w:spacing w:after="0" w:line="240" w:lineRule="auto"/>
              <w:jc w:val="center"/>
              <w:rPr>
                <w:rFonts w:asciiTheme="majorHAnsi" w:eastAsia="Times New Roman" w:hAnsiTheme="majorHAnsi" w:cstheme="majorHAnsi"/>
                <w:b/>
                <w:bCs/>
                <w:sz w:val="16"/>
                <w:szCs w:val="16"/>
                <w:lang w:val="ro-MD" w:eastAsia="ro-RO"/>
              </w:rPr>
            </w:pPr>
            <w:r w:rsidRPr="009E5B39">
              <w:rPr>
                <w:rFonts w:asciiTheme="majorHAnsi" w:eastAsia="Times New Roman" w:hAnsiTheme="majorHAnsi" w:cstheme="majorHAnsi"/>
                <w:b/>
                <w:bCs/>
                <w:sz w:val="16"/>
                <w:szCs w:val="16"/>
                <w:lang w:val="ro-MD" w:eastAsia="ro-RO"/>
              </w:rPr>
              <w:t>Executat conform FD-044 (mii lei)</w:t>
            </w:r>
          </w:p>
        </w:tc>
      </w:tr>
      <w:tr w:rsidR="00B66BD1" w:rsidRPr="009E5B39" w14:paraId="42C68C3F" w14:textId="77777777" w:rsidTr="0026150B">
        <w:trPr>
          <w:trHeight w:val="327"/>
        </w:trPr>
        <w:tc>
          <w:tcPr>
            <w:tcW w:w="6096" w:type="dxa"/>
            <w:vMerge/>
            <w:shd w:val="clear" w:color="auto" w:fill="FFFFFF" w:themeFill="background1"/>
            <w:vAlign w:val="center"/>
          </w:tcPr>
          <w:p w14:paraId="671D9270" w14:textId="77777777" w:rsidR="00B66BD1" w:rsidRPr="009E5B39" w:rsidRDefault="00B66BD1" w:rsidP="00D32382">
            <w:pPr>
              <w:spacing w:after="0" w:line="240" w:lineRule="auto"/>
              <w:rPr>
                <w:rFonts w:asciiTheme="majorHAnsi" w:eastAsia="Times New Roman" w:hAnsiTheme="majorHAnsi" w:cstheme="majorHAnsi"/>
                <w:b/>
                <w:bCs/>
                <w:sz w:val="16"/>
                <w:szCs w:val="16"/>
                <w:lang w:val="ro-MD" w:eastAsia="ro-RO"/>
              </w:rPr>
            </w:pPr>
          </w:p>
        </w:tc>
        <w:tc>
          <w:tcPr>
            <w:tcW w:w="743" w:type="dxa"/>
            <w:vMerge/>
            <w:shd w:val="clear" w:color="auto" w:fill="FFFFFF" w:themeFill="background1"/>
            <w:vAlign w:val="center"/>
          </w:tcPr>
          <w:p w14:paraId="7487CB18" w14:textId="77777777" w:rsidR="00B66BD1" w:rsidRPr="009E5B39" w:rsidRDefault="00B66BD1" w:rsidP="00D32382">
            <w:pPr>
              <w:spacing w:after="0" w:line="240" w:lineRule="auto"/>
              <w:rPr>
                <w:rFonts w:asciiTheme="majorHAnsi" w:eastAsia="Times New Roman" w:hAnsiTheme="majorHAnsi" w:cstheme="majorHAnsi"/>
                <w:b/>
                <w:bCs/>
                <w:sz w:val="16"/>
                <w:szCs w:val="16"/>
                <w:lang w:val="ro-MD" w:eastAsia="ro-RO"/>
              </w:rPr>
            </w:pPr>
          </w:p>
        </w:tc>
        <w:tc>
          <w:tcPr>
            <w:tcW w:w="863" w:type="dxa"/>
            <w:shd w:val="clear" w:color="auto" w:fill="FFFFFF" w:themeFill="background1"/>
            <w:vAlign w:val="center"/>
          </w:tcPr>
          <w:p w14:paraId="188753F4" w14:textId="77777777" w:rsidR="00B66BD1" w:rsidRPr="009E5B39" w:rsidRDefault="00B66BD1" w:rsidP="00D32382">
            <w:pPr>
              <w:spacing w:after="0" w:line="240" w:lineRule="auto"/>
              <w:jc w:val="center"/>
              <w:rPr>
                <w:rFonts w:asciiTheme="majorHAnsi" w:eastAsia="Times New Roman" w:hAnsiTheme="majorHAnsi" w:cstheme="majorHAnsi"/>
                <w:b/>
                <w:bCs/>
                <w:sz w:val="16"/>
                <w:szCs w:val="16"/>
                <w:lang w:val="ro-MD" w:eastAsia="ro-RO"/>
              </w:rPr>
            </w:pPr>
            <w:r w:rsidRPr="009E5B39">
              <w:rPr>
                <w:rFonts w:asciiTheme="majorHAnsi" w:eastAsia="Times New Roman" w:hAnsiTheme="majorHAnsi" w:cstheme="majorHAnsi"/>
                <w:b/>
                <w:bCs/>
                <w:sz w:val="16"/>
                <w:szCs w:val="16"/>
                <w:lang w:val="ro-MD" w:eastAsia="ro-RO"/>
              </w:rPr>
              <w:t>2018</w:t>
            </w:r>
          </w:p>
        </w:tc>
        <w:tc>
          <w:tcPr>
            <w:tcW w:w="863" w:type="dxa"/>
            <w:shd w:val="clear" w:color="auto" w:fill="FFFFFF" w:themeFill="background1"/>
            <w:vAlign w:val="center"/>
          </w:tcPr>
          <w:p w14:paraId="1AAC716A" w14:textId="77777777" w:rsidR="00B66BD1" w:rsidRPr="009E5B39" w:rsidRDefault="00B66BD1" w:rsidP="00D32382">
            <w:pPr>
              <w:spacing w:after="0" w:line="240" w:lineRule="auto"/>
              <w:jc w:val="center"/>
              <w:rPr>
                <w:rFonts w:asciiTheme="majorHAnsi" w:eastAsia="Times New Roman" w:hAnsiTheme="majorHAnsi" w:cstheme="majorHAnsi"/>
                <w:b/>
                <w:bCs/>
                <w:sz w:val="16"/>
                <w:szCs w:val="16"/>
                <w:lang w:val="ro-MD" w:eastAsia="ro-RO"/>
              </w:rPr>
            </w:pPr>
            <w:r w:rsidRPr="009E5B39">
              <w:rPr>
                <w:rFonts w:asciiTheme="majorHAnsi" w:eastAsia="Times New Roman" w:hAnsiTheme="majorHAnsi" w:cstheme="majorHAnsi"/>
                <w:b/>
                <w:bCs/>
                <w:sz w:val="16"/>
                <w:szCs w:val="16"/>
                <w:lang w:val="ro-MD" w:eastAsia="ro-RO"/>
              </w:rPr>
              <w:t>2019</w:t>
            </w:r>
          </w:p>
        </w:tc>
        <w:tc>
          <w:tcPr>
            <w:tcW w:w="863" w:type="dxa"/>
            <w:shd w:val="clear" w:color="auto" w:fill="FFFFFF" w:themeFill="background1"/>
            <w:vAlign w:val="center"/>
          </w:tcPr>
          <w:p w14:paraId="6487A4B4" w14:textId="77777777" w:rsidR="00B66BD1" w:rsidRPr="009E5B39" w:rsidRDefault="00B66BD1" w:rsidP="00D32382">
            <w:pPr>
              <w:spacing w:after="0" w:line="240" w:lineRule="auto"/>
              <w:jc w:val="center"/>
              <w:rPr>
                <w:rFonts w:asciiTheme="majorHAnsi" w:eastAsia="Times New Roman" w:hAnsiTheme="majorHAnsi" w:cstheme="majorHAnsi"/>
                <w:b/>
                <w:bCs/>
                <w:sz w:val="16"/>
                <w:szCs w:val="16"/>
                <w:lang w:val="ro-MD" w:eastAsia="ro-RO"/>
              </w:rPr>
            </w:pPr>
            <w:r w:rsidRPr="009E5B39">
              <w:rPr>
                <w:rFonts w:asciiTheme="majorHAnsi" w:eastAsia="Times New Roman" w:hAnsiTheme="majorHAnsi" w:cstheme="majorHAnsi"/>
                <w:b/>
                <w:bCs/>
                <w:sz w:val="16"/>
                <w:szCs w:val="16"/>
                <w:lang w:val="ro-MD" w:eastAsia="ro-RO"/>
              </w:rPr>
              <w:t>2020</w:t>
            </w:r>
          </w:p>
        </w:tc>
      </w:tr>
      <w:tr w:rsidR="00B66BD1" w:rsidRPr="009E5B39" w14:paraId="5DA8B512" w14:textId="77777777" w:rsidTr="0026150B">
        <w:trPr>
          <w:trHeight w:val="54"/>
        </w:trPr>
        <w:tc>
          <w:tcPr>
            <w:tcW w:w="6096" w:type="dxa"/>
            <w:shd w:val="clear" w:color="auto" w:fill="FFFFFF" w:themeFill="background1"/>
            <w:vAlign w:val="center"/>
            <w:hideMark/>
          </w:tcPr>
          <w:p w14:paraId="76D18A41" w14:textId="77777777" w:rsidR="00B66BD1" w:rsidRPr="009E5B39" w:rsidRDefault="00B66BD1" w:rsidP="00D32382">
            <w:pPr>
              <w:spacing w:after="0" w:line="240" w:lineRule="auto"/>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 xml:space="preserve">Venituri din privatizarea încăperilor nelocuibile </w:t>
            </w:r>
          </w:p>
        </w:tc>
        <w:tc>
          <w:tcPr>
            <w:tcW w:w="743" w:type="dxa"/>
            <w:shd w:val="clear" w:color="auto" w:fill="FFFFFF" w:themeFill="background1"/>
            <w:vAlign w:val="center"/>
            <w:hideMark/>
          </w:tcPr>
          <w:p w14:paraId="5FB1E8A8" w14:textId="77777777" w:rsidR="00B66BD1" w:rsidRPr="009E5B39" w:rsidRDefault="00B66BD1" w:rsidP="00D32382">
            <w:pPr>
              <w:spacing w:after="0" w:line="240" w:lineRule="auto"/>
              <w:jc w:val="center"/>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311210</w:t>
            </w:r>
          </w:p>
        </w:tc>
        <w:tc>
          <w:tcPr>
            <w:tcW w:w="863" w:type="dxa"/>
            <w:shd w:val="clear" w:color="auto" w:fill="FFFFFF" w:themeFill="background1"/>
            <w:vAlign w:val="center"/>
            <w:hideMark/>
          </w:tcPr>
          <w:p w14:paraId="47375769" w14:textId="77777777" w:rsidR="00B66BD1" w:rsidRPr="009E5B39" w:rsidRDefault="00B66BD1" w:rsidP="00D32382">
            <w:pPr>
              <w:spacing w:after="0" w:line="240" w:lineRule="auto"/>
              <w:jc w:val="right"/>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2.364,56</w:t>
            </w:r>
          </w:p>
        </w:tc>
        <w:tc>
          <w:tcPr>
            <w:tcW w:w="863" w:type="dxa"/>
            <w:shd w:val="clear" w:color="auto" w:fill="FFFFFF" w:themeFill="background1"/>
            <w:vAlign w:val="center"/>
            <w:hideMark/>
          </w:tcPr>
          <w:p w14:paraId="312143F1" w14:textId="77777777" w:rsidR="00B66BD1" w:rsidRPr="009E5B39" w:rsidRDefault="00B66BD1" w:rsidP="00D32382">
            <w:pPr>
              <w:spacing w:after="0" w:line="240" w:lineRule="auto"/>
              <w:jc w:val="right"/>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3.572,35</w:t>
            </w:r>
          </w:p>
        </w:tc>
        <w:tc>
          <w:tcPr>
            <w:tcW w:w="863" w:type="dxa"/>
            <w:shd w:val="clear" w:color="auto" w:fill="FFFFFF" w:themeFill="background1"/>
            <w:vAlign w:val="center"/>
            <w:hideMark/>
          </w:tcPr>
          <w:p w14:paraId="6438447F" w14:textId="77777777" w:rsidR="00B66BD1" w:rsidRPr="009E5B39" w:rsidRDefault="00B66BD1" w:rsidP="00D32382">
            <w:pPr>
              <w:spacing w:after="0" w:line="240" w:lineRule="auto"/>
              <w:jc w:val="right"/>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1.003,93</w:t>
            </w:r>
          </w:p>
        </w:tc>
      </w:tr>
      <w:tr w:rsidR="00B66BD1" w:rsidRPr="009E5B39" w14:paraId="74AA4DC2" w14:textId="77777777" w:rsidTr="0026150B">
        <w:trPr>
          <w:trHeight w:val="54"/>
        </w:trPr>
        <w:tc>
          <w:tcPr>
            <w:tcW w:w="6096" w:type="dxa"/>
            <w:shd w:val="clear" w:color="auto" w:fill="FFFFFF" w:themeFill="background1"/>
            <w:vAlign w:val="center"/>
            <w:hideMark/>
          </w:tcPr>
          <w:p w14:paraId="2C3753D3" w14:textId="77777777" w:rsidR="00B66BD1" w:rsidRPr="009E5B39" w:rsidRDefault="00B66BD1" w:rsidP="00D32382">
            <w:pPr>
              <w:spacing w:after="0" w:line="240" w:lineRule="auto"/>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 xml:space="preserve">Venituri din vânzarea apartamentelor către cetățeni </w:t>
            </w:r>
          </w:p>
        </w:tc>
        <w:tc>
          <w:tcPr>
            <w:tcW w:w="743" w:type="dxa"/>
            <w:shd w:val="clear" w:color="auto" w:fill="FFFFFF" w:themeFill="background1"/>
            <w:vAlign w:val="center"/>
            <w:hideMark/>
          </w:tcPr>
          <w:p w14:paraId="619788C9" w14:textId="77777777" w:rsidR="00B66BD1" w:rsidRPr="009E5B39" w:rsidRDefault="00B66BD1" w:rsidP="00D32382">
            <w:pPr>
              <w:spacing w:after="0" w:line="240" w:lineRule="auto"/>
              <w:jc w:val="center"/>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415240</w:t>
            </w:r>
          </w:p>
        </w:tc>
        <w:tc>
          <w:tcPr>
            <w:tcW w:w="863" w:type="dxa"/>
            <w:shd w:val="clear" w:color="auto" w:fill="FFFFFF" w:themeFill="background1"/>
            <w:vAlign w:val="center"/>
            <w:hideMark/>
          </w:tcPr>
          <w:p w14:paraId="0D677DA2" w14:textId="77777777" w:rsidR="00B66BD1" w:rsidRPr="009E5B39" w:rsidRDefault="00B66BD1" w:rsidP="00D32382">
            <w:pPr>
              <w:spacing w:after="0" w:line="240" w:lineRule="auto"/>
              <w:jc w:val="right"/>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4.366,30</w:t>
            </w:r>
          </w:p>
        </w:tc>
        <w:tc>
          <w:tcPr>
            <w:tcW w:w="863" w:type="dxa"/>
            <w:shd w:val="clear" w:color="auto" w:fill="FFFFFF" w:themeFill="background1"/>
            <w:vAlign w:val="center"/>
            <w:hideMark/>
          </w:tcPr>
          <w:p w14:paraId="564B77EE" w14:textId="77777777" w:rsidR="00B66BD1" w:rsidRPr="009E5B39" w:rsidRDefault="00B66BD1" w:rsidP="00D32382">
            <w:pPr>
              <w:spacing w:after="0" w:line="240" w:lineRule="auto"/>
              <w:jc w:val="right"/>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1.873,43</w:t>
            </w:r>
          </w:p>
        </w:tc>
        <w:tc>
          <w:tcPr>
            <w:tcW w:w="863" w:type="dxa"/>
            <w:shd w:val="clear" w:color="auto" w:fill="FFFFFF" w:themeFill="background1"/>
            <w:vAlign w:val="center"/>
            <w:hideMark/>
          </w:tcPr>
          <w:p w14:paraId="2844DBA0" w14:textId="77777777" w:rsidR="00B66BD1" w:rsidRPr="009E5B39" w:rsidRDefault="00B66BD1" w:rsidP="00D32382">
            <w:pPr>
              <w:spacing w:after="0" w:line="240" w:lineRule="auto"/>
              <w:jc w:val="right"/>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1.961,19</w:t>
            </w:r>
          </w:p>
        </w:tc>
      </w:tr>
      <w:tr w:rsidR="00B66BD1" w:rsidRPr="009E5B39" w14:paraId="126FA1CF" w14:textId="77777777" w:rsidTr="0026150B">
        <w:trPr>
          <w:trHeight w:val="67"/>
        </w:trPr>
        <w:tc>
          <w:tcPr>
            <w:tcW w:w="6096" w:type="dxa"/>
            <w:shd w:val="clear" w:color="auto" w:fill="FFFFFF" w:themeFill="background1"/>
            <w:vAlign w:val="center"/>
            <w:hideMark/>
          </w:tcPr>
          <w:p w14:paraId="4475F400" w14:textId="7F153025" w:rsidR="00B66BD1" w:rsidRPr="009E5B39" w:rsidRDefault="00B66BD1" w:rsidP="00D32382">
            <w:pPr>
              <w:spacing w:after="0" w:line="240" w:lineRule="auto"/>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Venituri din locațiunea bunurilor patrimoniului public</w:t>
            </w:r>
            <w:r w:rsidR="002F53A6" w:rsidRPr="009E5B39">
              <w:rPr>
                <w:rFonts w:asciiTheme="majorHAnsi" w:eastAsia="Times New Roman" w:hAnsiTheme="majorHAnsi" w:cstheme="majorHAnsi"/>
                <w:sz w:val="16"/>
                <w:szCs w:val="16"/>
                <w:lang w:val="ro-MD" w:eastAsia="ro-RO"/>
              </w:rPr>
              <w:t>,</w:t>
            </w:r>
            <w:r w:rsidRPr="009E5B39">
              <w:rPr>
                <w:rFonts w:asciiTheme="majorHAnsi" w:eastAsia="Times New Roman" w:hAnsiTheme="majorHAnsi" w:cstheme="majorHAnsi"/>
                <w:sz w:val="16"/>
                <w:szCs w:val="16"/>
                <w:lang w:val="ro-MD" w:eastAsia="ro-RO"/>
              </w:rPr>
              <w:t xml:space="preserve"> încasat</w:t>
            </w:r>
            <w:r w:rsidR="002F53A6" w:rsidRPr="009E5B39">
              <w:rPr>
                <w:rFonts w:asciiTheme="majorHAnsi" w:eastAsia="Times New Roman" w:hAnsiTheme="majorHAnsi" w:cstheme="majorHAnsi"/>
                <w:sz w:val="16"/>
                <w:szCs w:val="16"/>
                <w:lang w:val="ro-MD" w:eastAsia="ro-RO"/>
              </w:rPr>
              <w:t>e</w:t>
            </w:r>
            <w:r w:rsidRPr="009E5B39">
              <w:rPr>
                <w:rFonts w:asciiTheme="majorHAnsi" w:eastAsia="Times New Roman" w:hAnsiTheme="majorHAnsi" w:cstheme="majorHAnsi"/>
                <w:sz w:val="16"/>
                <w:szCs w:val="16"/>
                <w:lang w:val="ro-MD" w:eastAsia="ro-RO"/>
              </w:rPr>
              <w:t xml:space="preserve"> la bugetul local de nivelul II </w:t>
            </w:r>
          </w:p>
        </w:tc>
        <w:tc>
          <w:tcPr>
            <w:tcW w:w="743" w:type="dxa"/>
            <w:shd w:val="clear" w:color="auto" w:fill="FFFFFF" w:themeFill="background1"/>
            <w:vAlign w:val="center"/>
            <w:hideMark/>
          </w:tcPr>
          <w:p w14:paraId="7C1E8CD2" w14:textId="77777777" w:rsidR="00B66BD1" w:rsidRPr="009E5B39" w:rsidRDefault="00B66BD1" w:rsidP="00D32382">
            <w:pPr>
              <w:spacing w:after="0" w:line="240" w:lineRule="auto"/>
              <w:jc w:val="center"/>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142251</w:t>
            </w:r>
          </w:p>
        </w:tc>
        <w:tc>
          <w:tcPr>
            <w:tcW w:w="863" w:type="dxa"/>
            <w:shd w:val="clear" w:color="auto" w:fill="FFFFFF" w:themeFill="background1"/>
            <w:vAlign w:val="center"/>
            <w:hideMark/>
          </w:tcPr>
          <w:p w14:paraId="3B0D58EA" w14:textId="77777777" w:rsidR="00B66BD1" w:rsidRPr="009E5B39" w:rsidRDefault="00B66BD1" w:rsidP="00D32382">
            <w:pPr>
              <w:spacing w:after="0" w:line="240" w:lineRule="auto"/>
              <w:jc w:val="right"/>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18.189,45</w:t>
            </w:r>
          </w:p>
        </w:tc>
        <w:tc>
          <w:tcPr>
            <w:tcW w:w="863" w:type="dxa"/>
            <w:shd w:val="clear" w:color="auto" w:fill="FFFFFF" w:themeFill="background1"/>
            <w:vAlign w:val="center"/>
            <w:hideMark/>
          </w:tcPr>
          <w:p w14:paraId="0A18CFF8" w14:textId="77777777" w:rsidR="00B66BD1" w:rsidRPr="009E5B39" w:rsidRDefault="00B66BD1" w:rsidP="00D32382">
            <w:pPr>
              <w:spacing w:after="0" w:line="240" w:lineRule="auto"/>
              <w:jc w:val="right"/>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13.028,24</w:t>
            </w:r>
          </w:p>
        </w:tc>
        <w:tc>
          <w:tcPr>
            <w:tcW w:w="863" w:type="dxa"/>
            <w:shd w:val="clear" w:color="auto" w:fill="FFFFFF" w:themeFill="background1"/>
            <w:vAlign w:val="center"/>
            <w:hideMark/>
          </w:tcPr>
          <w:p w14:paraId="74EF1117" w14:textId="77777777" w:rsidR="00B66BD1" w:rsidRPr="009E5B39" w:rsidRDefault="00B66BD1" w:rsidP="00D32382">
            <w:pPr>
              <w:spacing w:after="0" w:line="240" w:lineRule="auto"/>
              <w:jc w:val="right"/>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18.967,40</w:t>
            </w:r>
          </w:p>
        </w:tc>
      </w:tr>
      <w:tr w:rsidR="00B66BD1" w:rsidRPr="009E5B39" w14:paraId="26C6DE84" w14:textId="77777777" w:rsidTr="0026150B">
        <w:trPr>
          <w:trHeight w:val="54"/>
        </w:trPr>
        <w:tc>
          <w:tcPr>
            <w:tcW w:w="6096" w:type="dxa"/>
            <w:shd w:val="clear" w:color="auto" w:fill="FFFFFF" w:themeFill="background1"/>
            <w:vAlign w:val="center"/>
            <w:hideMark/>
          </w:tcPr>
          <w:p w14:paraId="5F9F3ED1" w14:textId="77777777" w:rsidR="00B66BD1" w:rsidRPr="009E5B39" w:rsidRDefault="00B66BD1" w:rsidP="00D32382">
            <w:pPr>
              <w:spacing w:after="0" w:line="240" w:lineRule="auto"/>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 xml:space="preserve">Venituri din locațiunea bunurilor patrimoniului public </w:t>
            </w:r>
          </w:p>
        </w:tc>
        <w:tc>
          <w:tcPr>
            <w:tcW w:w="743" w:type="dxa"/>
            <w:shd w:val="clear" w:color="auto" w:fill="FFFFFF" w:themeFill="background1"/>
            <w:vAlign w:val="center"/>
            <w:hideMark/>
          </w:tcPr>
          <w:p w14:paraId="7B39AFBD" w14:textId="77777777" w:rsidR="00B66BD1" w:rsidRPr="009E5B39" w:rsidRDefault="00B66BD1" w:rsidP="00D32382">
            <w:pPr>
              <w:spacing w:after="0" w:line="240" w:lineRule="auto"/>
              <w:jc w:val="center"/>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142320</w:t>
            </w:r>
          </w:p>
        </w:tc>
        <w:tc>
          <w:tcPr>
            <w:tcW w:w="863" w:type="dxa"/>
            <w:shd w:val="clear" w:color="auto" w:fill="FFFFFF" w:themeFill="background1"/>
            <w:vAlign w:val="center"/>
            <w:hideMark/>
          </w:tcPr>
          <w:p w14:paraId="6F17E15D" w14:textId="77777777" w:rsidR="00B66BD1" w:rsidRPr="009E5B39" w:rsidRDefault="00B66BD1" w:rsidP="00D32382">
            <w:pPr>
              <w:spacing w:after="0" w:line="240" w:lineRule="auto"/>
              <w:jc w:val="right"/>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128,39</w:t>
            </w:r>
          </w:p>
        </w:tc>
        <w:tc>
          <w:tcPr>
            <w:tcW w:w="863" w:type="dxa"/>
            <w:shd w:val="clear" w:color="auto" w:fill="FFFFFF" w:themeFill="background1"/>
            <w:vAlign w:val="center"/>
            <w:hideMark/>
          </w:tcPr>
          <w:p w14:paraId="022DA8CC" w14:textId="77777777" w:rsidR="00B66BD1" w:rsidRPr="009E5B39" w:rsidRDefault="00B66BD1" w:rsidP="00D32382">
            <w:pPr>
              <w:spacing w:after="0" w:line="240" w:lineRule="auto"/>
              <w:jc w:val="right"/>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177,07</w:t>
            </w:r>
          </w:p>
        </w:tc>
        <w:tc>
          <w:tcPr>
            <w:tcW w:w="863" w:type="dxa"/>
            <w:shd w:val="clear" w:color="auto" w:fill="FFFFFF" w:themeFill="background1"/>
            <w:vAlign w:val="center"/>
            <w:hideMark/>
          </w:tcPr>
          <w:p w14:paraId="2CB13EE7" w14:textId="77777777" w:rsidR="00B66BD1" w:rsidRPr="009E5B39" w:rsidRDefault="00B66BD1" w:rsidP="00D32382">
            <w:pPr>
              <w:spacing w:after="0" w:line="240" w:lineRule="auto"/>
              <w:jc w:val="right"/>
              <w:rPr>
                <w:rFonts w:asciiTheme="majorHAnsi" w:eastAsia="Times New Roman" w:hAnsiTheme="majorHAnsi" w:cstheme="majorHAnsi"/>
                <w:sz w:val="16"/>
                <w:szCs w:val="16"/>
                <w:lang w:val="ro-MD" w:eastAsia="ro-RO"/>
              </w:rPr>
            </w:pPr>
            <w:r w:rsidRPr="009E5B39">
              <w:rPr>
                <w:rFonts w:asciiTheme="majorHAnsi" w:eastAsia="Times New Roman" w:hAnsiTheme="majorHAnsi" w:cstheme="majorHAnsi"/>
                <w:sz w:val="16"/>
                <w:szCs w:val="16"/>
                <w:lang w:val="ro-MD" w:eastAsia="ro-RO"/>
              </w:rPr>
              <w:t>185,80</w:t>
            </w:r>
          </w:p>
        </w:tc>
      </w:tr>
      <w:tr w:rsidR="00B66BD1" w:rsidRPr="009E5B39" w14:paraId="670EAC0F" w14:textId="77777777" w:rsidTr="0026150B">
        <w:trPr>
          <w:trHeight w:val="211"/>
        </w:trPr>
        <w:tc>
          <w:tcPr>
            <w:tcW w:w="6096" w:type="dxa"/>
            <w:shd w:val="clear" w:color="auto" w:fill="FFFFFF" w:themeFill="background1"/>
            <w:vAlign w:val="center"/>
            <w:hideMark/>
          </w:tcPr>
          <w:p w14:paraId="36533A15" w14:textId="77777777" w:rsidR="00B66BD1" w:rsidRPr="009E5B39" w:rsidRDefault="00B66BD1" w:rsidP="00D32382">
            <w:pPr>
              <w:spacing w:after="0" w:line="240" w:lineRule="auto"/>
              <w:jc w:val="center"/>
              <w:rPr>
                <w:rFonts w:asciiTheme="majorHAnsi" w:eastAsia="Times New Roman" w:hAnsiTheme="majorHAnsi" w:cstheme="majorHAnsi"/>
                <w:b/>
                <w:bCs/>
                <w:sz w:val="16"/>
                <w:szCs w:val="16"/>
                <w:lang w:val="ro-MD" w:eastAsia="ro-RO"/>
              </w:rPr>
            </w:pPr>
            <w:r w:rsidRPr="009E5B39">
              <w:rPr>
                <w:rFonts w:asciiTheme="majorHAnsi" w:eastAsia="Times New Roman" w:hAnsiTheme="majorHAnsi" w:cstheme="majorHAnsi"/>
                <w:b/>
                <w:bCs/>
                <w:sz w:val="16"/>
                <w:szCs w:val="16"/>
                <w:lang w:val="ro-MD" w:eastAsia="ro-RO"/>
              </w:rPr>
              <w:t>TOTAL</w:t>
            </w:r>
          </w:p>
        </w:tc>
        <w:tc>
          <w:tcPr>
            <w:tcW w:w="743" w:type="dxa"/>
            <w:shd w:val="clear" w:color="auto" w:fill="FFFFFF" w:themeFill="background1"/>
            <w:vAlign w:val="center"/>
            <w:hideMark/>
          </w:tcPr>
          <w:p w14:paraId="31E80016" w14:textId="77777777" w:rsidR="00B66BD1" w:rsidRPr="009E5B39" w:rsidRDefault="00B66BD1" w:rsidP="00D32382">
            <w:pPr>
              <w:spacing w:after="0" w:line="240" w:lineRule="auto"/>
              <w:rPr>
                <w:rFonts w:asciiTheme="majorHAnsi" w:eastAsia="Times New Roman" w:hAnsiTheme="majorHAnsi" w:cstheme="majorHAnsi"/>
                <w:b/>
                <w:bCs/>
                <w:sz w:val="16"/>
                <w:szCs w:val="16"/>
                <w:lang w:val="ro-MD" w:eastAsia="ro-RO"/>
              </w:rPr>
            </w:pPr>
            <w:r w:rsidRPr="009E5B39">
              <w:rPr>
                <w:rFonts w:asciiTheme="majorHAnsi" w:eastAsia="Times New Roman" w:hAnsiTheme="majorHAnsi" w:cstheme="majorHAnsi"/>
                <w:b/>
                <w:bCs/>
                <w:sz w:val="16"/>
                <w:szCs w:val="16"/>
                <w:lang w:val="ro-MD" w:eastAsia="ro-RO"/>
              </w:rPr>
              <w:t> </w:t>
            </w:r>
          </w:p>
        </w:tc>
        <w:tc>
          <w:tcPr>
            <w:tcW w:w="863" w:type="dxa"/>
            <w:shd w:val="clear" w:color="auto" w:fill="FFFFFF" w:themeFill="background1"/>
            <w:vAlign w:val="center"/>
            <w:hideMark/>
          </w:tcPr>
          <w:p w14:paraId="2C581845" w14:textId="77777777" w:rsidR="00B66BD1" w:rsidRPr="009E5B39" w:rsidRDefault="00B66BD1" w:rsidP="00D32382">
            <w:pPr>
              <w:spacing w:after="0" w:line="240" w:lineRule="auto"/>
              <w:jc w:val="right"/>
              <w:rPr>
                <w:rFonts w:asciiTheme="majorHAnsi" w:eastAsia="Times New Roman" w:hAnsiTheme="majorHAnsi" w:cstheme="majorHAnsi"/>
                <w:b/>
                <w:bCs/>
                <w:sz w:val="16"/>
                <w:szCs w:val="16"/>
                <w:lang w:val="ro-MD" w:eastAsia="ro-RO"/>
              </w:rPr>
            </w:pPr>
            <w:r w:rsidRPr="009E5B39">
              <w:rPr>
                <w:rFonts w:asciiTheme="majorHAnsi" w:eastAsia="Times New Roman" w:hAnsiTheme="majorHAnsi" w:cstheme="majorHAnsi"/>
                <w:b/>
                <w:bCs/>
                <w:sz w:val="16"/>
                <w:szCs w:val="16"/>
                <w:lang w:val="ro-MD" w:eastAsia="ro-RO"/>
              </w:rPr>
              <w:t>25.048,70</w:t>
            </w:r>
          </w:p>
        </w:tc>
        <w:tc>
          <w:tcPr>
            <w:tcW w:w="863" w:type="dxa"/>
            <w:shd w:val="clear" w:color="auto" w:fill="FFFFFF" w:themeFill="background1"/>
            <w:vAlign w:val="center"/>
            <w:hideMark/>
          </w:tcPr>
          <w:p w14:paraId="4AA7E575" w14:textId="77777777" w:rsidR="00B66BD1" w:rsidRPr="009E5B39" w:rsidRDefault="00B66BD1" w:rsidP="00D32382">
            <w:pPr>
              <w:spacing w:after="0" w:line="240" w:lineRule="auto"/>
              <w:jc w:val="right"/>
              <w:rPr>
                <w:rFonts w:asciiTheme="majorHAnsi" w:eastAsia="Times New Roman" w:hAnsiTheme="majorHAnsi" w:cstheme="majorHAnsi"/>
                <w:b/>
                <w:bCs/>
                <w:sz w:val="16"/>
                <w:szCs w:val="16"/>
                <w:lang w:val="ro-MD" w:eastAsia="ro-RO"/>
              </w:rPr>
            </w:pPr>
            <w:r w:rsidRPr="009E5B39">
              <w:rPr>
                <w:rFonts w:asciiTheme="majorHAnsi" w:eastAsia="Times New Roman" w:hAnsiTheme="majorHAnsi" w:cstheme="majorHAnsi"/>
                <w:b/>
                <w:bCs/>
                <w:sz w:val="16"/>
                <w:szCs w:val="16"/>
                <w:lang w:val="ro-MD" w:eastAsia="ro-RO"/>
              </w:rPr>
              <w:t>18.637,55</w:t>
            </w:r>
          </w:p>
        </w:tc>
        <w:tc>
          <w:tcPr>
            <w:tcW w:w="863" w:type="dxa"/>
            <w:shd w:val="clear" w:color="auto" w:fill="FFFFFF" w:themeFill="background1"/>
            <w:vAlign w:val="center"/>
            <w:hideMark/>
          </w:tcPr>
          <w:p w14:paraId="261AA3E7" w14:textId="77777777" w:rsidR="00B66BD1" w:rsidRPr="009E5B39" w:rsidRDefault="00B66BD1" w:rsidP="00D32382">
            <w:pPr>
              <w:spacing w:after="0" w:line="240" w:lineRule="auto"/>
              <w:jc w:val="right"/>
              <w:rPr>
                <w:rFonts w:asciiTheme="majorHAnsi" w:eastAsia="Times New Roman" w:hAnsiTheme="majorHAnsi" w:cstheme="majorHAnsi"/>
                <w:b/>
                <w:bCs/>
                <w:sz w:val="16"/>
                <w:szCs w:val="16"/>
                <w:lang w:val="ro-MD" w:eastAsia="ro-RO"/>
              </w:rPr>
            </w:pPr>
            <w:r w:rsidRPr="009E5B39">
              <w:rPr>
                <w:rFonts w:asciiTheme="majorHAnsi" w:eastAsia="Times New Roman" w:hAnsiTheme="majorHAnsi" w:cstheme="majorHAnsi"/>
                <w:b/>
                <w:bCs/>
                <w:sz w:val="16"/>
                <w:szCs w:val="16"/>
                <w:lang w:val="ro-MD" w:eastAsia="ro-RO"/>
              </w:rPr>
              <w:t>22.118,32</w:t>
            </w:r>
          </w:p>
        </w:tc>
      </w:tr>
    </w:tbl>
    <w:p w14:paraId="38EB9ECE" w14:textId="6AE4F366" w:rsidR="00B66BD1" w:rsidRPr="009E5B39" w:rsidRDefault="00B66BD1" w:rsidP="00B66BD1">
      <w:pPr>
        <w:spacing w:after="0" w:line="276" w:lineRule="auto"/>
        <w:rPr>
          <w:rFonts w:asciiTheme="majorHAnsi" w:hAnsiTheme="majorHAnsi" w:cstheme="majorHAnsi"/>
          <w:i/>
          <w:sz w:val="16"/>
          <w:szCs w:val="16"/>
          <w:lang w:val="ro-MD"/>
        </w:rPr>
      </w:pPr>
      <w:r w:rsidRPr="009E5B39">
        <w:rPr>
          <w:rFonts w:asciiTheme="majorHAnsi" w:hAnsiTheme="majorHAnsi" w:cstheme="majorHAnsi"/>
          <w:b/>
          <w:i/>
          <w:sz w:val="16"/>
          <w:szCs w:val="16"/>
          <w:lang w:val="ro-MD"/>
        </w:rPr>
        <w:t>Sursa</w:t>
      </w:r>
      <w:r w:rsidRPr="009E5B39">
        <w:rPr>
          <w:rFonts w:asciiTheme="majorHAnsi" w:hAnsiTheme="majorHAnsi" w:cstheme="majorHAnsi"/>
          <w:i/>
          <w:sz w:val="16"/>
          <w:szCs w:val="16"/>
          <w:lang w:val="ro-MD"/>
        </w:rPr>
        <w:t xml:space="preserve">: Elaborat de auditor în baza datelor prezentate de DGECT, </w:t>
      </w:r>
      <w:r w:rsidR="002F53A6" w:rsidRPr="009E5B39">
        <w:rPr>
          <w:rFonts w:asciiTheme="majorHAnsi" w:hAnsiTheme="majorHAnsi" w:cstheme="majorHAnsi"/>
          <w:i/>
          <w:sz w:val="16"/>
          <w:szCs w:val="16"/>
          <w:lang w:val="ro-MD"/>
        </w:rPr>
        <w:t>F</w:t>
      </w:r>
      <w:r w:rsidRPr="009E5B39">
        <w:rPr>
          <w:rFonts w:asciiTheme="majorHAnsi" w:hAnsiTheme="majorHAnsi" w:cstheme="majorHAnsi"/>
          <w:i/>
          <w:sz w:val="16"/>
          <w:szCs w:val="16"/>
          <w:lang w:val="ro-MD"/>
        </w:rPr>
        <w:t>orma FD-044</w:t>
      </w:r>
      <w:r w:rsidR="002F53A6" w:rsidRPr="009E5B39">
        <w:rPr>
          <w:rFonts w:asciiTheme="majorHAnsi" w:hAnsiTheme="majorHAnsi" w:cstheme="majorHAnsi"/>
          <w:i/>
          <w:sz w:val="16"/>
          <w:szCs w:val="16"/>
          <w:lang w:val="ro-MD"/>
        </w:rPr>
        <w:t>.</w:t>
      </w:r>
    </w:p>
    <w:p w14:paraId="42381921" w14:textId="67F51169" w:rsidR="00B66BD1" w:rsidRPr="009E5B39" w:rsidRDefault="00B66BD1" w:rsidP="000D1457">
      <w:pPr>
        <w:pStyle w:val="ListParagraph"/>
        <w:tabs>
          <w:tab w:val="left" w:pos="851"/>
        </w:tabs>
        <w:spacing w:before="240" w:after="0" w:line="276" w:lineRule="auto"/>
        <w:ind w:left="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Probele de audit denotă că</w:t>
      </w:r>
      <w:r w:rsidRPr="009E5B39">
        <w:rPr>
          <w:rFonts w:asciiTheme="majorHAnsi" w:hAnsiTheme="majorHAnsi" w:cstheme="majorHAnsi"/>
          <w:bCs/>
          <w:sz w:val="24"/>
          <w:szCs w:val="24"/>
          <w:lang w:val="ro-MD"/>
        </w:rPr>
        <w:t xml:space="preserve"> DGECT</w:t>
      </w:r>
      <w:r w:rsidRPr="009E5B39">
        <w:rPr>
          <w:rFonts w:asciiTheme="majorHAnsi" w:hAnsiTheme="majorHAnsi" w:cstheme="majorHAnsi"/>
          <w:sz w:val="24"/>
          <w:szCs w:val="24"/>
          <w:lang w:val="ro-MD"/>
        </w:rPr>
        <w:t>:</w:t>
      </w:r>
    </w:p>
    <w:p w14:paraId="7D28EE16" w14:textId="6D432F09" w:rsidR="00B66BD1" w:rsidRPr="009E5B39" w:rsidRDefault="00B66BD1" w:rsidP="00B66BD1">
      <w:pPr>
        <w:spacing w:after="0" w:line="276" w:lineRule="auto"/>
        <w:contextualSpacing/>
        <w:jc w:val="both"/>
        <w:rPr>
          <w:rFonts w:asciiTheme="majorHAnsi" w:hAnsiTheme="majorHAnsi" w:cstheme="majorHAnsi"/>
          <w:bCs/>
          <w:sz w:val="24"/>
          <w:szCs w:val="24"/>
          <w:lang w:val="ro-MD"/>
        </w:rPr>
      </w:pPr>
      <w:r w:rsidRPr="009E5B39">
        <w:rPr>
          <w:rFonts w:asciiTheme="majorHAnsi" w:hAnsiTheme="majorHAnsi" w:cstheme="majorHAnsi"/>
          <w:bCs/>
          <w:sz w:val="24"/>
          <w:szCs w:val="24"/>
          <w:lang w:val="ro-MD"/>
        </w:rPr>
        <w:t>-  nu a asigurat evidența analitică contabilă a calculelor veniturilor din privatizarea locuințelor, auditului fiind</w:t>
      </w:r>
      <w:r w:rsidR="000B3D80" w:rsidRPr="009E5B39">
        <w:rPr>
          <w:rFonts w:asciiTheme="majorHAnsi" w:hAnsiTheme="majorHAnsi" w:cstheme="majorHAnsi"/>
          <w:bCs/>
          <w:sz w:val="24"/>
          <w:szCs w:val="24"/>
          <w:lang w:val="ro-MD"/>
        </w:rPr>
        <w:t>u-i</w:t>
      </w:r>
      <w:r w:rsidRPr="009E5B39">
        <w:rPr>
          <w:rFonts w:asciiTheme="majorHAnsi" w:hAnsiTheme="majorHAnsi" w:cstheme="majorHAnsi"/>
          <w:bCs/>
          <w:sz w:val="24"/>
          <w:szCs w:val="24"/>
          <w:lang w:val="ro-MD"/>
        </w:rPr>
        <w:t xml:space="preserve"> prezentată o evidență analitică </w:t>
      </w:r>
      <w:r w:rsidR="00833E20">
        <w:rPr>
          <w:rFonts w:asciiTheme="majorHAnsi" w:hAnsiTheme="majorHAnsi" w:cstheme="majorHAnsi"/>
          <w:bCs/>
          <w:sz w:val="24"/>
          <w:szCs w:val="24"/>
          <w:lang w:val="ro-MD"/>
        </w:rPr>
        <w:t xml:space="preserve">operațională </w:t>
      </w:r>
      <w:r w:rsidRPr="009E5B39">
        <w:rPr>
          <w:rFonts w:asciiTheme="majorHAnsi" w:hAnsiTheme="majorHAnsi" w:cstheme="majorHAnsi"/>
          <w:bCs/>
          <w:sz w:val="24"/>
          <w:szCs w:val="24"/>
          <w:lang w:val="ro-MD"/>
        </w:rPr>
        <w:t>a încasărilor aferente deciziilor pozitive ale Comisiei de privatizare a fondului de locuințe;</w:t>
      </w:r>
      <w:r w:rsidRPr="009E5B39" w:rsidDel="003C6960">
        <w:rPr>
          <w:rFonts w:asciiTheme="majorHAnsi" w:hAnsiTheme="majorHAnsi" w:cstheme="majorHAnsi"/>
          <w:bCs/>
          <w:sz w:val="24"/>
          <w:szCs w:val="24"/>
          <w:lang w:val="ro-MD"/>
        </w:rPr>
        <w:t xml:space="preserve"> </w:t>
      </w:r>
      <w:r w:rsidRPr="009E5B39">
        <w:rPr>
          <w:rFonts w:asciiTheme="majorHAnsi" w:hAnsiTheme="majorHAnsi" w:cstheme="majorHAnsi"/>
          <w:bCs/>
          <w:sz w:val="24"/>
          <w:szCs w:val="24"/>
          <w:lang w:val="ro-MD"/>
        </w:rPr>
        <w:t xml:space="preserve"> </w:t>
      </w:r>
    </w:p>
    <w:p w14:paraId="2642BFCC" w14:textId="5F6B4102" w:rsidR="00B66BD1" w:rsidRPr="009E5B39" w:rsidRDefault="00B66BD1" w:rsidP="00B66BD1">
      <w:pPr>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bCs/>
          <w:sz w:val="24"/>
          <w:szCs w:val="24"/>
          <w:lang w:val="ro-MD"/>
        </w:rPr>
        <w:t>- nu deține o evidență analitică contabilă corespunzătoare a tranzacțiilor aferente privatizării încăperilor nelocuibile</w:t>
      </w:r>
      <w:r w:rsidR="005E56D9" w:rsidRPr="009E5B39">
        <w:rPr>
          <w:rFonts w:asciiTheme="majorHAnsi" w:hAnsiTheme="majorHAnsi" w:cstheme="majorHAnsi"/>
          <w:bCs/>
          <w:sz w:val="24"/>
          <w:szCs w:val="24"/>
          <w:lang w:val="ro-MD"/>
        </w:rPr>
        <w:t>, l</w:t>
      </w:r>
      <w:r w:rsidRPr="009E5B39">
        <w:rPr>
          <w:rFonts w:asciiTheme="majorHAnsi" w:hAnsiTheme="majorHAnsi" w:cstheme="majorHAnsi"/>
          <w:bCs/>
          <w:sz w:val="24"/>
          <w:szCs w:val="24"/>
          <w:lang w:val="ro-MD"/>
        </w:rPr>
        <w:t xml:space="preserve">a compartimentul „calculat” fiind incluse și sumele restanțelor </w:t>
      </w:r>
      <w:r w:rsidR="005E56D9" w:rsidRPr="009E5B39">
        <w:rPr>
          <w:rFonts w:asciiTheme="majorHAnsi" w:hAnsiTheme="majorHAnsi" w:cstheme="majorHAnsi"/>
          <w:bCs/>
          <w:sz w:val="24"/>
          <w:szCs w:val="24"/>
          <w:lang w:val="ro-MD"/>
        </w:rPr>
        <w:t xml:space="preserve">din </w:t>
      </w:r>
      <w:r w:rsidRPr="009E5B39">
        <w:rPr>
          <w:rFonts w:asciiTheme="majorHAnsi" w:hAnsiTheme="majorHAnsi" w:cstheme="majorHAnsi"/>
          <w:bCs/>
          <w:sz w:val="24"/>
          <w:szCs w:val="24"/>
          <w:lang w:val="ro-MD"/>
        </w:rPr>
        <w:t>anul</w:t>
      </w:r>
      <w:r w:rsidR="005E56D9" w:rsidRPr="009E5B39">
        <w:rPr>
          <w:rFonts w:asciiTheme="majorHAnsi" w:hAnsiTheme="majorHAnsi" w:cstheme="majorHAnsi"/>
          <w:bCs/>
          <w:sz w:val="24"/>
          <w:szCs w:val="24"/>
          <w:lang w:val="ro-MD"/>
        </w:rPr>
        <w:t xml:space="preserve"> </w:t>
      </w:r>
      <w:r w:rsidRPr="009E5B39">
        <w:rPr>
          <w:rFonts w:asciiTheme="majorHAnsi" w:hAnsiTheme="majorHAnsi" w:cstheme="majorHAnsi"/>
          <w:bCs/>
          <w:sz w:val="24"/>
          <w:szCs w:val="24"/>
          <w:lang w:val="ro-MD"/>
        </w:rPr>
        <w:t xml:space="preserve"> precedent, </w:t>
      </w:r>
      <w:r w:rsidR="005E56D9" w:rsidRPr="009E5B39">
        <w:rPr>
          <w:rFonts w:asciiTheme="majorHAnsi" w:hAnsiTheme="majorHAnsi" w:cstheme="majorHAnsi"/>
          <w:bCs/>
          <w:sz w:val="24"/>
          <w:szCs w:val="24"/>
          <w:lang w:val="ro-MD"/>
        </w:rPr>
        <w:t>dar nu și</w:t>
      </w:r>
      <w:r w:rsidRPr="009E5B39">
        <w:rPr>
          <w:rFonts w:asciiTheme="majorHAnsi" w:hAnsiTheme="majorHAnsi" w:cstheme="majorHAnsi"/>
          <w:bCs/>
          <w:sz w:val="24"/>
          <w:szCs w:val="24"/>
          <w:lang w:val="ro-MD"/>
        </w:rPr>
        <w:t xml:space="preserve"> suma indexării plății în cazul eșalonării acestora;</w:t>
      </w:r>
    </w:p>
    <w:p w14:paraId="69C4CE0C" w14:textId="4BA89504" w:rsidR="00B66BD1" w:rsidRPr="009E5B39" w:rsidRDefault="005E56D9" w:rsidP="008363F5">
      <w:pPr>
        <w:tabs>
          <w:tab w:val="left" w:pos="142"/>
        </w:tabs>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 </w:t>
      </w:r>
      <w:r w:rsidR="00B66BD1" w:rsidRPr="009E5B39">
        <w:rPr>
          <w:rFonts w:asciiTheme="majorHAnsi" w:hAnsiTheme="majorHAnsi" w:cstheme="majorHAnsi"/>
          <w:sz w:val="24"/>
          <w:szCs w:val="24"/>
          <w:lang w:val="ro-MD"/>
        </w:rPr>
        <w:t>nu a asigurat plenitudinea înregistrării veniturilor din locațiunea bunurilor imobile, atest</w:t>
      </w:r>
      <w:r w:rsidRPr="009E5B39">
        <w:rPr>
          <w:rFonts w:asciiTheme="majorHAnsi" w:hAnsiTheme="majorHAnsi" w:cstheme="majorHAnsi"/>
          <w:sz w:val="24"/>
          <w:szCs w:val="24"/>
          <w:lang w:val="ro-MD"/>
        </w:rPr>
        <w:t>â</w:t>
      </w:r>
      <w:r w:rsidR="00B66BD1" w:rsidRPr="009E5B39">
        <w:rPr>
          <w:rFonts w:asciiTheme="majorHAnsi" w:hAnsiTheme="majorHAnsi" w:cstheme="majorHAnsi"/>
          <w:sz w:val="24"/>
          <w:szCs w:val="24"/>
          <w:lang w:val="ro-MD"/>
        </w:rPr>
        <w:t xml:space="preserve">ndu-se  o diferență de 13,54 mii lei – în </w:t>
      </w:r>
      <w:r w:rsidRPr="009E5B39">
        <w:rPr>
          <w:rFonts w:asciiTheme="majorHAnsi" w:hAnsiTheme="majorHAnsi" w:cstheme="majorHAnsi"/>
          <w:sz w:val="24"/>
          <w:szCs w:val="24"/>
          <w:lang w:val="ro-MD"/>
        </w:rPr>
        <w:t xml:space="preserve">anul </w:t>
      </w:r>
      <w:r w:rsidR="00B66BD1" w:rsidRPr="009E5B39">
        <w:rPr>
          <w:rFonts w:asciiTheme="majorHAnsi" w:hAnsiTheme="majorHAnsi" w:cstheme="majorHAnsi"/>
          <w:sz w:val="24"/>
          <w:szCs w:val="24"/>
          <w:lang w:val="ro-MD"/>
        </w:rPr>
        <w:t>2019</w:t>
      </w:r>
      <w:r w:rsidRPr="009E5B39">
        <w:rPr>
          <w:rFonts w:asciiTheme="majorHAnsi" w:hAnsiTheme="majorHAnsi" w:cstheme="majorHAnsi"/>
          <w:sz w:val="24"/>
          <w:szCs w:val="24"/>
          <w:lang w:val="ro-MD"/>
        </w:rPr>
        <w:t>,</w:t>
      </w:r>
      <w:r w:rsidR="00B66BD1" w:rsidRPr="009E5B39">
        <w:rPr>
          <w:rFonts w:asciiTheme="majorHAnsi" w:hAnsiTheme="majorHAnsi" w:cstheme="majorHAnsi"/>
          <w:sz w:val="24"/>
          <w:szCs w:val="24"/>
          <w:lang w:val="ro-MD"/>
        </w:rPr>
        <w:t xml:space="preserve"> și de 24,6 mii lei – în </w:t>
      </w:r>
      <w:r w:rsidRPr="009E5B39">
        <w:rPr>
          <w:rFonts w:asciiTheme="majorHAnsi" w:hAnsiTheme="majorHAnsi" w:cstheme="majorHAnsi"/>
          <w:sz w:val="24"/>
          <w:szCs w:val="24"/>
          <w:lang w:val="ro-MD"/>
        </w:rPr>
        <w:t xml:space="preserve">anul </w:t>
      </w:r>
      <w:r w:rsidR="00B66BD1" w:rsidRPr="009E5B39">
        <w:rPr>
          <w:rFonts w:asciiTheme="majorHAnsi" w:hAnsiTheme="majorHAnsi" w:cstheme="majorHAnsi"/>
          <w:sz w:val="24"/>
          <w:szCs w:val="24"/>
          <w:lang w:val="ro-MD"/>
        </w:rPr>
        <w:t xml:space="preserve">2020. </w:t>
      </w:r>
    </w:p>
    <w:p w14:paraId="3E219380" w14:textId="5D455EE2" w:rsidR="00B66BD1" w:rsidRPr="009E5B39" w:rsidRDefault="00B66BD1" w:rsidP="00B66BD1">
      <w:pPr>
        <w:spacing w:after="0" w:line="276" w:lineRule="auto"/>
        <w:ind w:firstLine="720"/>
        <w:jc w:val="both"/>
        <w:rPr>
          <w:rFonts w:asciiTheme="majorHAnsi" w:eastAsia="Calibri" w:hAnsiTheme="majorHAnsi" w:cstheme="majorHAnsi"/>
          <w:sz w:val="24"/>
          <w:szCs w:val="24"/>
          <w:lang w:val="ro-MD"/>
        </w:rPr>
      </w:pPr>
      <w:r w:rsidRPr="009E5B39">
        <w:rPr>
          <w:rFonts w:asciiTheme="majorHAnsi" w:hAnsiTheme="majorHAnsi" w:cstheme="majorHAnsi"/>
          <w:sz w:val="24"/>
          <w:szCs w:val="24"/>
          <w:lang w:val="ro-MD"/>
        </w:rPr>
        <w:t>Evidența veniturilor din locațiunea bunurilor imobile este segmentată pe 7 componente</w:t>
      </w:r>
      <w:r w:rsidR="005E56D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ținut</w:t>
      </w:r>
      <w:r w:rsidR="005E56D9"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de 3 </w:t>
      </w:r>
      <w:r w:rsidR="005E56D9" w:rsidRPr="009E5B39">
        <w:rPr>
          <w:rFonts w:asciiTheme="majorHAnsi" w:hAnsiTheme="majorHAnsi" w:cstheme="majorHAnsi"/>
          <w:sz w:val="24"/>
          <w:szCs w:val="24"/>
          <w:lang w:val="ro-MD"/>
        </w:rPr>
        <w:t>D</w:t>
      </w:r>
      <w:r w:rsidRPr="009E5B39">
        <w:rPr>
          <w:rFonts w:asciiTheme="majorHAnsi" w:hAnsiTheme="majorHAnsi" w:cstheme="majorHAnsi"/>
          <w:sz w:val="24"/>
          <w:szCs w:val="24"/>
          <w:lang w:val="ro-MD"/>
        </w:rPr>
        <w:t>irecții diferite – DGECT, DGTPCC și DGF. Astfel,</w:t>
      </w:r>
      <w:r w:rsidRPr="009E5B39">
        <w:rPr>
          <w:rFonts w:asciiTheme="majorHAnsi" w:eastAsia="Calibri" w:hAnsiTheme="majorHAnsi" w:cstheme="majorHAnsi"/>
          <w:sz w:val="24"/>
          <w:szCs w:val="24"/>
          <w:lang w:val="ro-MD"/>
        </w:rPr>
        <w:t xml:space="preserve"> plata este încasată de către DGF la contul 142251, calculul și înregistrarea plății pentru locațiunea spațiilor comerciale în incinta pasajelor subterane pietonale </w:t>
      </w:r>
      <w:r w:rsidR="005E56D9" w:rsidRPr="009E5B39">
        <w:rPr>
          <w:rFonts w:asciiTheme="majorHAnsi" w:eastAsia="Calibri" w:hAnsiTheme="majorHAnsi" w:cstheme="majorHAnsi"/>
          <w:sz w:val="24"/>
          <w:szCs w:val="24"/>
          <w:lang w:val="ro-MD"/>
        </w:rPr>
        <w:t>se</w:t>
      </w:r>
      <w:r w:rsidRPr="009E5B39">
        <w:rPr>
          <w:rFonts w:asciiTheme="majorHAnsi" w:eastAsia="Calibri" w:hAnsiTheme="majorHAnsi" w:cstheme="majorHAnsi"/>
          <w:sz w:val="24"/>
          <w:szCs w:val="24"/>
          <w:lang w:val="ro-MD"/>
        </w:rPr>
        <w:t xml:space="preserve"> efectu</w:t>
      </w:r>
      <w:r w:rsidR="005E56D9" w:rsidRPr="009E5B39">
        <w:rPr>
          <w:rFonts w:asciiTheme="majorHAnsi" w:eastAsia="Calibri" w:hAnsiTheme="majorHAnsi" w:cstheme="majorHAnsi"/>
          <w:sz w:val="24"/>
          <w:szCs w:val="24"/>
          <w:lang w:val="ro-MD"/>
        </w:rPr>
        <w:t>ează</w:t>
      </w:r>
      <w:r w:rsidRPr="009E5B39">
        <w:rPr>
          <w:rFonts w:asciiTheme="majorHAnsi" w:eastAsia="Calibri" w:hAnsiTheme="majorHAnsi" w:cstheme="majorHAnsi"/>
          <w:sz w:val="24"/>
          <w:szCs w:val="24"/>
          <w:lang w:val="ro-MD"/>
        </w:rPr>
        <w:t xml:space="preserve"> de către DGTPCC, iar în celelalte spații </w:t>
      </w:r>
      <w:r w:rsidR="005E56D9"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de către DGECT. În cazul plăților neidentificate</w:t>
      </w:r>
      <w:r w:rsidR="005E56D9"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nicio entitate nu le înregistrează în evidența analitică</w:t>
      </w:r>
      <w:r w:rsidR="00833E20">
        <w:rPr>
          <w:rFonts w:asciiTheme="majorHAnsi" w:eastAsia="Calibri" w:hAnsiTheme="majorHAnsi" w:cstheme="majorHAnsi"/>
          <w:sz w:val="24"/>
          <w:szCs w:val="24"/>
          <w:lang w:val="ro-MD"/>
        </w:rPr>
        <w:t xml:space="preserve"> contabilă sau operațională</w:t>
      </w:r>
      <w:r w:rsidRPr="009E5B39">
        <w:rPr>
          <w:rFonts w:asciiTheme="majorHAnsi" w:eastAsia="Calibri" w:hAnsiTheme="majorHAnsi" w:cstheme="majorHAnsi"/>
          <w:sz w:val="24"/>
          <w:szCs w:val="24"/>
          <w:lang w:val="ro-MD"/>
        </w:rPr>
        <w:t>.</w:t>
      </w:r>
    </w:p>
    <w:p w14:paraId="63CF44CA" w14:textId="395E32A1" w:rsidR="0034363D" w:rsidRPr="009E5B39" w:rsidRDefault="0034363D" w:rsidP="000D1457">
      <w:pPr>
        <w:pStyle w:val="ListParagraph"/>
        <w:numPr>
          <w:ilvl w:val="0"/>
          <w:numId w:val="92"/>
        </w:numPr>
        <w:spacing w:before="240" w:after="0" w:line="276" w:lineRule="auto"/>
        <w:ind w:left="0" w:firstLine="426"/>
        <w:jc w:val="both"/>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 xml:space="preserve">Lipsa de comunicare/coordonare/verificare între subdiviziunile </w:t>
      </w:r>
      <w:r w:rsidR="005E56D9" w:rsidRPr="009E5B39">
        <w:rPr>
          <w:rFonts w:asciiTheme="majorHAnsi" w:hAnsiTheme="majorHAnsi" w:cstheme="majorHAnsi"/>
          <w:b/>
          <w:i/>
          <w:sz w:val="24"/>
          <w:szCs w:val="24"/>
          <w:lang w:val="ro-MD"/>
        </w:rPr>
        <w:t>P</w:t>
      </w:r>
      <w:r w:rsidRPr="009E5B39">
        <w:rPr>
          <w:rFonts w:asciiTheme="majorHAnsi" w:hAnsiTheme="majorHAnsi" w:cstheme="majorHAnsi"/>
          <w:b/>
          <w:i/>
          <w:sz w:val="24"/>
          <w:szCs w:val="24"/>
          <w:lang w:val="ro-MD"/>
        </w:rPr>
        <w:t>rimăriei mun. Chișinău și Direcțiile Generale ale CMC a datelor ce țin de una și ace</w:t>
      </w:r>
      <w:r w:rsidR="00181F75" w:rsidRPr="009E5B39">
        <w:rPr>
          <w:rFonts w:asciiTheme="majorHAnsi" w:hAnsiTheme="majorHAnsi" w:cstheme="majorHAnsi"/>
          <w:b/>
          <w:i/>
          <w:sz w:val="24"/>
          <w:szCs w:val="24"/>
          <w:lang w:val="ro-MD"/>
        </w:rPr>
        <w:t>e</w:t>
      </w:r>
      <w:r w:rsidRPr="009E5B39">
        <w:rPr>
          <w:rFonts w:asciiTheme="majorHAnsi" w:hAnsiTheme="majorHAnsi" w:cstheme="majorHAnsi"/>
          <w:b/>
          <w:i/>
          <w:sz w:val="24"/>
          <w:szCs w:val="24"/>
          <w:lang w:val="ro-MD"/>
        </w:rPr>
        <w:t xml:space="preserve">ași tranzacție a condiționat: </w:t>
      </w:r>
    </w:p>
    <w:p w14:paraId="218EF265" w14:textId="425483C9" w:rsidR="0034363D" w:rsidRPr="009E5B39" w:rsidRDefault="0034363D" w:rsidP="0034363D">
      <w:pPr>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contabilizarea dublă a valorii terenurilor cu suprafața de 0,231 ha</w:t>
      </w:r>
      <w:r w:rsidR="00181F7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sumă de </w:t>
      </w:r>
      <w:r w:rsidRPr="009E5B39">
        <w:rPr>
          <w:rFonts w:asciiTheme="majorHAnsi" w:hAnsiTheme="majorHAnsi" w:cstheme="majorHAnsi"/>
          <w:b/>
          <w:sz w:val="24"/>
          <w:szCs w:val="24"/>
          <w:lang w:val="ro-MD"/>
        </w:rPr>
        <w:t>6,71 mil</w:t>
      </w:r>
      <w:r w:rsidR="00181F75"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vertAlign w:val="superscript"/>
          <w:lang w:val="ro-MD"/>
        </w:rPr>
        <w:footnoteReference w:id="145"/>
      </w:r>
      <w:r w:rsidRPr="009E5B39">
        <w:rPr>
          <w:rFonts w:asciiTheme="majorHAnsi" w:hAnsiTheme="majorHAnsi" w:cstheme="majorHAnsi"/>
          <w:sz w:val="24"/>
          <w:szCs w:val="24"/>
          <w:lang w:val="ro-MD"/>
        </w:rPr>
        <w:t>, ceea ce a influențat și majorarea veniturilor din activele intrate cu titlu gratuit (cod ECO 149200) raportate în anul 2019;</w:t>
      </w:r>
    </w:p>
    <w:p w14:paraId="03F5CD95" w14:textId="5869A8D0" w:rsidR="0034363D" w:rsidRPr="009E5B39" w:rsidRDefault="0034363D" w:rsidP="0034363D">
      <w:pPr>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  </w:t>
      </w:r>
      <w:r w:rsidR="00181F75" w:rsidRPr="009E5B39">
        <w:rPr>
          <w:rFonts w:asciiTheme="majorHAnsi" w:hAnsiTheme="majorHAnsi" w:cstheme="majorHAnsi"/>
          <w:sz w:val="24"/>
          <w:szCs w:val="24"/>
          <w:lang w:val="ro-MD"/>
        </w:rPr>
        <w:t>m</w:t>
      </w:r>
      <w:r w:rsidRPr="009E5B39">
        <w:rPr>
          <w:rFonts w:asciiTheme="majorHAnsi" w:hAnsiTheme="majorHAnsi" w:cstheme="majorHAnsi"/>
          <w:sz w:val="24"/>
          <w:szCs w:val="24"/>
          <w:lang w:val="ro-MD"/>
        </w:rPr>
        <w:t>ajorarea neîntemeiată, în anul 2020, de către DGF a valorii veniturilor din activele intrate cu titlu gratuit (contul 149200),</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 xml:space="preserve">cu suma de </w:t>
      </w:r>
      <w:r w:rsidRPr="009E5B39">
        <w:rPr>
          <w:rFonts w:asciiTheme="majorHAnsi" w:hAnsiTheme="majorHAnsi" w:cstheme="majorHAnsi"/>
          <w:b/>
          <w:sz w:val="24"/>
          <w:szCs w:val="24"/>
          <w:lang w:val="ro-MD"/>
        </w:rPr>
        <w:t>46,19 mil</w:t>
      </w:r>
      <w:r w:rsidR="00181F75"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concomitent fiind majorate și cheltuielile privind ieșirea activelor (cont 289100) cu </w:t>
      </w:r>
      <w:r w:rsidRPr="009E5B39">
        <w:rPr>
          <w:rFonts w:asciiTheme="majorHAnsi" w:hAnsiTheme="majorHAnsi" w:cstheme="majorHAnsi"/>
          <w:b/>
          <w:sz w:val="24"/>
          <w:szCs w:val="24"/>
          <w:lang w:val="ro-MD"/>
        </w:rPr>
        <w:t>26,79 mil</w:t>
      </w:r>
      <w:r w:rsidR="00181F75"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 diferența între valoarea de realizare și valoarea de bilanț a terenurilor (19405,96 mii lei), fără a </w:t>
      </w:r>
      <w:r w:rsidR="00C253F8" w:rsidRPr="009E5B39">
        <w:rPr>
          <w:rFonts w:asciiTheme="majorHAnsi" w:hAnsiTheme="majorHAnsi" w:cstheme="majorHAnsi"/>
          <w:sz w:val="24"/>
          <w:szCs w:val="24"/>
          <w:lang w:val="ro-MD"/>
        </w:rPr>
        <w:t xml:space="preserve">se </w:t>
      </w:r>
      <w:r w:rsidRPr="009E5B39">
        <w:rPr>
          <w:rFonts w:asciiTheme="majorHAnsi" w:hAnsiTheme="majorHAnsi" w:cstheme="majorHAnsi"/>
          <w:sz w:val="24"/>
          <w:szCs w:val="24"/>
          <w:lang w:val="ro-MD"/>
        </w:rPr>
        <w:t xml:space="preserve">ține cont de faptul că Primăria mun. Chișinău a înregistrat în evidența primară terenurile respective. Nici DGAURF nu a asigurat prezentarea informației cu privire la terenurile vândute, pentru a fi radiate din evidența primară a Primăriei mun. Chișinău. Astfel, deși terenurile nu mai sunt proprietate a UAT, acestea rămân înregistrate în evidența contabilă a acesteia. </w:t>
      </w:r>
    </w:p>
    <w:p w14:paraId="292479FB" w14:textId="4E2DCBD7" w:rsidR="00B66BD1" w:rsidRPr="009E5B39" w:rsidRDefault="00B66BD1" w:rsidP="00954036">
      <w:pPr>
        <w:pStyle w:val="ListParagraph"/>
        <w:numPr>
          <w:ilvl w:val="0"/>
          <w:numId w:val="92"/>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În anul 2020 </w:t>
      </w:r>
      <w:r w:rsidR="00C253F8" w:rsidRPr="009E5B39">
        <w:rPr>
          <w:rFonts w:asciiTheme="majorHAnsi" w:hAnsiTheme="majorHAnsi" w:cstheme="majorHAnsi"/>
          <w:sz w:val="24"/>
          <w:szCs w:val="24"/>
          <w:lang w:val="ro-MD"/>
        </w:rPr>
        <w:t>s-</w:t>
      </w:r>
      <w:r w:rsidRPr="009E5B39">
        <w:rPr>
          <w:rFonts w:asciiTheme="majorHAnsi" w:hAnsiTheme="majorHAnsi" w:cstheme="majorHAnsi"/>
          <w:sz w:val="24"/>
          <w:szCs w:val="24"/>
          <w:lang w:val="ro-MD"/>
        </w:rPr>
        <w:t xml:space="preserve">au organizat 2 licitații cu strigare: nr.1 din 02.12.2020 și nr.2 din 09.12.2020, la care au fost expuse 30 loturi pentru comercializarea băuturilor răcoritoare și fierbinți, produse de patiserie/fast-food, conform comunicatelor informative plasate pe pagina web a Primăriei mun. Chișinău. În cadrul licitațiilor menționate au fost adjudecate agenților economici 17 amplasamente, iar ca urmare </w:t>
      </w:r>
      <w:r w:rsidR="00C253F8" w:rsidRPr="009E5B39">
        <w:rPr>
          <w:rFonts w:asciiTheme="majorHAnsi" w:hAnsiTheme="majorHAnsi" w:cstheme="majorHAnsi"/>
          <w:sz w:val="24"/>
          <w:szCs w:val="24"/>
          <w:lang w:val="ro-MD"/>
        </w:rPr>
        <w:t>s-</w:t>
      </w:r>
      <w:r w:rsidRPr="009E5B39">
        <w:rPr>
          <w:rFonts w:asciiTheme="majorHAnsi" w:hAnsiTheme="majorHAnsi" w:cstheme="majorHAnsi"/>
          <w:sz w:val="24"/>
          <w:szCs w:val="24"/>
          <w:lang w:val="ro-MD"/>
        </w:rPr>
        <w:t>au încheiat 16 contracte în acest sens</w:t>
      </w:r>
      <w:r w:rsidR="00C253F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sumă totală de 16,78 mil</w:t>
      </w:r>
      <w:r w:rsidR="00C253F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r w:rsidR="00C253F8"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 pentru licitația nr.1</w:t>
      </w:r>
      <w:r w:rsidR="00C253F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și </w:t>
      </w:r>
      <w:r w:rsidR="005D0D17"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15,48 mil</w:t>
      </w:r>
      <w:r w:rsidR="00C253F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w:t>
      </w:r>
      <w:r w:rsidR="00C253F8"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pentru licitația nr.2. Conform informațiilor prezentate de DGECT, în anul 2020 agenții câștigători au achitat la contul special</w:t>
      </w:r>
      <w:r w:rsidRPr="009E5B39">
        <w:rPr>
          <w:rFonts w:asciiTheme="majorHAnsi" w:hAnsiTheme="majorHAnsi" w:cstheme="majorHAnsi"/>
          <w:sz w:val="24"/>
          <w:szCs w:val="24"/>
          <w:vertAlign w:val="superscript"/>
          <w:lang w:val="ro-MD"/>
        </w:rPr>
        <w:footnoteReference w:id="146"/>
      </w:r>
      <w:r w:rsidR="002A0FB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gestionat de DMF a PMC: Acont anterior licitației </w:t>
      </w:r>
      <w:r w:rsidR="005D0D17"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256,48 mii lei; Prețul licitației efectuate până la încheierea contractului</w:t>
      </w:r>
      <w:r w:rsidR="005D0D17" w:rsidRPr="009E5B39">
        <w:rPr>
          <w:rFonts w:asciiTheme="majorHAnsi" w:hAnsiTheme="majorHAnsi" w:cstheme="majorHAnsi"/>
          <w:sz w:val="24"/>
          <w:szCs w:val="24"/>
          <w:lang w:val="ro-MD"/>
        </w:rPr>
        <w:t xml:space="preserve"> - </w:t>
      </w:r>
      <w:r w:rsidRPr="009E5B39">
        <w:rPr>
          <w:rFonts w:asciiTheme="majorHAnsi" w:hAnsiTheme="majorHAnsi" w:cstheme="majorHAnsi"/>
          <w:sz w:val="24"/>
          <w:szCs w:val="24"/>
          <w:lang w:val="ro-MD"/>
        </w:rPr>
        <w:t xml:space="preserve"> 14,35 mil</w:t>
      </w:r>
      <w:r w:rsidR="005D0D1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r w:rsidR="002A0FB9" w:rsidRPr="009E5B39">
        <w:rPr>
          <w:rFonts w:asciiTheme="majorHAnsi" w:hAnsiTheme="majorHAnsi" w:cstheme="majorHAnsi"/>
          <w:sz w:val="24"/>
          <w:szCs w:val="24"/>
          <w:lang w:val="ro-MD"/>
        </w:rPr>
        <w:t>, î</w:t>
      </w:r>
      <w:r w:rsidRPr="009E5B39">
        <w:rPr>
          <w:rFonts w:asciiTheme="majorHAnsi" w:hAnsiTheme="majorHAnsi" w:cstheme="majorHAnsi"/>
          <w:sz w:val="24"/>
          <w:szCs w:val="24"/>
          <w:lang w:val="ro-MD"/>
        </w:rPr>
        <w:t>nsă în anul 2020 în bugetul mun. Chișinău au fost încasate (conform datelor DGETC) doar 9,12 mil</w:t>
      </w:r>
      <w:r w:rsidR="002A0FB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r w:rsidRPr="009E5B39">
        <w:rPr>
          <w:rFonts w:asciiTheme="majorHAnsi" w:hAnsiTheme="majorHAnsi" w:cstheme="majorHAnsi"/>
          <w:sz w:val="24"/>
          <w:szCs w:val="24"/>
          <w:vertAlign w:val="superscript"/>
          <w:lang w:val="ro-MD"/>
        </w:rPr>
        <w:footnoteReference w:id="147"/>
      </w:r>
      <w:r w:rsidRPr="009E5B39">
        <w:rPr>
          <w:rFonts w:asciiTheme="majorHAnsi" w:hAnsiTheme="majorHAnsi" w:cstheme="majorHAnsi"/>
          <w:sz w:val="24"/>
          <w:szCs w:val="24"/>
          <w:lang w:val="ro-MD"/>
        </w:rPr>
        <w:t>, sau cu 5,48 mil</w:t>
      </w:r>
      <w:r w:rsidR="002A0FB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mai puțin. Diferența de sumă a fost reflectat</w:t>
      </w:r>
      <w:r w:rsidR="002A0FB9"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la 01.01.2021 în soldul contului extrabugetar (ECO 518410).</w:t>
      </w:r>
    </w:p>
    <w:p w14:paraId="773018B0" w14:textId="1B27A560" w:rsidR="00332FBE" w:rsidRPr="009E5B39" w:rsidRDefault="00332FBE" w:rsidP="00332FBE">
      <w:pPr>
        <w:pStyle w:val="ListParagraph"/>
        <w:numPr>
          <w:ilvl w:val="2"/>
          <w:numId w:val="29"/>
        </w:numPr>
        <w:spacing w:after="0" w:line="276" w:lineRule="auto"/>
        <w:ind w:left="0" w:firstLine="0"/>
        <w:jc w:val="both"/>
        <w:rPr>
          <w:rFonts w:ascii="Calibri Light" w:eastAsia="Calibri" w:hAnsi="Calibri Light" w:cs="Tahoma"/>
          <w:sz w:val="24"/>
          <w:lang w:val="ro-MD"/>
        </w:rPr>
      </w:pPr>
      <w:r w:rsidRPr="009E5B39">
        <w:rPr>
          <w:rFonts w:asciiTheme="majorHAnsi" w:hAnsiTheme="majorHAnsi" w:cstheme="majorHAnsi"/>
          <w:b/>
          <w:sz w:val="24"/>
          <w:szCs w:val="24"/>
          <w:lang w:val="ro-MD"/>
        </w:rPr>
        <w:t>Lipsa evidenței și a controlului riguros din partea APL a</w:t>
      </w:r>
      <w:r w:rsidR="002A0FB9" w:rsidRPr="009E5B39">
        <w:rPr>
          <w:rFonts w:asciiTheme="majorHAnsi" w:hAnsiTheme="majorHAnsi" w:cstheme="majorHAnsi"/>
          <w:b/>
          <w:sz w:val="24"/>
          <w:szCs w:val="24"/>
          <w:lang w:val="ro-MD"/>
        </w:rPr>
        <w:t>supra</w:t>
      </w:r>
      <w:r w:rsidRPr="009E5B39">
        <w:rPr>
          <w:rFonts w:asciiTheme="majorHAnsi" w:hAnsiTheme="majorHAnsi" w:cstheme="majorHAnsi"/>
          <w:b/>
          <w:sz w:val="24"/>
          <w:szCs w:val="24"/>
          <w:lang w:val="ro-MD"/>
        </w:rPr>
        <w:t xml:space="preserve"> relațiilor contractuale cu locatarii pasajului subteran de pietoni din intersecția str. Ismail cu bd. Ștefan cel Mare </w:t>
      </w:r>
      <w:r w:rsidR="008B4D63" w:rsidRPr="009E5B39">
        <w:rPr>
          <w:rFonts w:asciiTheme="majorHAnsi" w:hAnsiTheme="majorHAnsi" w:cstheme="majorHAnsi"/>
          <w:b/>
          <w:sz w:val="24"/>
          <w:szCs w:val="24"/>
          <w:lang w:val="ro-MD"/>
        </w:rPr>
        <w:t xml:space="preserve">și Sfânt </w:t>
      </w:r>
      <w:r w:rsidRPr="009E5B39">
        <w:rPr>
          <w:rFonts w:asciiTheme="majorHAnsi" w:hAnsiTheme="majorHAnsi" w:cstheme="majorHAnsi"/>
          <w:b/>
          <w:sz w:val="24"/>
          <w:szCs w:val="24"/>
          <w:lang w:val="ro-MD"/>
        </w:rPr>
        <w:t xml:space="preserve">a condiționat neîncasarea </w:t>
      </w:r>
      <w:r w:rsidR="002A0FB9" w:rsidRPr="009E5B39">
        <w:rPr>
          <w:rFonts w:asciiTheme="majorHAnsi" w:hAnsiTheme="majorHAnsi" w:cstheme="majorHAnsi"/>
          <w:b/>
          <w:sz w:val="24"/>
          <w:szCs w:val="24"/>
          <w:lang w:val="ro-MD"/>
        </w:rPr>
        <w:t xml:space="preserve">în bugetul municipal a </w:t>
      </w:r>
      <w:r w:rsidRPr="009E5B39">
        <w:rPr>
          <w:rFonts w:asciiTheme="majorHAnsi" w:hAnsiTheme="majorHAnsi" w:cstheme="majorHAnsi"/>
          <w:b/>
          <w:sz w:val="24"/>
          <w:szCs w:val="24"/>
          <w:lang w:val="ro-MD"/>
        </w:rPr>
        <w:t xml:space="preserve">veniturilor pasibile încasării, în </w:t>
      </w:r>
      <w:r w:rsidR="002A0FB9" w:rsidRPr="009E5B39">
        <w:rPr>
          <w:rFonts w:asciiTheme="majorHAnsi" w:hAnsiTheme="majorHAnsi" w:cstheme="majorHAnsi"/>
          <w:b/>
          <w:sz w:val="24"/>
          <w:szCs w:val="24"/>
          <w:lang w:val="ro-MD"/>
        </w:rPr>
        <w:t>anii</w:t>
      </w:r>
      <w:r w:rsidRPr="009E5B39">
        <w:rPr>
          <w:rFonts w:asciiTheme="majorHAnsi" w:hAnsiTheme="majorHAnsi" w:cstheme="majorHAnsi"/>
          <w:b/>
          <w:sz w:val="24"/>
          <w:szCs w:val="24"/>
          <w:lang w:val="ro-MD"/>
        </w:rPr>
        <w:t xml:space="preserve"> 2018-2020, din locațiunea spațiilor comerciale cu suprafața de numai 82,6 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b/>
          <w:sz w:val="24"/>
          <w:szCs w:val="24"/>
          <w:lang w:val="ro-MD"/>
        </w:rPr>
        <w:t xml:space="preserve"> (din totalul de 1447,2 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b/>
          <w:sz w:val="24"/>
          <w:szCs w:val="24"/>
          <w:lang w:val="ro-MD"/>
        </w:rPr>
        <w:t xml:space="preserve">), în </w:t>
      </w:r>
      <w:r w:rsidR="002A0FB9" w:rsidRPr="009E5B39">
        <w:rPr>
          <w:rFonts w:asciiTheme="majorHAnsi" w:hAnsiTheme="majorHAnsi" w:cstheme="majorHAnsi"/>
          <w:b/>
          <w:sz w:val="24"/>
          <w:szCs w:val="24"/>
          <w:lang w:val="ro-MD"/>
        </w:rPr>
        <w:t xml:space="preserve">sumă </w:t>
      </w:r>
      <w:r w:rsidRPr="009E5B39">
        <w:rPr>
          <w:rFonts w:asciiTheme="majorHAnsi" w:hAnsiTheme="majorHAnsi" w:cstheme="majorHAnsi"/>
          <w:b/>
          <w:sz w:val="24"/>
          <w:szCs w:val="24"/>
          <w:lang w:val="ro-MD"/>
        </w:rPr>
        <w:t xml:space="preserve"> de circa 6,57 mil</w:t>
      </w:r>
      <w:r w:rsidR="002A0FB9"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 precum și creează riscul </w:t>
      </w:r>
      <w:r w:rsidR="002A0FB9" w:rsidRPr="009E5B39">
        <w:rPr>
          <w:rFonts w:asciiTheme="majorHAnsi" w:hAnsiTheme="majorHAnsi" w:cstheme="majorHAnsi"/>
          <w:b/>
          <w:sz w:val="24"/>
          <w:szCs w:val="24"/>
          <w:lang w:val="ro-MD"/>
        </w:rPr>
        <w:t xml:space="preserve">de </w:t>
      </w:r>
      <w:r w:rsidRPr="009E5B39">
        <w:rPr>
          <w:rFonts w:asciiTheme="majorHAnsi" w:hAnsiTheme="majorHAnsi" w:cstheme="majorHAnsi"/>
          <w:b/>
          <w:sz w:val="24"/>
          <w:szCs w:val="24"/>
          <w:lang w:val="ro-MD"/>
        </w:rPr>
        <w:t>prejudicier</w:t>
      </w:r>
      <w:r w:rsidR="002A0FB9" w:rsidRPr="009E5B39">
        <w:rPr>
          <w:rFonts w:asciiTheme="majorHAnsi" w:hAnsiTheme="majorHAnsi" w:cstheme="majorHAnsi"/>
          <w:b/>
          <w:sz w:val="24"/>
          <w:szCs w:val="24"/>
          <w:lang w:val="ro-MD"/>
        </w:rPr>
        <w:t>e a</w:t>
      </w:r>
      <w:r w:rsidRPr="009E5B39">
        <w:rPr>
          <w:rFonts w:asciiTheme="majorHAnsi" w:hAnsiTheme="majorHAnsi" w:cstheme="majorHAnsi"/>
          <w:b/>
          <w:sz w:val="24"/>
          <w:szCs w:val="24"/>
          <w:lang w:val="ro-MD"/>
        </w:rPr>
        <w:t xml:space="preserve"> bugetului municipal cu suma de circa 7,94 mil</w:t>
      </w:r>
      <w:r w:rsidR="002A0FB9"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p>
    <w:p w14:paraId="0B300FFA" w14:textId="30A9DA58" w:rsidR="00332FBE" w:rsidRPr="009E5B39" w:rsidRDefault="00332FBE" w:rsidP="00332FBE">
      <w:pPr>
        <w:pStyle w:val="ListParagraph"/>
        <w:numPr>
          <w:ilvl w:val="0"/>
          <w:numId w:val="92"/>
        </w:numPr>
        <w:spacing w:after="0" w:line="276" w:lineRule="auto"/>
        <w:ind w:left="0" w:firstLine="0"/>
        <w:jc w:val="both"/>
        <w:rPr>
          <w:rFonts w:asciiTheme="majorHAnsi" w:eastAsia="Calibri" w:hAnsiTheme="majorHAnsi" w:cstheme="majorHAnsi"/>
          <w:sz w:val="24"/>
          <w:szCs w:val="24"/>
          <w:lang w:val="ro-MD"/>
        </w:rPr>
      </w:pPr>
      <w:r w:rsidRPr="009E5B39">
        <w:rPr>
          <w:rFonts w:asciiTheme="majorHAnsi" w:eastAsia="Calibri" w:hAnsiTheme="majorHAnsi" w:cstheme="majorHAnsi"/>
          <w:sz w:val="24"/>
          <w:szCs w:val="24"/>
          <w:lang w:val="ro-MD"/>
        </w:rPr>
        <w:t xml:space="preserve">În </w:t>
      </w:r>
      <w:r w:rsidR="002A0FB9" w:rsidRPr="009E5B39">
        <w:rPr>
          <w:rFonts w:asciiTheme="majorHAnsi" w:eastAsia="Calibri" w:hAnsiTheme="majorHAnsi" w:cstheme="majorHAnsi"/>
          <w:sz w:val="24"/>
          <w:szCs w:val="24"/>
          <w:lang w:val="ro-MD"/>
        </w:rPr>
        <w:t>anii</w:t>
      </w:r>
      <w:r w:rsidRPr="009E5B39">
        <w:rPr>
          <w:rFonts w:asciiTheme="majorHAnsi" w:eastAsia="Calibri" w:hAnsiTheme="majorHAnsi" w:cstheme="majorHAnsi"/>
          <w:sz w:val="24"/>
          <w:szCs w:val="24"/>
          <w:lang w:val="ro-MD"/>
        </w:rPr>
        <w:t xml:space="preserve"> 2018-2020, din locațiunea spațiilor comerciale din pasajele subterane din mun. Chișinău, de la 25 locatari au fost încasate, în bugetul municipal, venituri în sumă totală de 3,05 mil</w:t>
      </w:r>
      <w:r w:rsidR="002A0FB9"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lei</w:t>
      </w:r>
      <w:r w:rsidRPr="009E5B39">
        <w:rPr>
          <w:rStyle w:val="FootnoteReference"/>
          <w:rFonts w:asciiTheme="majorHAnsi" w:eastAsia="Calibri" w:hAnsiTheme="majorHAnsi" w:cstheme="majorHAnsi"/>
          <w:sz w:val="24"/>
          <w:szCs w:val="24"/>
          <w:lang w:val="ro-MD"/>
        </w:rPr>
        <w:footnoteReference w:id="148"/>
      </w:r>
      <w:r w:rsidRPr="009E5B39">
        <w:rPr>
          <w:rFonts w:asciiTheme="majorHAnsi" w:eastAsia="Calibri" w:hAnsiTheme="majorHAnsi" w:cstheme="majorHAnsi"/>
          <w:sz w:val="24"/>
          <w:szCs w:val="24"/>
          <w:lang w:val="ro-MD"/>
        </w:rPr>
        <w:t xml:space="preserve">, din care </w:t>
      </w:r>
      <w:r w:rsidRPr="009E5B39">
        <w:rPr>
          <w:rFonts w:asciiTheme="majorHAnsi" w:hAnsiTheme="majorHAnsi" w:cstheme="majorHAnsi"/>
          <w:sz w:val="24"/>
          <w:szCs w:val="24"/>
          <w:lang w:val="ro-MD"/>
        </w:rPr>
        <w:t>1,96 mil</w:t>
      </w:r>
      <w:r w:rsidR="002A0FB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r w:rsidRPr="009E5B39">
        <w:rPr>
          <w:rStyle w:val="FootnoteReference"/>
          <w:rFonts w:asciiTheme="majorHAnsi" w:hAnsiTheme="majorHAnsi" w:cstheme="majorHAnsi"/>
          <w:sz w:val="24"/>
          <w:szCs w:val="24"/>
          <w:lang w:val="ro-MD"/>
        </w:rPr>
        <w:footnoteReference w:id="149"/>
      </w:r>
      <w:r w:rsidRPr="009E5B39">
        <w:rPr>
          <w:rFonts w:asciiTheme="majorHAnsi" w:hAnsiTheme="majorHAnsi" w:cstheme="majorHAnsi"/>
          <w:sz w:val="24"/>
          <w:szCs w:val="24"/>
          <w:lang w:val="ro-MD"/>
        </w:rPr>
        <w:t xml:space="preserve"> </w:t>
      </w:r>
      <w:r w:rsidR="002A0FB9"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de către locatarii pasajului subteran din intersecția str. Ismail / bd. Ștefan cel Mare</w:t>
      </w:r>
      <w:r w:rsidR="008B4D63" w:rsidRPr="009E5B39">
        <w:rPr>
          <w:rFonts w:asciiTheme="majorHAnsi" w:hAnsiTheme="majorHAnsi" w:cstheme="majorHAnsi"/>
          <w:sz w:val="24"/>
          <w:szCs w:val="24"/>
          <w:lang w:val="ro-MD"/>
        </w:rPr>
        <w:t xml:space="preserve"> și Sfânt</w:t>
      </w:r>
      <w:r w:rsidRPr="009E5B39">
        <w:rPr>
          <w:rFonts w:asciiTheme="majorHAnsi" w:eastAsia="Calibri" w:hAnsiTheme="majorHAnsi" w:cstheme="majorHAnsi"/>
          <w:sz w:val="24"/>
          <w:szCs w:val="24"/>
          <w:lang w:val="ro-MD"/>
        </w:rPr>
        <w:t xml:space="preserve">. La situația din 31.12.2020, potrivit informației prezentate de către DGTPCC, creanța locatarilor spațiilor din pasajele subterane </w:t>
      </w:r>
      <w:r w:rsidR="00282B71" w:rsidRPr="009E5B39">
        <w:rPr>
          <w:rFonts w:asciiTheme="majorHAnsi" w:eastAsia="Calibri" w:hAnsiTheme="majorHAnsi" w:cstheme="majorHAnsi"/>
          <w:sz w:val="24"/>
          <w:szCs w:val="24"/>
          <w:lang w:val="ro-MD"/>
        </w:rPr>
        <w:t xml:space="preserve">constituia </w:t>
      </w:r>
      <w:r w:rsidRPr="009E5B39">
        <w:rPr>
          <w:rFonts w:asciiTheme="majorHAnsi" w:eastAsia="Calibri" w:hAnsiTheme="majorHAnsi" w:cstheme="majorHAnsi"/>
          <w:sz w:val="24"/>
          <w:szCs w:val="24"/>
          <w:lang w:val="ro-MD"/>
        </w:rPr>
        <w:t>10,98 mil</w:t>
      </w:r>
      <w:r w:rsidR="007B6721"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lei. </w:t>
      </w:r>
    </w:p>
    <w:p w14:paraId="4DE19CFF" w14:textId="0C764EFB" w:rsidR="00332FBE" w:rsidRPr="009E5B39" w:rsidRDefault="00332FBE" w:rsidP="00332FBE">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Direcția Audit </w:t>
      </w:r>
      <w:r w:rsidR="007B6721" w:rsidRPr="009E5B39">
        <w:rPr>
          <w:rFonts w:asciiTheme="majorHAnsi" w:hAnsiTheme="majorHAnsi" w:cstheme="majorHAnsi"/>
          <w:sz w:val="24"/>
          <w:szCs w:val="24"/>
          <w:lang w:val="ro-MD"/>
        </w:rPr>
        <w:t>I</w:t>
      </w:r>
      <w:r w:rsidRPr="009E5B39">
        <w:rPr>
          <w:rFonts w:asciiTheme="majorHAnsi" w:hAnsiTheme="majorHAnsi" w:cstheme="majorHAnsi"/>
          <w:sz w:val="24"/>
          <w:szCs w:val="24"/>
          <w:lang w:val="ro-MD"/>
        </w:rPr>
        <w:t>ntern a Primăriei mun. Chișinău a efectuat în anul 2020 o misiune de audit, cu tematica „Există posibilități de îmbunătățire a modului de gestionare a pasajelor subterane din municipiul Chișinău”</w:t>
      </w:r>
      <w:r w:rsidRPr="009E5B39">
        <w:rPr>
          <w:rStyle w:val="FootnoteReference"/>
          <w:rFonts w:asciiTheme="majorHAnsi" w:hAnsiTheme="majorHAnsi" w:cstheme="majorHAnsi"/>
          <w:sz w:val="24"/>
          <w:szCs w:val="24"/>
          <w:lang w:val="ro-MD"/>
        </w:rPr>
        <w:footnoteReference w:id="150"/>
      </w:r>
      <w:r w:rsidRPr="009E5B39">
        <w:rPr>
          <w:rFonts w:asciiTheme="majorHAnsi" w:hAnsiTheme="majorHAnsi" w:cstheme="majorHAnsi"/>
          <w:sz w:val="24"/>
          <w:szCs w:val="24"/>
          <w:lang w:val="ro-MD"/>
        </w:rPr>
        <w:t xml:space="preserve">. La recomandarea auditului intern și în baza </w:t>
      </w:r>
      <w:r w:rsidR="00F606ED" w:rsidRPr="009E5B39">
        <w:rPr>
          <w:rFonts w:asciiTheme="majorHAnsi" w:hAnsiTheme="majorHAnsi" w:cstheme="majorHAnsi"/>
          <w:sz w:val="24"/>
          <w:szCs w:val="24"/>
          <w:lang w:val="ro-MD"/>
        </w:rPr>
        <w:t>D</w:t>
      </w:r>
      <w:r w:rsidRPr="009E5B39">
        <w:rPr>
          <w:rFonts w:asciiTheme="majorHAnsi" w:hAnsiTheme="majorHAnsi" w:cstheme="majorHAnsi"/>
          <w:sz w:val="24"/>
          <w:szCs w:val="24"/>
          <w:lang w:val="ro-MD"/>
        </w:rPr>
        <w:t xml:space="preserve">ispoziției Primarului general al mun. Chișinău nr.538-d din 13.09.2021, în perioada 15.10.2021 – 19.11.2021,  DGTPCC  a  efectuat inventarierea pasajelor subterane de pietoni, care a </w:t>
      </w:r>
      <w:r w:rsidR="00F606ED" w:rsidRPr="009E5B39">
        <w:rPr>
          <w:rFonts w:asciiTheme="majorHAnsi" w:hAnsiTheme="majorHAnsi" w:cstheme="majorHAnsi"/>
          <w:sz w:val="24"/>
          <w:szCs w:val="24"/>
          <w:lang w:val="ro-MD"/>
        </w:rPr>
        <w:t>constatat</w:t>
      </w:r>
      <w:r w:rsidRPr="009E5B39">
        <w:rPr>
          <w:rFonts w:asciiTheme="majorHAnsi" w:hAnsiTheme="majorHAnsi" w:cstheme="majorHAnsi"/>
          <w:sz w:val="24"/>
          <w:szCs w:val="24"/>
          <w:lang w:val="ro-MD"/>
        </w:rPr>
        <w:t xml:space="preserve"> că</w:t>
      </w:r>
      <w:r w:rsidR="00F606E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din 20 </w:t>
      </w:r>
      <w:r w:rsidR="00F606ED"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pasaje subterane, la momentul desfășurării inventarierii: 15 sunt eliberate, 5</w:t>
      </w:r>
      <w:r w:rsidRPr="009E5B39">
        <w:rPr>
          <w:rFonts w:asciiTheme="majorHAnsi" w:hAnsiTheme="majorHAnsi" w:cstheme="majorHAnsi"/>
          <w:sz w:val="24"/>
          <w:szCs w:val="24"/>
          <w:vertAlign w:val="superscript"/>
          <w:lang w:val="ro-MD"/>
        </w:rPr>
        <w:footnoteReference w:id="151"/>
      </w:r>
      <w:r w:rsidRPr="009E5B39">
        <w:rPr>
          <w:rFonts w:asciiTheme="majorHAnsi" w:hAnsiTheme="majorHAnsi" w:cstheme="majorHAnsi"/>
          <w:sz w:val="24"/>
          <w:szCs w:val="24"/>
          <w:lang w:val="ro-MD"/>
        </w:rPr>
        <w:t xml:space="preserve"> sunt ocupate de către agenții economici care își desfășoară activitatea economică în bază de contracte de locațiune (unele din</w:t>
      </w:r>
      <w:r w:rsidR="00F606ED" w:rsidRPr="009E5B39">
        <w:rPr>
          <w:rFonts w:asciiTheme="majorHAnsi" w:hAnsiTheme="majorHAnsi" w:cstheme="majorHAnsi"/>
          <w:sz w:val="24"/>
          <w:szCs w:val="24"/>
          <w:lang w:val="ro-MD"/>
        </w:rPr>
        <w:t>tre</w:t>
      </w:r>
      <w:r w:rsidRPr="009E5B39">
        <w:rPr>
          <w:rFonts w:asciiTheme="majorHAnsi" w:hAnsiTheme="majorHAnsi" w:cstheme="majorHAnsi"/>
          <w:sz w:val="24"/>
          <w:szCs w:val="24"/>
          <w:lang w:val="ro-MD"/>
        </w:rPr>
        <w:t xml:space="preserve"> care sunt valabile până în anul 2024, iar altele </w:t>
      </w:r>
      <w:r w:rsidR="00F606ED"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expirate), sau sunt luate în sublocațiune de la agenții economici – locatari, fără acordul CMC. Comisia de inventariere, deși menționează faptul că unii agenți economici desfășoară activitate economică </w:t>
      </w:r>
      <w:r w:rsidR="00F606ED" w:rsidRPr="009E5B39">
        <w:rPr>
          <w:rFonts w:asciiTheme="majorHAnsi" w:hAnsiTheme="majorHAnsi" w:cstheme="majorHAnsi"/>
          <w:sz w:val="24"/>
          <w:szCs w:val="24"/>
          <w:lang w:val="ro-MD"/>
        </w:rPr>
        <w:t>în</w:t>
      </w:r>
      <w:r w:rsidRPr="009E5B39">
        <w:rPr>
          <w:rFonts w:asciiTheme="majorHAnsi" w:hAnsiTheme="majorHAnsi" w:cstheme="majorHAnsi"/>
          <w:sz w:val="24"/>
          <w:szCs w:val="24"/>
          <w:lang w:val="ro-MD"/>
        </w:rPr>
        <w:t xml:space="preserve"> spații luate în sublocațiune, aceștia nu au fost identificați și menționați în rezultatele inventarierii. Astfel, nu este clar care este suprafața pasajelor subterane transmise în sublocațiune; cine sunt agenții economici care au transmis spații în sublocațiune; care este plata anuală achitată de către sublocatari, etc. </w:t>
      </w:r>
    </w:p>
    <w:p w14:paraId="6350BECC" w14:textId="04D52595" w:rsidR="00332FBE" w:rsidRPr="009E5B39" w:rsidRDefault="00332FBE" w:rsidP="00332FBE">
      <w:pPr>
        <w:pStyle w:val="ListParagraph"/>
        <w:numPr>
          <w:ilvl w:val="0"/>
          <w:numId w:val="92"/>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Analiza „</w:t>
      </w:r>
      <w:r w:rsidR="00F606ED" w:rsidRPr="009E5B39">
        <w:rPr>
          <w:rFonts w:asciiTheme="majorHAnsi" w:hAnsiTheme="majorHAnsi" w:cstheme="majorHAnsi"/>
          <w:sz w:val="24"/>
          <w:szCs w:val="24"/>
          <w:lang w:val="ro-MD"/>
        </w:rPr>
        <w:t>N</w:t>
      </w:r>
      <w:r w:rsidRPr="009E5B39">
        <w:rPr>
          <w:rFonts w:asciiTheme="majorHAnsi" w:hAnsiTheme="majorHAnsi" w:cstheme="majorHAnsi"/>
          <w:sz w:val="24"/>
          <w:szCs w:val="24"/>
          <w:lang w:val="ro-MD"/>
        </w:rPr>
        <w:t xml:space="preserve">otificărilor privind inițierea activității de comerț” (NIAC) și </w:t>
      </w:r>
      <w:r w:rsidR="00F606ED"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 xml:space="preserve">documentelor depuse în </w:t>
      </w:r>
      <w:r w:rsidR="00F606ED" w:rsidRPr="009E5B39">
        <w:rPr>
          <w:rFonts w:asciiTheme="majorHAnsi" w:hAnsiTheme="majorHAnsi" w:cstheme="majorHAnsi"/>
          <w:sz w:val="24"/>
          <w:szCs w:val="24"/>
          <w:lang w:val="ro-MD"/>
        </w:rPr>
        <w:t>anii</w:t>
      </w:r>
      <w:r w:rsidRPr="009E5B39">
        <w:rPr>
          <w:rFonts w:asciiTheme="majorHAnsi" w:hAnsiTheme="majorHAnsi" w:cstheme="majorHAnsi"/>
          <w:sz w:val="24"/>
          <w:szCs w:val="24"/>
          <w:lang w:val="ro-MD"/>
        </w:rPr>
        <w:t xml:space="preserve"> 2018-2020 de locatarii/sublocatarii din PSP din intersecția str. Ismail / bd. Ștefan cel Mare </w:t>
      </w:r>
      <w:r w:rsidR="008B4D63" w:rsidRPr="009E5B39">
        <w:rPr>
          <w:rFonts w:asciiTheme="majorHAnsi" w:hAnsiTheme="majorHAnsi" w:cstheme="majorHAnsi"/>
          <w:sz w:val="24"/>
          <w:szCs w:val="24"/>
          <w:lang w:val="ro-MD"/>
        </w:rPr>
        <w:t xml:space="preserve">și Sfânt </w:t>
      </w:r>
      <w:r w:rsidRPr="009E5B39">
        <w:rPr>
          <w:rFonts w:asciiTheme="majorHAnsi" w:hAnsiTheme="majorHAnsi" w:cstheme="majorHAnsi"/>
          <w:sz w:val="24"/>
          <w:szCs w:val="24"/>
          <w:lang w:val="ro-MD"/>
        </w:rPr>
        <w:t>conform prevederilor L</w:t>
      </w:r>
      <w:r w:rsidR="00F606ED" w:rsidRPr="009E5B39">
        <w:rPr>
          <w:rFonts w:asciiTheme="majorHAnsi" w:hAnsiTheme="majorHAnsi" w:cstheme="majorHAnsi"/>
          <w:sz w:val="24"/>
          <w:szCs w:val="24"/>
          <w:lang w:val="ro-MD"/>
        </w:rPr>
        <w:t>egii nr.</w:t>
      </w:r>
      <w:r w:rsidRPr="009E5B39">
        <w:rPr>
          <w:rFonts w:asciiTheme="majorHAnsi" w:hAnsiTheme="majorHAnsi" w:cstheme="majorHAnsi"/>
          <w:sz w:val="24"/>
          <w:szCs w:val="24"/>
          <w:lang w:val="ro-MD"/>
        </w:rPr>
        <w:t xml:space="preserve"> 231/2010</w:t>
      </w:r>
      <w:r w:rsidRPr="009E5B39">
        <w:rPr>
          <w:rFonts w:asciiTheme="majorHAnsi" w:hAnsiTheme="majorHAnsi" w:cstheme="majorHAnsi"/>
          <w:sz w:val="24"/>
          <w:szCs w:val="24"/>
          <w:vertAlign w:val="superscript"/>
          <w:lang w:val="ro-MD"/>
        </w:rPr>
        <w:footnoteReference w:id="152"/>
      </w:r>
      <w:r w:rsidRPr="009E5B39">
        <w:rPr>
          <w:rFonts w:asciiTheme="majorHAnsi" w:hAnsiTheme="majorHAnsi" w:cstheme="majorHAnsi"/>
          <w:sz w:val="24"/>
          <w:szCs w:val="24"/>
          <w:lang w:val="ro-MD"/>
        </w:rPr>
        <w:t xml:space="preserve"> a </w:t>
      </w:r>
      <w:r w:rsidR="00F606ED" w:rsidRPr="009E5B39">
        <w:rPr>
          <w:rFonts w:asciiTheme="majorHAnsi" w:hAnsiTheme="majorHAnsi" w:cstheme="majorHAnsi"/>
          <w:sz w:val="24"/>
          <w:szCs w:val="24"/>
          <w:lang w:val="ro-MD"/>
        </w:rPr>
        <w:t>relevat următoarele</w:t>
      </w:r>
      <w:r w:rsidRPr="009E5B39">
        <w:rPr>
          <w:rFonts w:asciiTheme="majorHAnsi" w:hAnsiTheme="majorHAnsi" w:cstheme="majorHAnsi"/>
          <w:sz w:val="24"/>
          <w:szCs w:val="24"/>
          <w:lang w:val="ro-MD"/>
        </w:rPr>
        <w:t xml:space="preserve">: </w:t>
      </w:r>
    </w:p>
    <w:p w14:paraId="2BB481FC" w14:textId="7F2A3C07" w:rsidR="00332FBE" w:rsidRPr="009E5B39" w:rsidRDefault="00332FBE" w:rsidP="00332FBE">
      <w:pPr>
        <w:pStyle w:val="ListParagraph"/>
        <w:numPr>
          <w:ilvl w:val="0"/>
          <w:numId w:val="57"/>
        </w:numPr>
        <w:spacing w:after="0" w:line="276" w:lineRule="auto"/>
        <w:ind w:left="0" w:right="4" w:firstLine="426"/>
        <w:jc w:val="both"/>
        <w:rPr>
          <w:rFonts w:asciiTheme="majorHAnsi" w:eastAsia="Calibri" w:hAnsiTheme="majorHAnsi" w:cstheme="majorHAnsi"/>
          <w:sz w:val="24"/>
          <w:szCs w:val="24"/>
          <w:lang w:val="ro-MD"/>
        </w:rPr>
      </w:pPr>
      <w:r w:rsidRPr="009E5B39">
        <w:rPr>
          <w:rFonts w:asciiTheme="majorHAnsi" w:eastAsia="Calibri" w:hAnsiTheme="majorHAnsi" w:cstheme="majorHAnsi"/>
          <w:i/>
          <w:sz w:val="24"/>
          <w:szCs w:val="24"/>
          <w:lang w:val="ro-MD"/>
        </w:rPr>
        <w:t>„Registrul de evidență a contractelor de locațiune/comodat a bunurilor proprietate publică a mun. Chișinău”</w:t>
      </w:r>
      <w:r w:rsidR="000339E3" w:rsidRPr="009E5B39">
        <w:rPr>
          <w:rFonts w:asciiTheme="majorHAnsi" w:eastAsia="Calibri" w:hAnsiTheme="majorHAnsi" w:cstheme="majorHAnsi"/>
          <w:i/>
          <w:sz w:val="24"/>
          <w:szCs w:val="24"/>
          <w:lang w:val="ro-MD"/>
        </w:rPr>
        <w:t>,</w:t>
      </w:r>
      <w:r w:rsidRPr="009E5B39">
        <w:rPr>
          <w:rFonts w:asciiTheme="majorHAnsi" w:eastAsia="Calibri" w:hAnsiTheme="majorHAnsi" w:cstheme="majorHAnsi"/>
          <w:sz w:val="24"/>
          <w:szCs w:val="24"/>
          <w:lang w:val="ro-MD"/>
        </w:rPr>
        <w:t xml:space="preserve"> deținut de DGECT</w:t>
      </w:r>
      <w:r w:rsidR="000339E3"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nu include </w:t>
      </w:r>
      <w:r w:rsidRPr="009E5B39">
        <w:rPr>
          <w:rFonts w:asciiTheme="majorHAnsi" w:eastAsia="Calibri" w:hAnsiTheme="majorHAnsi" w:cstheme="majorHAnsi"/>
          <w:b/>
          <w:bCs/>
          <w:sz w:val="24"/>
          <w:szCs w:val="24"/>
          <w:lang w:val="ro-MD"/>
        </w:rPr>
        <w:t>22 contracte de locațiune</w:t>
      </w:r>
      <w:r w:rsidRPr="009E5B39">
        <w:rPr>
          <w:rFonts w:asciiTheme="majorHAnsi" w:eastAsia="Calibri" w:hAnsiTheme="majorHAnsi" w:cstheme="majorHAnsi"/>
          <w:sz w:val="24"/>
          <w:szCs w:val="24"/>
          <w:lang w:val="ro-MD"/>
        </w:rPr>
        <w:t xml:space="preserve"> încheiate de către DGTPCC cu agenții economici care își desfășoară activitatea în incinta pasajului menționat, fiind transmisă în locațiune acestora suprafața de  </w:t>
      </w:r>
      <w:r w:rsidRPr="009E5B39">
        <w:rPr>
          <w:rFonts w:asciiTheme="majorHAnsi" w:hAnsiTheme="majorHAnsi" w:cstheme="majorHAnsi"/>
          <w:b/>
          <w:bCs/>
          <w:sz w:val="24"/>
          <w:szCs w:val="24"/>
          <w:lang w:val="ro-MD"/>
        </w:rPr>
        <w:t>1447,18 m</w:t>
      </w:r>
      <w:r w:rsidRPr="009E5B39">
        <w:rPr>
          <w:rFonts w:asciiTheme="majorHAnsi" w:hAnsiTheme="majorHAnsi" w:cstheme="majorHAnsi"/>
          <w:b/>
          <w:bCs/>
          <w:sz w:val="24"/>
          <w:szCs w:val="24"/>
          <w:vertAlign w:val="superscript"/>
          <w:lang w:val="ro-MD"/>
        </w:rPr>
        <w:t>2</w:t>
      </w:r>
      <w:r w:rsidRPr="009E5B39">
        <w:rPr>
          <w:rFonts w:asciiTheme="majorHAnsi" w:hAnsiTheme="majorHAnsi" w:cstheme="majorHAnsi"/>
          <w:b/>
          <w:bCs/>
          <w:sz w:val="24"/>
          <w:szCs w:val="24"/>
          <w:lang w:val="ro-MD"/>
        </w:rPr>
        <w:t xml:space="preserve">, </w:t>
      </w:r>
      <w:r w:rsidRPr="009E5B39">
        <w:rPr>
          <w:rFonts w:asciiTheme="majorHAnsi" w:hAnsiTheme="majorHAnsi" w:cstheme="majorHAnsi"/>
          <w:sz w:val="24"/>
          <w:szCs w:val="24"/>
          <w:lang w:val="ro-MD"/>
        </w:rPr>
        <w:t xml:space="preserve">ceea ce denotă că </w:t>
      </w:r>
      <w:r w:rsidR="007E740C" w:rsidRPr="009E5B39">
        <w:rPr>
          <w:rFonts w:asciiTheme="majorHAnsi" w:hAnsiTheme="majorHAnsi" w:cstheme="majorHAnsi"/>
          <w:sz w:val="24"/>
          <w:szCs w:val="24"/>
          <w:lang w:val="ro-MD"/>
        </w:rPr>
        <w:t xml:space="preserve">APL </w:t>
      </w:r>
      <w:r w:rsidRPr="009E5B39">
        <w:rPr>
          <w:rFonts w:asciiTheme="majorHAnsi" w:hAnsiTheme="majorHAnsi" w:cstheme="majorHAnsi"/>
          <w:sz w:val="24"/>
          <w:szCs w:val="24"/>
          <w:lang w:val="ro-MD"/>
        </w:rPr>
        <w:t>nu a asigurat o evidenț</w:t>
      </w:r>
      <w:r w:rsidR="000339E3"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integrală, veridică și exhaustivă a suprafețelor/încăperilor proprietate publică transmise în locațiune, nefiind ajustat în acest sens pct.11, alin.(15)</w:t>
      </w:r>
      <w:r w:rsidRPr="009E5B39">
        <w:rPr>
          <w:rStyle w:val="FootnoteReference"/>
          <w:rFonts w:asciiTheme="majorHAnsi" w:hAnsiTheme="majorHAnsi" w:cstheme="majorHAnsi"/>
          <w:sz w:val="24"/>
          <w:szCs w:val="24"/>
          <w:lang w:val="ro-MD"/>
        </w:rPr>
        <w:footnoteReference w:id="153"/>
      </w:r>
      <w:r w:rsidRPr="009E5B39">
        <w:rPr>
          <w:rFonts w:asciiTheme="majorHAnsi" w:hAnsiTheme="majorHAnsi" w:cstheme="majorHAnsi"/>
          <w:sz w:val="24"/>
          <w:szCs w:val="24"/>
          <w:lang w:val="ro-MD"/>
        </w:rPr>
        <w:t xml:space="preserve"> din Regulamentul de organizare și funcționare a DGECT, aprobat prin Decizia</w:t>
      </w:r>
      <w:r w:rsidR="00B30C66" w:rsidRPr="009E5B39">
        <w:rPr>
          <w:rFonts w:asciiTheme="majorHAnsi" w:hAnsiTheme="majorHAnsi" w:cstheme="majorHAnsi"/>
          <w:sz w:val="24"/>
          <w:szCs w:val="24"/>
          <w:lang w:val="ro-MD"/>
        </w:rPr>
        <w:t xml:space="preserve"> CMC</w:t>
      </w:r>
      <w:r w:rsidRPr="009E5B39">
        <w:rPr>
          <w:rFonts w:asciiTheme="majorHAnsi" w:hAnsiTheme="majorHAnsi" w:cstheme="majorHAnsi"/>
          <w:sz w:val="24"/>
          <w:szCs w:val="24"/>
          <w:lang w:val="ro-MD"/>
        </w:rPr>
        <w:t xml:space="preserve"> nr.13/4 din 04.08.2020</w:t>
      </w:r>
      <w:r w:rsidR="00170BD5" w:rsidRPr="009E5B39">
        <w:rPr>
          <w:rFonts w:asciiTheme="majorHAnsi" w:hAnsiTheme="majorHAnsi" w:cstheme="majorHAnsi"/>
          <w:sz w:val="24"/>
          <w:szCs w:val="24"/>
          <w:lang w:val="ro-MD"/>
        </w:rPr>
        <w:t>;</w:t>
      </w:r>
    </w:p>
    <w:p w14:paraId="46EB6D46" w14:textId="101E5F11" w:rsidR="00332FBE" w:rsidRPr="009E5B39" w:rsidRDefault="00332FBE" w:rsidP="00332FBE">
      <w:pPr>
        <w:pStyle w:val="ListParagraph"/>
        <w:numPr>
          <w:ilvl w:val="0"/>
          <w:numId w:val="57"/>
        </w:numPr>
        <w:spacing w:after="0" w:line="276" w:lineRule="auto"/>
        <w:ind w:left="0" w:right="4" w:firstLine="426"/>
        <w:jc w:val="both"/>
        <w:rPr>
          <w:rFonts w:asciiTheme="majorHAnsi" w:eastAsia="Calibri" w:hAnsiTheme="majorHAnsi" w:cstheme="majorHAnsi"/>
          <w:sz w:val="24"/>
          <w:szCs w:val="24"/>
          <w:lang w:val="ro-MD"/>
        </w:rPr>
      </w:pPr>
      <w:r w:rsidRPr="009E5B39">
        <w:rPr>
          <w:rFonts w:asciiTheme="majorHAnsi" w:hAnsiTheme="majorHAnsi" w:cstheme="majorHAnsi"/>
          <w:sz w:val="24"/>
          <w:szCs w:val="24"/>
          <w:lang w:val="ro-MD"/>
        </w:rPr>
        <w:t xml:space="preserve">În </w:t>
      </w:r>
      <w:r w:rsidR="000339E3" w:rsidRPr="009E5B39">
        <w:rPr>
          <w:rFonts w:asciiTheme="majorHAnsi" w:hAnsiTheme="majorHAnsi" w:cstheme="majorHAnsi"/>
          <w:sz w:val="24"/>
          <w:szCs w:val="24"/>
          <w:lang w:val="ro-MD"/>
        </w:rPr>
        <w:t>anii</w:t>
      </w:r>
      <w:r w:rsidRPr="009E5B39">
        <w:rPr>
          <w:rFonts w:asciiTheme="majorHAnsi" w:hAnsiTheme="majorHAnsi" w:cstheme="majorHAnsi"/>
          <w:sz w:val="24"/>
          <w:szCs w:val="24"/>
          <w:lang w:val="ro-MD"/>
        </w:rPr>
        <w:t xml:space="preserve"> 2018-2020, din 13</w:t>
      </w:r>
      <w:r w:rsidRPr="009E5B39">
        <w:rPr>
          <w:rStyle w:val="CommentReference"/>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agenți economici c</w:t>
      </w:r>
      <w:r w:rsidR="000339E3" w:rsidRPr="009E5B39">
        <w:rPr>
          <w:rFonts w:asciiTheme="majorHAnsi" w:hAnsiTheme="majorHAnsi" w:cstheme="majorHAnsi"/>
          <w:sz w:val="24"/>
          <w:szCs w:val="24"/>
          <w:lang w:val="ro-MD"/>
        </w:rPr>
        <w:t>ar</w:t>
      </w:r>
      <w:r w:rsidRPr="009E5B39">
        <w:rPr>
          <w:rFonts w:asciiTheme="majorHAnsi" w:hAnsiTheme="majorHAnsi" w:cstheme="majorHAnsi"/>
          <w:sz w:val="24"/>
          <w:szCs w:val="24"/>
          <w:lang w:val="ro-MD"/>
        </w:rPr>
        <w:t>e au încheiate contracte de locațiune cu DGTPCC aferente spațiilor din pasajul subteran din intersecția str. Ismail cu bd. Ștefan cel Mare</w:t>
      </w:r>
      <w:r w:rsidR="008B4D63" w:rsidRPr="009E5B39">
        <w:rPr>
          <w:rFonts w:asciiTheme="majorHAnsi" w:hAnsiTheme="majorHAnsi" w:cstheme="majorHAnsi"/>
          <w:sz w:val="24"/>
          <w:szCs w:val="24"/>
          <w:lang w:val="ro-MD"/>
        </w:rPr>
        <w:t xml:space="preserve"> și Sfânt</w:t>
      </w:r>
      <w:r w:rsidRPr="009E5B39">
        <w:rPr>
          <w:rFonts w:asciiTheme="majorHAnsi" w:hAnsiTheme="majorHAnsi" w:cstheme="majorHAnsi"/>
          <w:sz w:val="24"/>
          <w:szCs w:val="24"/>
          <w:lang w:val="ro-MD"/>
        </w:rPr>
        <w:t xml:space="preserve">, </w:t>
      </w:r>
      <w:r w:rsidRPr="009E5B39">
        <w:rPr>
          <w:rFonts w:asciiTheme="majorHAnsi" w:hAnsiTheme="majorHAnsi" w:cstheme="majorHAnsi"/>
          <w:b/>
          <w:bCs/>
          <w:sz w:val="24"/>
          <w:szCs w:val="24"/>
          <w:lang w:val="ro-MD"/>
        </w:rPr>
        <w:t>4</w:t>
      </w:r>
      <w:r w:rsidRPr="009E5B39">
        <w:rPr>
          <w:rStyle w:val="FootnoteReference"/>
          <w:rFonts w:asciiTheme="majorHAnsi" w:hAnsiTheme="majorHAnsi" w:cstheme="majorHAnsi"/>
          <w:sz w:val="24"/>
          <w:szCs w:val="24"/>
          <w:lang w:val="ro-MD"/>
        </w:rPr>
        <w:footnoteReference w:id="154"/>
      </w:r>
      <w:r w:rsidRPr="009E5B39">
        <w:rPr>
          <w:rFonts w:asciiTheme="majorHAnsi" w:hAnsiTheme="majorHAnsi" w:cstheme="majorHAnsi"/>
          <w:sz w:val="24"/>
          <w:szCs w:val="24"/>
          <w:lang w:val="ro-MD"/>
        </w:rPr>
        <w:t xml:space="preserve"> au desfășurat activități de comerț, pe o suprafață de </w:t>
      </w:r>
      <w:r w:rsidRPr="009E5B39">
        <w:rPr>
          <w:rFonts w:asciiTheme="majorHAnsi" w:hAnsiTheme="majorHAnsi" w:cstheme="majorHAnsi"/>
          <w:b/>
          <w:bCs/>
          <w:sz w:val="24"/>
          <w:szCs w:val="24"/>
          <w:lang w:val="ro-MD"/>
        </w:rPr>
        <w:t>99,5 m</w:t>
      </w:r>
      <w:r w:rsidRPr="009E5B39">
        <w:rPr>
          <w:rFonts w:asciiTheme="majorHAnsi" w:hAnsiTheme="majorHAnsi" w:cstheme="majorHAnsi"/>
          <w:b/>
          <w:bCs/>
          <w:sz w:val="24"/>
          <w:szCs w:val="24"/>
          <w:vertAlign w:val="superscript"/>
          <w:lang w:val="ro-MD"/>
        </w:rPr>
        <w:t>2</w:t>
      </w:r>
      <w:r w:rsidR="000339E3" w:rsidRPr="009E5B39">
        <w:rPr>
          <w:rFonts w:asciiTheme="majorHAnsi" w:hAnsiTheme="majorHAnsi" w:cstheme="majorHAnsi"/>
          <w:sz w:val="24"/>
          <w:szCs w:val="24"/>
          <w:vertAlign w:val="superscript"/>
          <w:lang w:val="ro-MD"/>
        </w:rPr>
        <w:t xml:space="preserve"> </w:t>
      </w:r>
      <w:r w:rsidRPr="009E5B39">
        <w:rPr>
          <w:rFonts w:asciiTheme="majorHAnsi" w:hAnsiTheme="majorHAnsi" w:cstheme="majorHAnsi"/>
          <w:sz w:val="24"/>
          <w:szCs w:val="24"/>
          <w:vertAlign w:val="superscript"/>
          <w:lang w:val="ro-MD"/>
        </w:rPr>
        <w:footnoteReference w:id="155"/>
      </w:r>
      <w:r w:rsidR="000339E3"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în lipsa NIAC-urilor;</w:t>
      </w:r>
    </w:p>
    <w:p w14:paraId="50CBF045" w14:textId="5A625262" w:rsidR="00332FBE" w:rsidRPr="009E5B39" w:rsidRDefault="00332FBE" w:rsidP="00332FBE">
      <w:pPr>
        <w:pStyle w:val="ListParagraph"/>
        <w:numPr>
          <w:ilvl w:val="0"/>
          <w:numId w:val="57"/>
        </w:numPr>
        <w:spacing w:after="0" w:line="276" w:lineRule="auto"/>
        <w:ind w:left="0" w:right="4" w:firstLine="426"/>
        <w:jc w:val="both"/>
        <w:rPr>
          <w:rFonts w:asciiTheme="majorHAnsi" w:eastAsia="Calibri" w:hAnsiTheme="majorHAnsi" w:cstheme="majorHAnsi"/>
          <w:sz w:val="24"/>
          <w:szCs w:val="24"/>
          <w:lang w:val="ro-MD"/>
        </w:rPr>
      </w:pPr>
      <w:r w:rsidRPr="009E5B39">
        <w:rPr>
          <w:rFonts w:asciiTheme="majorHAnsi" w:hAnsiTheme="majorHAnsi" w:cstheme="majorHAnsi"/>
          <w:sz w:val="24"/>
          <w:szCs w:val="24"/>
          <w:lang w:val="ro-MD"/>
        </w:rPr>
        <w:t>Din 8 agenți economici care au încheiat 16 contracte de locațiune cu AAPL</w:t>
      </w:r>
      <w:r w:rsidR="009E322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pe o suprafață totală de 473,68 m</w:t>
      </w:r>
      <w:r w:rsidRPr="009E5B39">
        <w:rPr>
          <w:rFonts w:asciiTheme="majorHAnsi" w:hAnsiTheme="majorHAnsi" w:cstheme="majorHAnsi"/>
          <w:sz w:val="24"/>
          <w:szCs w:val="24"/>
          <w:vertAlign w:val="superscript"/>
          <w:lang w:val="ro-MD"/>
        </w:rPr>
        <w:t>2</w:t>
      </w:r>
      <w:r w:rsidR="000339E3"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precum și au depus NIAC-uri, doar 3</w:t>
      </w:r>
      <w:r w:rsidRPr="009E5B39">
        <w:rPr>
          <w:rFonts w:asciiTheme="majorHAnsi" w:hAnsiTheme="majorHAnsi" w:cstheme="majorHAnsi"/>
          <w:sz w:val="24"/>
          <w:szCs w:val="24"/>
          <w:vertAlign w:val="superscript"/>
          <w:lang w:val="ro-MD"/>
        </w:rPr>
        <w:footnoteReference w:id="156"/>
      </w:r>
      <w:r w:rsidRPr="009E5B39">
        <w:rPr>
          <w:rFonts w:asciiTheme="majorHAnsi" w:hAnsiTheme="majorHAnsi" w:cstheme="majorHAnsi"/>
          <w:sz w:val="24"/>
          <w:szCs w:val="24"/>
          <w:lang w:val="ro-MD"/>
        </w:rPr>
        <w:t xml:space="preserve"> contracte </w:t>
      </w:r>
      <w:r w:rsidR="005A3739" w:rsidRPr="009E5B39">
        <w:rPr>
          <w:rFonts w:asciiTheme="majorHAnsi" w:hAnsiTheme="majorHAnsi" w:cstheme="majorHAnsi"/>
          <w:sz w:val="24"/>
          <w:szCs w:val="24"/>
          <w:lang w:val="ro-MD"/>
        </w:rPr>
        <w:t xml:space="preserve">de locațiune, </w:t>
      </w:r>
      <w:r w:rsidR="009E3223" w:rsidRPr="009E5B39">
        <w:rPr>
          <w:rFonts w:asciiTheme="majorHAnsi" w:hAnsiTheme="majorHAnsi" w:cstheme="majorHAnsi"/>
          <w:sz w:val="24"/>
          <w:szCs w:val="24"/>
          <w:lang w:val="ro-MD"/>
        </w:rPr>
        <w:t xml:space="preserve">pe o </w:t>
      </w:r>
      <w:r w:rsidRPr="009E5B39">
        <w:rPr>
          <w:rFonts w:asciiTheme="majorHAnsi" w:hAnsiTheme="majorHAnsi" w:cstheme="majorHAnsi"/>
          <w:sz w:val="24"/>
          <w:szCs w:val="24"/>
          <w:lang w:val="ro-MD"/>
        </w:rPr>
        <w:t xml:space="preserve"> suprafaț</w:t>
      </w:r>
      <w:r w:rsidR="009E3223"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totală de 99,3 m</w:t>
      </w:r>
      <w:r w:rsidRPr="009E5B39">
        <w:rPr>
          <w:rFonts w:asciiTheme="majorHAnsi" w:hAnsiTheme="majorHAnsi" w:cstheme="majorHAnsi"/>
          <w:sz w:val="24"/>
          <w:szCs w:val="24"/>
          <w:vertAlign w:val="superscript"/>
          <w:lang w:val="ro-MD"/>
        </w:rPr>
        <w:t>2</w:t>
      </w:r>
      <w:r w:rsidR="009E3223"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sunt valabile. Astfel, s-a admis continuarea desfășurării activității comerciale a </w:t>
      </w:r>
      <w:r w:rsidRPr="009E5B39">
        <w:rPr>
          <w:rFonts w:asciiTheme="majorHAnsi" w:hAnsiTheme="majorHAnsi" w:cstheme="majorHAnsi"/>
          <w:b/>
          <w:bCs/>
          <w:sz w:val="24"/>
          <w:szCs w:val="24"/>
          <w:lang w:val="ro-MD"/>
        </w:rPr>
        <w:t>5</w:t>
      </w:r>
      <w:r w:rsidRPr="009E5B39">
        <w:rPr>
          <w:rFonts w:asciiTheme="majorHAnsi" w:hAnsiTheme="majorHAnsi" w:cstheme="majorHAnsi"/>
          <w:sz w:val="24"/>
          <w:szCs w:val="24"/>
          <w:vertAlign w:val="superscript"/>
          <w:lang w:val="ro-MD"/>
        </w:rPr>
        <w:footnoteReference w:id="157"/>
      </w:r>
      <w:r w:rsidRPr="009E5B39">
        <w:rPr>
          <w:rFonts w:asciiTheme="majorHAnsi" w:hAnsiTheme="majorHAnsi" w:cstheme="majorHAnsi"/>
          <w:sz w:val="24"/>
          <w:szCs w:val="24"/>
          <w:lang w:val="ro-MD"/>
        </w:rPr>
        <w:t xml:space="preserve"> agenți economici pe o suprafață totală de </w:t>
      </w:r>
      <w:r w:rsidRPr="009E5B39">
        <w:rPr>
          <w:rFonts w:asciiTheme="majorHAnsi" w:hAnsiTheme="majorHAnsi" w:cstheme="majorHAnsi"/>
          <w:b/>
          <w:bCs/>
          <w:sz w:val="24"/>
          <w:szCs w:val="24"/>
          <w:lang w:val="ro-MD"/>
        </w:rPr>
        <w:t>374,38 m</w:t>
      </w:r>
      <w:r w:rsidRPr="009E5B39">
        <w:rPr>
          <w:rFonts w:asciiTheme="majorHAnsi" w:hAnsiTheme="majorHAnsi" w:cstheme="majorHAnsi"/>
          <w:b/>
          <w:bCs/>
          <w:sz w:val="24"/>
          <w:szCs w:val="24"/>
          <w:vertAlign w:val="superscript"/>
          <w:lang w:val="ro-MD"/>
        </w:rPr>
        <w:t>2</w:t>
      </w:r>
      <w:r w:rsidRPr="009E5B39">
        <w:rPr>
          <w:rFonts w:asciiTheme="majorHAnsi" w:hAnsiTheme="majorHAnsi" w:cstheme="majorHAnsi"/>
          <w:sz w:val="24"/>
          <w:szCs w:val="24"/>
          <w:lang w:val="ro-MD"/>
        </w:rPr>
        <w:t xml:space="preserve"> în lipsa contractelor de locațiune valabile, acestea fiind expirate începând cu anul 2006. DGTPCC, prin scrisori</w:t>
      </w:r>
      <w:r w:rsidRPr="009E5B39">
        <w:rPr>
          <w:rFonts w:asciiTheme="majorHAnsi" w:hAnsiTheme="majorHAnsi" w:cstheme="majorHAnsi"/>
          <w:sz w:val="24"/>
          <w:szCs w:val="24"/>
          <w:vertAlign w:val="superscript"/>
          <w:lang w:val="ro-MD"/>
        </w:rPr>
        <w:footnoteReference w:id="158"/>
      </w:r>
      <w:r w:rsidR="00170BD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 informat unii agenți economici că </w:t>
      </w:r>
      <w:r w:rsidRPr="009E5B39">
        <w:rPr>
          <w:rFonts w:asciiTheme="majorHAnsi" w:hAnsiTheme="majorHAnsi" w:cstheme="majorHAnsi"/>
          <w:i/>
          <w:sz w:val="24"/>
          <w:szCs w:val="24"/>
          <w:lang w:val="ro-MD"/>
        </w:rPr>
        <w:t>„termenul de valabilitate a contractelor se prelungește până la adoptarea unei decizii privind încăperile din pasajul subteran din bd. Ștefan cel Mare și Sfânt</w:t>
      </w:r>
      <w:r w:rsidRPr="009E5B39">
        <w:rPr>
          <w:rFonts w:asciiTheme="majorHAnsi" w:hAnsiTheme="majorHAnsi" w:cstheme="majorHAnsi"/>
          <w:sz w:val="24"/>
          <w:szCs w:val="24"/>
          <w:lang w:val="ro-MD"/>
        </w:rPr>
        <w:t xml:space="preserve">”. Până în prezent, </w:t>
      </w:r>
      <w:r w:rsidR="00170BD5" w:rsidRPr="009E5B39">
        <w:rPr>
          <w:rFonts w:asciiTheme="majorHAnsi" w:hAnsiTheme="majorHAnsi" w:cstheme="majorHAnsi"/>
          <w:sz w:val="24"/>
          <w:szCs w:val="24"/>
          <w:lang w:val="ro-MD"/>
        </w:rPr>
        <w:t>CMC nu a adoptat</w:t>
      </w:r>
      <w:r w:rsidR="00170BD5" w:rsidRPr="009E5B39" w:rsidDel="00170BD5">
        <w:rPr>
          <w:rFonts w:asciiTheme="majorHAnsi" w:hAnsiTheme="majorHAnsi" w:cstheme="majorHAnsi"/>
          <w:sz w:val="24"/>
          <w:szCs w:val="24"/>
          <w:lang w:val="ro-MD"/>
        </w:rPr>
        <w:t xml:space="preserve"> </w:t>
      </w:r>
      <w:r w:rsidR="00170BD5" w:rsidRPr="009E5B39">
        <w:rPr>
          <w:rFonts w:asciiTheme="majorHAnsi" w:hAnsiTheme="majorHAnsi" w:cstheme="majorHAnsi"/>
          <w:sz w:val="24"/>
          <w:szCs w:val="24"/>
          <w:lang w:val="ro-MD"/>
        </w:rPr>
        <w:t>decizii</w:t>
      </w:r>
      <w:r w:rsidR="00170BD5" w:rsidRPr="009E5B39" w:rsidDel="00170BD5">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în vederea soluționării situației menționate; </w:t>
      </w:r>
    </w:p>
    <w:p w14:paraId="3ACD58BD" w14:textId="124DE57C" w:rsidR="00332FBE" w:rsidRPr="009E5B39" w:rsidRDefault="00332FBE" w:rsidP="00332FBE">
      <w:pPr>
        <w:pStyle w:val="ListParagraph"/>
        <w:numPr>
          <w:ilvl w:val="0"/>
          <w:numId w:val="57"/>
        </w:numPr>
        <w:spacing w:after="0" w:line="276" w:lineRule="auto"/>
        <w:ind w:left="0" w:right="4" w:firstLine="426"/>
        <w:jc w:val="both"/>
        <w:rPr>
          <w:rFonts w:asciiTheme="majorHAnsi" w:eastAsia="Calibri" w:hAnsiTheme="majorHAnsi" w:cstheme="majorHAnsi"/>
          <w:sz w:val="24"/>
          <w:szCs w:val="24"/>
          <w:lang w:val="ro-MD"/>
        </w:rPr>
      </w:pPr>
      <w:r w:rsidRPr="009E5B39">
        <w:rPr>
          <w:rFonts w:asciiTheme="majorHAnsi" w:hAnsiTheme="majorHAnsi" w:cstheme="majorHAnsi"/>
          <w:b/>
          <w:bCs/>
          <w:sz w:val="24"/>
          <w:szCs w:val="24"/>
          <w:lang w:val="ro-MD"/>
        </w:rPr>
        <w:t>14</w:t>
      </w:r>
      <w:r w:rsidRPr="009E5B39">
        <w:rPr>
          <w:rFonts w:asciiTheme="majorHAnsi" w:hAnsiTheme="majorHAnsi" w:cstheme="majorHAnsi"/>
          <w:sz w:val="24"/>
          <w:szCs w:val="24"/>
          <w:lang w:val="ro-MD"/>
        </w:rPr>
        <w:t xml:space="preserve"> agenți economici (c</w:t>
      </w:r>
      <w:r w:rsidR="00170BD5" w:rsidRPr="009E5B39">
        <w:rPr>
          <w:rFonts w:asciiTheme="majorHAnsi" w:hAnsiTheme="majorHAnsi" w:cstheme="majorHAnsi"/>
          <w:sz w:val="24"/>
          <w:szCs w:val="24"/>
          <w:lang w:val="ro-MD"/>
        </w:rPr>
        <w:t>ar</w:t>
      </w:r>
      <w:r w:rsidRPr="009E5B39">
        <w:rPr>
          <w:rFonts w:asciiTheme="majorHAnsi" w:hAnsiTheme="majorHAnsi" w:cstheme="majorHAnsi"/>
          <w:sz w:val="24"/>
          <w:szCs w:val="24"/>
          <w:lang w:val="ro-MD"/>
        </w:rPr>
        <w:t xml:space="preserve">e au depus 19 NIAC-uri) au anexat </w:t>
      </w:r>
      <w:r w:rsidRPr="009E5B39">
        <w:rPr>
          <w:rFonts w:asciiTheme="majorHAnsi" w:hAnsiTheme="majorHAnsi" w:cstheme="majorHAnsi"/>
          <w:b/>
          <w:bCs/>
          <w:sz w:val="24"/>
          <w:szCs w:val="24"/>
          <w:lang w:val="ro-MD"/>
        </w:rPr>
        <w:t>contracte de sublocațiune</w:t>
      </w:r>
      <w:r w:rsidRPr="009E5B39">
        <w:rPr>
          <w:rFonts w:asciiTheme="majorHAnsi" w:hAnsiTheme="majorHAnsi" w:cstheme="majorHAnsi"/>
          <w:sz w:val="24"/>
          <w:szCs w:val="24"/>
          <w:lang w:val="ro-MD"/>
        </w:rPr>
        <w:t xml:space="preserve"> a încăperilor cu suprafața totală de </w:t>
      </w:r>
      <w:r w:rsidRPr="009E5B39">
        <w:rPr>
          <w:rFonts w:asciiTheme="majorHAnsi" w:hAnsiTheme="majorHAnsi" w:cstheme="majorHAnsi"/>
          <w:b/>
          <w:bCs/>
          <w:sz w:val="24"/>
          <w:szCs w:val="24"/>
          <w:lang w:val="ro-MD"/>
        </w:rPr>
        <w:t>255,2 m</w:t>
      </w:r>
      <w:r w:rsidRPr="009E5B39">
        <w:rPr>
          <w:rFonts w:asciiTheme="majorHAnsi" w:hAnsiTheme="majorHAnsi" w:cstheme="majorHAnsi"/>
          <w:b/>
          <w:bCs/>
          <w:sz w:val="24"/>
          <w:szCs w:val="24"/>
          <w:vertAlign w:val="superscript"/>
          <w:lang w:val="ro-MD"/>
        </w:rPr>
        <w:t>2</w:t>
      </w:r>
      <w:r w:rsidRPr="009E5B39">
        <w:rPr>
          <w:rFonts w:asciiTheme="majorHAnsi" w:hAnsiTheme="majorHAnsi" w:cstheme="majorHAnsi"/>
          <w:sz w:val="24"/>
          <w:szCs w:val="24"/>
          <w:lang w:val="ro-MD"/>
        </w:rPr>
        <w:t>, încheiate cu 3 locatari</w:t>
      </w:r>
      <w:r w:rsidRPr="009E5B39">
        <w:rPr>
          <w:rStyle w:val="FootnoteReference"/>
          <w:rFonts w:asciiTheme="majorHAnsi" w:hAnsiTheme="majorHAnsi" w:cstheme="majorHAnsi"/>
          <w:sz w:val="24"/>
          <w:szCs w:val="24"/>
          <w:lang w:val="ro-MD"/>
        </w:rPr>
        <w:footnoteReference w:id="159"/>
      </w:r>
      <w:r w:rsidRPr="009E5B39">
        <w:rPr>
          <w:rFonts w:asciiTheme="majorHAnsi" w:hAnsiTheme="majorHAnsi" w:cstheme="majorHAnsi"/>
          <w:sz w:val="24"/>
          <w:szCs w:val="24"/>
          <w:lang w:val="ro-MD"/>
        </w:rPr>
        <w:t xml:space="preserve"> </w:t>
      </w:r>
      <w:r w:rsidR="00170BD5"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care iau în locațiune  de la Primăria mun. Chișinău încăperi din pasajul menționat, cu suprafața de 429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Astfel, în lipsa acordului proprietarului încăperilor (CMC)</w:t>
      </w:r>
      <w:r w:rsidR="00170BD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au fost acceptate NIAC-uri, prin ce s-a tolerat </w:t>
      </w:r>
      <w:r w:rsidR="00E2262B" w:rsidRPr="009E5B39">
        <w:rPr>
          <w:rFonts w:asciiTheme="majorHAnsi" w:hAnsiTheme="majorHAnsi" w:cstheme="majorHAnsi"/>
          <w:sz w:val="24"/>
          <w:szCs w:val="24"/>
          <w:lang w:val="ro-MD"/>
        </w:rPr>
        <w:t xml:space="preserve">diminuarea veniturilor </w:t>
      </w:r>
      <w:r w:rsidR="00375A8D" w:rsidRPr="009E5B39">
        <w:rPr>
          <w:rFonts w:asciiTheme="majorHAnsi" w:hAnsiTheme="majorHAnsi" w:cstheme="majorHAnsi"/>
          <w:sz w:val="24"/>
          <w:szCs w:val="24"/>
          <w:lang w:val="ro-MD"/>
        </w:rPr>
        <w:t xml:space="preserve">bugetului </w:t>
      </w:r>
      <w:r w:rsidRPr="009E5B39">
        <w:rPr>
          <w:rFonts w:asciiTheme="majorHAnsi" w:hAnsiTheme="majorHAnsi" w:cstheme="majorHAnsi"/>
          <w:sz w:val="24"/>
          <w:szCs w:val="24"/>
          <w:lang w:val="ro-MD"/>
        </w:rPr>
        <w:t>mun. Chișinău.</w:t>
      </w:r>
    </w:p>
    <w:p w14:paraId="72D2240C" w14:textId="77777777" w:rsidR="00332FBE" w:rsidRPr="009E5B39" w:rsidRDefault="00332FBE" w:rsidP="00332FBE">
      <w:pPr>
        <w:pStyle w:val="ListParagraph"/>
        <w:numPr>
          <w:ilvl w:val="0"/>
          <w:numId w:val="92"/>
        </w:numPr>
        <w:spacing w:after="0" w:line="276" w:lineRule="auto"/>
        <w:ind w:left="0" w:firstLine="0"/>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Tariful per m</w:t>
      </w:r>
      <w:r w:rsidRPr="009E5B39">
        <w:rPr>
          <w:rFonts w:asciiTheme="majorHAnsi" w:hAnsiTheme="majorHAnsi" w:cstheme="majorHAnsi"/>
          <w:i/>
          <w:sz w:val="24"/>
          <w:szCs w:val="24"/>
          <w:vertAlign w:val="superscript"/>
          <w:lang w:val="ro-MD"/>
        </w:rPr>
        <w:t>2</w:t>
      </w:r>
      <w:r w:rsidRPr="009E5B39">
        <w:rPr>
          <w:rFonts w:asciiTheme="majorHAnsi" w:hAnsiTheme="majorHAnsi" w:cstheme="majorHAnsi"/>
          <w:i/>
          <w:sz w:val="24"/>
          <w:szCs w:val="24"/>
          <w:lang w:val="ro-MD"/>
        </w:rPr>
        <w:t xml:space="preserve"> achitat de către locatarii PSP în bugetul municipal este unul simbolic, comparativ cu tariful per m</w:t>
      </w:r>
      <w:r w:rsidRPr="009E5B39">
        <w:rPr>
          <w:rFonts w:asciiTheme="majorHAnsi" w:hAnsiTheme="majorHAnsi" w:cstheme="majorHAnsi"/>
          <w:i/>
          <w:sz w:val="24"/>
          <w:szCs w:val="24"/>
          <w:vertAlign w:val="superscript"/>
          <w:lang w:val="ro-MD"/>
        </w:rPr>
        <w:t>2</w:t>
      </w:r>
      <w:r w:rsidRPr="009E5B39">
        <w:rPr>
          <w:rFonts w:asciiTheme="majorHAnsi" w:hAnsiTheme="majorHAnsi" w:cstheme="majorHAnsi"/>
          <w:i/>
          <w:sz w:val="24"/>
          <w:szCs w:val="24"/>
          <w:lang w:val="ro-MD"/>
        </w:rPr>
        <w:t xml:space="preserve"> încasat de către aceștia de la transmiterea în sublocațiune a aceleiași suprafețe, ceea ce contribuie la îmbogățirea agentului economic în detrimentul APL .</w:t>
      </w:r>
    </w:p>
    <w:p w14:paraId="02BDD4F4" w14:textId="4405EFD9" w:rsidR="00332FBE" w:rsidRPr="009E5B39" w:rsidRDefault="00332FBE" w:rsidP="00332FBE">
      <w:pPr>
        <w:spacing w:after="0" w:line="276" w:lineRule="auto"/>
        <w:ind w:firstLine="709"/>
        <w:jc w:val="both"/>
        <w:rPr>
          <w:rFonts w:asciiTheme="majorHAnsi" w:hAnsiTheme="majorHAnsi" w:cstheme="majorHAnsi"/>
          <w:i/>
          <w:sz w:val="24"/>
          <w:szCs w:val="24"/>
          <w:lang w:val="ro-MD"/>
        </w:rPr>
      </w:pPr>
      <w:r w:rsidRPr="009E5B39">
        <w:rPr>
          <w:rFonts w:asciiTheme="majorHAnsi" w:hAnsiTheme="majorHAnsi" w:cstheme="majorHAnsi"/>
          <w:sz w:val="24"/>
          <w:szCs w:val="24"/>
          <w:lang w:val="ro-MD"/>
        </w:rPr>
        <w:t>Astfel, tariful anual pentru 1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achitat de către locatarii PSP din str. Ismail / bd. Ștefan cel Mare</w:t>
      </w:r>
      <w:r w:rsidR="00C0374F" w:rsidRPr="009E5B39">
        <w:rPr>
          <w:rFonts w:asciiTheme="majorHAnsi" w:hAnsiTheme="majorHAnsi" w:cstheme="majorHAnsi"/>
          <w:sz w:val="24"/>
          <w:szCs w:val="24"/>
          <w:lang w:val="ro-MD"/>
        </w:rPr>
        <w:t xml:space="preserve"> și Sfânt</w:t>
      </w:r>
      <w:r w:rsidRPr="009E5B39">
        <w:rPr>
          <w:rFonts w:asciiTheme="majorHAnsi" w:hAnsiTheme="majorHAnsi" w:cstheme="majorHAnsi"/>
          <w:i/>
          <w:sz w:val="24"/>
          <w:szCs w:val="24"/>
          <w:lang w:val="ro-MD"/>
        </w:rPr>
        <w:t xml:space="preserve"> </w:t>
      </w:r>
      <w:r w:rsidRPr="009E5B39">
        <w:rPr>
          <w:rFonts w:asciiTheme="majorHAnsi" w:hAnsiTheme="majorHAnsi" w:cstheme="majorHAnsi"/>
          <w:sz w:val="24"/>
          <w:szCs w:val="24"/>
          <w:lang w:val="ro-MD"/>
        </w:rPr>
        <w:t xml:space="preserve">în bugetul municipal, în </w:t>
      </w:r>
      <w:r w:rsidR="00C0374F" w:rsidRPr="009E5B39">
        <w:rPr>
          <w:rFonts w:asciiTheme="majorHAnsi" w:hAnsiTheme="majorHAnsi" w:cstheme="majorHAnsi"/>
          <w:sz w:val="24"/>
          <w:szCs w:val="24"/>
          <w:lang w:val="ro-MD"/>
        </w:rPr>
        <w:t>anii</w:t>
      </w:r>
      <w:r w:rsidRPr="009E5B39">
        <w:rPr>
          <w:rFonts w:asciiTheme="majorHAnsi" w:hAnsiTheme="majorHAnsi" w:cstheme="majorHAnsi"/>
          <w:sz w:val="24"/>
          <w:szCs w:val="24"/>
          <w:lang w:val="ro-MD"/>
        </w:rPr>
        <w:t xml:space="preserve"> 2018-2020, a variat între </w:t>
      </w:r>
      <w:r w:rsidRPr="009E5B39">
        <w:rPr>
          <w:rFonts w:asciiTheme="majorHAnsi" w:hAnsiTheme="majorHAnsi" w:cstheme="majorHAnsi"/>
          <w:b/>
          <w:sz w:val="24"/>
          <w:szCs w:val="24"/>
          <w:lang w:val="ro-MD"/>
        </w:rPr>
        <w:t>781,77 lei/m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b/>
          <w:sz w:val="24"/>
          <w:szCs w:val="24"/>
          <w:lang w:val="ro-MD"/>
        </w:rPr>
        <w:t>/an</w:t>
      </w:r>
      <w:r w:rsidRPr="009E5B39">
        <w:rPr>
          <w:rFonts w:asciiTheme="majorHAnsi" w:hAnsiTheme="majorHAnsi" w:cstheme="majorHAnsi"/>
          <w:sz w:val="24"/>
          <w:szCs w:val="24"/>
          <w:lang w:val="ro-MD"/>
        </w:rPr>
        <w:t xml:space="preserve"> (în </w:t>
      </w:r>
      <w:r w:rsidR="00C0374F"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 xml:space="preserve">2019) și </w:t>
      </w:r>
      <w:r w:rsidRPr="009E5B39">
        <w:rPr>
          <w:rFonts w:asciiTheme="majorHAnsi" w:hAnsiTheme="majorHAnsi" w:cstheme="majorHAnsi"/>
          <w:b/>
          <w:sz w:val="24"/>
          <w:szCs w:val="24"/>
          <w:lang w:val="ro-MD"/>
        </w:rPr>
        <w:t>1.489,52 lei/m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b/>
          <w:sz w:val="24"/>
          <w:szCs w:val="24"/>
          <w:lang w:val="ro-MD"/>
        </w:rPr>
        <w:t>/an</w:t>
      </w:r>
      <w:r w:rsidRPr="009E5B39">
        <w:rPr>
          <w:rFonts w:asciiTheme="majorHAnsi" w:hAnsiTheme="majorHAnsi" w:cstheme="majorHAnsi"/>
          <w:sz w:val="24"/>
          <w:szCs w:val="24"/>
          <w:lang w:val="ro-MD"/>
        </w:rPr>
        <w:t xml:space="preserve"> (în </w:t>
      </w:r>
      <w:r w:rsidR="00C0374F"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2020)</w:t>
      </w:r>
      <w:r w:rsidRPr="009E5B39">
        <w:rPr>
          <w:rFonts w:asciiTheme="majorHAnsi" w:hAnsiTheme="majorHAnsi" w:cstheme="majorHAnsi"/>
          <w:sz w:val="24"/>
          <w:szCs w:val="24"/>
          <w:vertAlign w:val="superscript"/>
          <w:lang w:val="ro-MD"/>
        </w:rPr>
        <w:footnoteReference w:id="160"/>
      </w:r>
      <w:r w:rsidRPr="009E5B39">
        <w:rPr>
          <w:rFonts w:asciiTheme="majorHAnsi" w:hAnsiTheme="majorHAnsi" w:cstheme="majorHAnsi"/>
          <w:sz w:val="24"/>
          <w:szCs w:val="24"/>
          <w:lang w:val="ro-MD"/>
        </w:rPr>
        <w:t>, pe când tariful anual per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încasat de către aceștia de la sublocatari în această perioadă a variat între </w:t>
      </w:r>
      <w:r w:rsidRPr="009E5B39">
        <w:rPr>
          <w:rFonts w:asciiTheme="majorHAnsi" w:hAnsiTheme="majorHAnsi" w:cstheme="majorHAnsi"/>
          <w:b/>
          <w:sz w:val="24"/>
          <w:szCs w:val="24"/>
          <w:lang w:val="ro-MD"/>
        </w:rPr>
        <w:t>4.854,19 lei/m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b/>
          <w:sz w:val="24"/>
          <w:szCs w:val="24"/>
          <w:lang w:val="ro-MD"/>
        </w:rPr>
        <w:t>/an</w:t>
      </w:r>
      <w:r w:rsidRPr="009E5B39">
        <w:rPr>
          <w:rFonts w:asciiTheme="majorHAnsi" w:hAnsiTheme="majorHAnsi" w:cstheme="majorHAnsi"/>
          <w:sz w:val="24"/>
          <w:szCs w:val="24"/>
          <w:lang w:val="ro-MD"/>
        </w:rPr>
        <w:t xml:space="preserve"> (în </w:t>
      </w:r>
      <w:r w:rsidR="00C0374F"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 xml:space="preserve">2019) și </w:t>
      </w:r>
      <w:r w:rsidRPr="009E5B39">
        <w:rPr>
          <w:rFonts w:asciiTheme="majorHAnsi" w:hAnsiTheme="majorHAnsi" w:cstheme="majorHAnsi"/>
          <w:b/>
          <w:sz w:val="24"/>
          <w:szCs w:val="24"/>
          <w:lang w:val="ro-MD"/>
        </w:rPr>
        <w:t>76.458,39 lei/m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b/>
          <w:sz w:val="24"/>
          <w:szCs w:val="24"/>
          <w:lang w:val="ro-MD"/>
        </w:rPr>
        <w:t>/an</w:t>
      </w:r>
      <w:r w:rsidRPr="009E5B39">
        <w:rPr>
          <w:rFonts w:asciiTheme="majorHAnsi" w:hAnsiTheme="majorHAnsi" w:cstheme="majorHAnsi"/>
          <w:sz w:val="24"/>
          <w:szCs w:val="24"/>
          <w:lang w:val="ro-MD"/>
        </w:rPr>
        <w:t xml:space="preserve"> (în </w:t>
      </w:r>
      <w:r w:rsidR="00C0374F"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2018)</w:t>
      </w:r>
      <w:r w:rsidRPr="009E5B39">
        <w:rPr>
          <w:rFonts w:asciiTheme="majorHAnsi" w:hAnsiTheme="majorHAnsi" w:cstheme="majorHAnsi"/>
          <w:sz w:val="24"/>
          <w:szCs w:val="24"/>
          <w:vertAlign w:val="superscript"/>
          <w:lang w:val="ro-MD"/>
        </w:rPr>
        <w:footnoteReference w:id="161"/>
      </w:r>
      <w:r w:rsidRPr="009E5B39">
        <w:rPr>
          <w:rFonts w:asciiTheme="majorHAnsi" w:hAnsiTheme="majorHAnsi" w:cstheme="majorHAnsi"/>
          <w:sz w:val="24"/>
          <w:szCs w:val="24"/>
          <w:lang w:val="ro-MD"/>
        </w:rPr>
        <w:t xml:space="preserve">. </w:t>
      </w:r>
      <w:r w:rsidRPr="009E5B39">
        <w:rPr>
          <w:rFonts w:asciiTheme="majorHAnsi" w:hAnsiTheme="majorHAnsi" w:cstheme="majorHAnsi"/>
          <w:i/>
          <w:sz w:val="24"/>
          <w:szCs w:val="24"/>
          <w:lang w:val="ro-MD"/>
        </w:rPr>
        <w:t>Ca exemplu:</w:t>
      </w:r>
      <w:r w:rsidRPr="009E5B39">
        <w:rPr>
          <w:rFonts w:asciiTheme="majorHAnsi" w:hAnsiTheme="majorHAnsi" w:cstheme="majorHAnsi"/>
          <w:sz w:val="24"/>
          <w:szCs w:val="24"/>
          <w:lang w:val="ro-MD"/>
        </w:rPr>
        <w:t xml:space="preserve"> veniturile încasate de SRL </w:t>
      </w:r>
      <w:r w:rsidR="00C0374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Avent</w:t>
      </w:r>
      <w:r w:rsidR="00C0374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anii 2018-2020</w:t>
      </w:r>
      <w:r w:rsidR="00C0374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prin darea a </w:t>
      </w:r>
      <w:r w:rsidRPr="009E5B39">
        <w:rPr>
          <w:rFonts w:asciiTheme="majorHAnsi" w:hAnsiTheme="majorHAnsi" w:cstheme="majorHAnsi"/>
          <w:b/>
          <w:sz w:val="24"/>
          <w:szCs w:val="24"/>
          <w:lang w:val="ro-MD"/>
        </w:rPr>
        <w:t>82,6 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sz w:val="24"/>
          <w:szCs w:val="24"/>
          <w:lang w:val="ro-MD"/>
        </w:rPr>
        <w:t xml:space="preserve"> în sublocațiune </w:t>
      </w:r>
      <w:r w:rsidRPr="009E5B39">
        <w:rPr>
          <w:rFonts w:asciiTheme="majorHAnsi" w:hAnsiTheme="majorHAnsi" w:cstheme="majorHAnsi"/>
          <w:b/>
          <w:sz w:val="24"/>
          <w:szCs w:val="24"/>
          <w:lang w:val="ro-MD"/>
        </w:rPr>
        <w:t>(6,87 mil</w:t>
      </w:r>
      <w:r w:rsidR="00C0374F"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00A93592"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 xml:space="preserve">sunt </w:t>
      </w:r>
      <w:r w:rsidRPr="009E5B39">
        <w:rPr>
          <w:rFonts w:asciiTheme="majorHAnsi" w:hAnsiTheme="majorHAnsi" w:cstheme="majorHAnsi"/>
          <w:b/>
          <w:sz w:val="24"/>
          <w:szCs w:val="24"/>
          <w:lang w:val="ro-MD"/>
        </w:rPr>
        <w:t>de 22,5 ori</w:t>
      </w:r>
      <w:r w:rsidR="00C0374F"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sau cu 6,57 mil</w:t>
      </w:r>
      <w:r w:rsidR="00C0374F"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mai mari decât plata pentru locațiunea aceleiași suprafețe achitată în bugetul municipal </w:t>
      </w:r>
      <w:r w:rsidRPr="009E5B39">
        <w:rPr>
          <w:rFonts w:asciiTheme="majorHAnsi" w:hAnsiTheme="majorHAnsi" w:cstheme="majorHAnsi"/>
          <w:b/>
          <w:sz w:val="24"/>
          <w:szCs w:val="24"/>
          <w:lang w:val="ro-MD"/>
        </w:rPr>
        <w:t>(0,30 mil</w:t>
      </w:r>
      <w:r w:rsidR="00C0374F"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 </w:t>
      </w:r>
      <w:r w:rsidRPr="009E5B39">
        <w:rPr>
          <w:rFonts w:asciiTheme="majorHAnsi" w:hAnsiTheme="majorHAnsi" w:cstheme="majorHAnsi"/>
          <w:i/>
          <w:sz w:val="24"/>
          <w:szCs w:val="24"/>
          <w:lang w:val="ro-MD"/>
        </w:rPr>
        <w:t xml:space="preserve">Analiza detaliată a spațiilor transmise în sublocațiune de către SRL „Avent”, tariful anual achitat de către acesta în bugetul municipal în comparație cu tariful încasat de la sublocatari, veniturile înregistrate în perioada </w:t>
      </w:r>
      <w:r w:rsidR="00E30B2B" w:rsidRPr="009E5B39">
        <w:rPr>
          <w:rFonts w:asciiTheme="majorHAnsi" w:hAnsiTheme="majorHAnsi" w:cstheme="majorHAnsi"/>
          <w:i/>
          <w:sz w:val="24"/>
          <w:szCs w:val="24"/>
          <w:lang w:val="ro-MD"/>
        </w:rPr>
        <w:t xml:space="preserve">anilor </w:t>
      </w:r>
      <w:r w:rsidRPr="009E5B39">
        <w:rPr>
          <w:rFonts w:asciiTheme="majorHAnsi" w:hAnsiTheme="majorHAnsi" w:cstheme="majorHAnsi"/>
          <w:i/>
          <w:sz w:val="24"/>
          <w:szCs w:val="24"/>
          <w:lang w:val="ro-MD"/>
        </w:rPr>
        <w:t xml:space="preserve">2018-2020 de către acesta </w:t>
      </w:r>
      <w:r w:rsidR="00E30B2B" w:rsidRPr="009E5B39">
        <w:rPr>
          <w:rFonts w:asciiTheme="majorHAnsi" w:hAnsiTheme="majorHAnsi" w:cstheme="majorHAnsi"/>
          <w:i/>
          <w:sz w:val="24"/>
          <w:szCs w:val="24"/>
          <w:lang w:val="ro-MD"/>
        </w:rPr>
        <w:t>sunt</w:t>
      </w:r>
      <w:r w:rsidRPr="009E5B39">
        <w:rPr>
          <w:rFonts w:asciiTheme="majorHAnsi" w:hAnsiTheme="majorHAnsi" w:cstheme="majorHAnsi"/>
          <w:i/>
          <w:sz w:val="24"/>
          <w:szCs w:val="24"/>
          <w:lang w:val="ro-MD"/>
        </w:rPr>
        <w:t xml:space="preserve"> prezentat</w:t>
      </w:r>
      <w:r w:rsidR="00E30B2B" w:rsidRPr="009E5B39">
        <w:rPr>
          <w:rFonts w:asciiTheme="majorHAnsi" w:hAnsiTheme="majorHAnsi" w:cstheme="majorHAnsi"/>
          <w:i/>
          <w:sz w:val="24"/>
          <w:szCs w:val="24"/>
          <w:lang w:val="ro-MD"/>
        </w:rPr>
        <w:t>e</w:t>
      </w:r>
      <w:r w:rsidRPr="009E5B39">
        <w:rPr>
          <w:rFonts w:asciiTheme="majorHAnsi" w:hAnsiTheme="majorHAnsi" w:cstheme="majorHAnsi"/>
          <w:i/>
          <w:sz w:val="24"/>
          <w:szCs w:val="24"/>
          <w:lang w:val="ro-MD"/>
        </w:rPr>
        <w:t xml:space="preserve"> în Anexa nr.12 la </w:t>
      </w:r>
      <w:r w:rsidR="00E30B2B" w:rsidRPr="009E5B39">
        <w:rPr>
          <w:rFonts w:asciiTheme="majorHAnsi" w:hAnsiTheme="majorHAnsi" w:cstheme="majorHAnsi"/>
          <w:i/>
          <w:sz w:val="24"/>
          <w:szCs w:val="24"/>
          <w:lang w:val="ro-MD"/>
        </w:rPr>
        <w:t>R</w:t>
      </w:r>
      <w:r w:rsidRPr="009E5B39">
        <w:rPr>
          <w:rFonts w:asciiTheme="majorHAnsi" w:hAnsiTheme="majorHAnsi" w:cstheme="majorHAnsi"/>
          <w:i/>
          <w:sz w:val="24"/>
          <w:szCs w:val="24"/>
          <w:lang w:val="ro-MD"/>
        </w:rPr>
        <w:t>aport</w:t>
      </w:r>
      <w:r w:rsidR="00E30B2B" w:rsidRPr="009E5B39">
        <w:rPr>
          <w:rFonts w:asciiTheme="majorHAnsi" w:hAnsiTheme="majorHAnsi" w:cstheme="majorHAnsi"/>
          <w:i/>
          <w:sz w:val="24"/>
          <w:szCs w:val="24"/>
          <w:lang w:val="ro-MD"/>
        </w:rPr>
        <w:t>ul de audit</w:t>
      </w:r>
      <w:r w:rsidRPr="009E5B39">
        <w:rPr>
          <w:rFonts w:asciiTheme="majorHAnsi" w:hAnsiTheme="majorHAnsi" w:cstheme="majorHAnsi"/>
          <w:i/>
          <w:sz w:val="24"/>
          <w:szCs w:val="24"/>
          <w:lang w:val="ro-MD"/>
        </w:rPr>
        <w:t>.</w:t>
      </w:r>
    </w:p>
    <w:p w14:paraId="3A354668" w14:textId="529E5014" w:rsidR="00B43A26" w:rsidRPr="009E5B39" w:rsidRDefault="00B43A26" w:rsidP="00B43A26">
      <w:pPr>
        <w:pStyle w:val="ListParagraph"/>
        <w:numPr>
          <w:ilvl w:val="0"/>
          <w:numId w:val="92"/>
        </w:numPr>
        <w:tabs>
          <w:tab w:val="left" w:pos="851"/>
        </w:tabs>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b/>
          <w:i/>
          <w:sz w:val="24"/>
          <w:szCs w:val="24"/>
          <w:lang w:val="ro-MD"/>
        </w:rPr>
        <w:t>Deși Curtea de Conturi</w:t>
      </w:r>
      <w:r w:rsidR="00E30B2B"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 xml:space="preserve"> în Raportul aprobat prin Hotărârea nr.7 din 26.12.2021</w:t>
      </w:r>
      <w:r w:rsidRPr="009E5B39">
        <w:rPr>
          <w:vertAlign w:val="superscript"/>
          <w:lang w:val="ro-MD"/>
        </w:rPr>
        <w:footnoteReference w:id="162"/>
      </w:r>
      <w:r w:rsidR="00E30B2B"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 xml:space="preserve"> a menționat că studiul de fezabilitate trebuie să se bazeze pe documentația de proiect elaborată și expertizată conform, iar cheltuielile aferente reparațiilor spațiului comercial nu constituie investiții în folosul partenerului public și</w:t>
      </w:r>
      <w:r w:rsidR="00E30B2B" w:rsidRPr="009E5B39">
        <w:rPr>
          <w:rFonts w:asciiTheme="majorHAnsi" w:hAnsiTheme="majorHAnsi" w:cstheme="majorHAnsi"/>
          <w:b/>
          <w:i/>
          <w:sz w:val="24"/>
          <w:szCs w:val="24"/>
          <w:lang w:val="ro-MD"/>
        </w:rPr>
        <w:t xml:space="preserve">, </w:t>
      </w:r>
      <w:r w:rsidRPr="009E5B39">
        <w:rPr>
          <w:rFonts w:asciiTheme="majorHAnsi" w:hAnsiTheme="majorHAnsi" w:cstheme="majorHAnsi"/>
          <w:b/>
          <w:i/>
          <w:sz w:val="24"/>
          <w:szCs w:val="24"/>
          <w:lang w:val="ro-MD"/>
        </w:rPr>
        <w:t>deci</w:t>
      </w:r>
      <w:r w:rsidR="00E30B2B"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 xml:space="preserve"> nu trebuie să fie recuperat</w:t>
      </w:r>
      <w:r w:rsidR="00E30B2B" w:rsidRPr="009E5B39">
        <w:rPr>
          <w:rFonts w:asciiTheme="majorHAnsi" w:hAnsiTheme="majorHAnsi" w:cstheme="majorHAnsi"/>
          <w:b/>
          <w:i/>
          <w:sz w:val="24"/>
          <w:szCs w:val="24"/>
          <w:lang w:val="ro-MD"/>
        </w:rPr>
        <w:t>e</w:t>
      </w:r>
      <w:r w:rsidRPr="009E5B39">
        <w:rPr>
          <w:rFonts w:asciiTheme="majorHAnsi" w:hAnsiTheme="majorHAnsi" w:cstheme="majorHAnsi"/>
          <w:b/>
          <w:i/>
          <w:sz w:val="24"/>
          <w:szCs w:val="24"/>
          <w:lang w:val="ro-MD"/>
        </w:rPr>
        <w:t xml:space="preserve"> prin contract de parteneriat public</w:t>
      </w:r>
      <w:r w:rsidR="001A0F94"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privat, UAT mun. Chișinău continuă aceeași practică, ceea ce creează</w:t>
      </w:r>
      <w:r w:rsidRPr="009E5B39">
        <w:rPr>
          <w:rFonts w:asciiTheme="majorHAnsi" w:hAnsiTheme="majorHAnsi" w:cstheme="majorHAnsi"/>
          <w:sz w:val="24"/>
          <w:szCs w:val="24"/>
          <w:lang w:val="ro-MD"/>
        </w:rPr>
        <w:t xml:space="preserve"> </w:t>
      </w:r>
      <w:r w:rsidRPr="009E5B39">
        <w:rPr>
          <w:rFonts w:asciiTheme="majorHAnsi" w:hAnsiTheme="majorHAnsi" w:cstheme="majorHAnsi"/>
          <w:b/>
          <w:bCs/>
          <w:i/>
          <w:iCs/>
          <w:sz w:val="24"/>
          <w:szCs w:val="24"/>
          <w:lang w:val="ro-MD"/>
        </w:rPr>
        <w:t xml:space="preserve">riscul ca bugetul municipal să fie deposedat de venituri pasibile de încasat din locațiunea patrimoniului public în următorii 35 </w:t>
      </w:r>
      <w:r w:rsidR="001A0F94" w:rsidRPr="009E5B39">
        <w:rPr>
          <w:rFonts w:asciiTheme="majorHAnsi" w:hAnsiTheme="majorHAnsi" w:cstheme="majorHAnsi"/>
          <w:b/>
          <w:bCs/>
          <w:i/>
          <w:iCs/>
          <w:sz w:val="24"/>
          <w:szCs w:val="24"/>
          <w:lang w:val="ro-MD"/>
        </w:rPr>
        <w:t xml:space="preserve">de </w:t>
      </w:r>
      <w:r w:rsidRPr="009E5B39">
        <w:rPr>
          <w:rFonts w:asciiTheme="majorHAnsi" w:hAnsiTheme="majorHAnsi" w:cstheme="majorHAnsi"/>
          <w:b/>
          <w:bCs/>
          <w:i/>
          <w:iCs/>
          <w:sz w:val="24"/>
          <w:szCs w:val="24"/>
          <w:lang w:val="ro-MD"/>
        </w:rPr>
        <w:t xml:space="preserve">ani, precum și </w:t>
      </w:r>
      <w:r w:rsidR="001A0F94" w:rsidRPr="009E5B39">
        <w:rPr>
          <w:rFonts w:asciiTheme="majorHAnsi" w:hAnsiTheme="majorHAnsi" w:cstheme="majorHAnsi"/>
          <w:b/>
          <w:bCs/>
          <w:i/>
          <w:iCs/>
          <w:sz w:val="24"/>
          <w:szCs w:val="24"/>
          <w:lang w:val="ro-MD"/>
        </w:rPr>
        <w:t xml:space="preserve">de </w:t>
      </w:r>
      <w:r w:rsidRPr="009E5B39">
        <w:rPr>
          <w:rFonts w:asciiTheme="majorHAnsi" w:hAnsiTheme="majorHAnsi" w:cstheme="majorHAnsi"/>
          <w:b/>
          <w:i/>
          <w:iCs/>
          <w:sz w:val="24"/>
          <w:szCs w:val="24"/>
          <w:lang w:val="ro-MD"/>
        </w:rPr>
        <w:t>îmbogățire</w:t>
      </w:r>
      <w:r w:rsidR="001A0F94" w:rsidRPr="009E5B39">
        <w:rPr>
          <w:rFonts w:asciiTheme="majorHAnsi" w:hAnsiTheme="majorHAnsi" w:cstheme="majorHAnsi"/>
          <w:b/>
          <w:i/>
          <w:iCs/>
          <w:sz w:val="24"/>
          <w:szCs w:val="24"/>
          <w:lang w:val="ro-MD"/>
        </w:rPr>
        <w:t xml:space="preserve"> </w:t>
      </w:r>
      <w:r w:rsidRPr="009E5B39">
        <w:rPr>
          <w:rFonts w:asciiTheme="majorHAnsi" w:hAnsiTheme="majorHAnsi" w:cstheme="majorHAnsi"/>
          <w:b/>
          <w:i/>
          <w:iCs/>
          <w:sz w:val="24"/>
          <w:szCs w:val="24"/>
          <w:lang w:val="ro-MD"/>
        </w:rPr>
        <w:t>a agentului economic de pe urma PPP-ului în detrimentul bugetului mun. Chișinău</w:t>
      </w:r>
      <w:r w:rsidR="001A0F94" w:rsidRPr="009E5B39">
        <w:rPr>
          <w:rFonts w:asciiTheme="majorHAnsi" w:hAnsiTheme="majorHAnsi" w:cstheme="majorHAnsi"/>
          <w:b/>
          <w:i/>
          <w:iCs/>
          <w:sz w:val="24"/>
          <w:szCs w:val="24"/>
          <w:lang w:val="ro-MD"/>
        </w:rPr>
        <w:t>.</w:t>
      </w:r>
    </w:p>
    <w:p w14:paraId="28DACC77" w14:textId="51699326" w:rsidR="00B43A26" w:rsidRPr="009E5B39" w:rsidRDefault="00B43A26" w:rsidP="00B43A26">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Ținem să menționăm că</w:t>
      </w:r>
      <w:r w:rsidR="001A0F9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la moment, </w:t>
      </w:r>
      <w:r w:rsidR="001A0F94" w:rsidRPr="009E5B39">
        <w:rPr>
          <w:rFonts w:asciiTheme="majorHAnsi" w:hAnsiTheme="majorHAnsi" w:cstheme="majorHAnsi"/>
          <w:sz w:val="24"/>
          <w:szCs w:val="24"/>
          <w:lang w:val="ro-MD"/>
        </w:rPr>
        <w:t xml:space="preserve">ca </w:t>
      </w:r>
      <w:r w:rsidRPr="009E5B39">
        <w:rPr>
          <w:rFonts w:asciiTheme="majorHAnsi" w:hAnsiTheme="majorHAnsi" w:cstheme="majorHAnsi"/>
          <w:sz w:val="24"/>
          <w:szCs w:val="24"/>
          <w:lang w:val="ro-MD"/>
        </w:rPr>
        <w:t xml:space="preserve">urmare a executării studiului de fezabilitate în vederea stabilirii oportunităților de inițiere/desfășurare a unui parteneriat public-privat în municipiul Chișinău privind reabilitarea pasajului subteran pietonal din intersecția str. Ismail – bd. Ștefan cel Mare și Sfânt, Primăria mun. Chișinău intenționează </w:t>
      </w:r>
      <w:r w:rsidR="00F22DE9" w:rsidRPr="009E5B39">
        <w:rPr>
          <w:rFonts w:asciiTheme="majorHAnsi" w:hAnsiTheme="majorHAnsi" w:cstheme="majorHAnsi"/>
          <w:sz w:val="24"/>
          <w:szCs w:val="24"/>
          <w:lang w:val="ro-MD"/>
        </w:rPr>
        <w:t xml:space="preserve">să </w:t>
      </w:r>
      <w:r w:rsidRPr="009E5B39">
        <w:rPr>
          <w:rFonts w:asciiTheme="majorHAnsi" w:hAnsiTheme="majorHAnsi" w:cstheme="majorHAnsi"/>
          <w:sz w:val="24"/>
          <w:szCs w:val="24"/>
          <w:lang w:val="ro-MD"/>
        </w:rPr>
        <w:t>iniție</w:t>
      </w:r>
      <w:r w:rsidR="00F22DE9" w:rsidRPr="009E5B39">
        <w:rPr>
          <w:rFonts w:asciiTheme="majorHAnsi" w:hAnsiTheme="majorHAnsi" w:cstheme="majorHAnsi"/>
          <w:sz w:val="24"/>
          <w:szCs w:val="24"/>
          <w:lang w:val="ro-MD"/>
        </w:rPr>
        <w:t>ze</w:t>
      </w:r>
      <w:r w:rsidRPr="009E5B39">
        <w:rPr>
          <w:rFonts w:asciiTheme="majorHAnsi" w:hAnsiTheme="majorHAnsi" w:cstheme="majorHAnsi"/>
          <w:sz w:val="24"/>
          <w:szCs w:val="24"/>
          <w:lang w:val="ro-MD"/>
        </w:rPr>
        <w:t xml:space="preserve"> select</w:t>
      </w:r>
      <w:r w:rsidR="00F22DE9" w:rsidRPr="009E5B39">
        <w:rPr>
          <w:rFonts w:asciiTheme="majorHAnsi" w:hAnsiTheme="majorHAnsi" w:cstheme="majorHAnsi"/>
          <w:sz w:val="24"/>
          <w:szCs w:val="24"/>
          <w:lang w:val="ro-MD"/>
        </w:rPr>
        <w:t>area</w:t>
      </w:r>
      <w:r w:rsidRPr="009E5B39">
        <w:rPr>
          <w:rFonts w:asciiTheme="majorHAnsi" w:hAnsiTheme="majorHAnsi" w:cstheme="majorHAnsi"/>
          <w:sz w:val="24"/>
          <w:szCs w:val="24"/>
          <w:lang w:val="ro-MD"/>
        </w:rPr>
        <w:t xml:space="preserve"> partenerului privat pentru obiectivul „Reabilitarea pasajului subteran de pietoni de la intersecția bd. Ștefan cel Mare </w:t>
      </w:r>
      <w:r w:rsidR="00F22DE9" w:rsidRPr="009E5B39">
        <w:rPr>
          <w:rFonts w:asciiTheme="majorHAnsi" w:hAnsiTheme="majorHAnsi" w:cstheme="majorHAnsi"/>
          <w:sz w:val="24"/>
          <w:szCs w:val="24"/>
          <w:lang w:val="ro-MD"/>
        </w:rPr>
        <w:t xml:space="preserve">și Sfânt </w:t>
      </w:r>
      <w:r w:rsidRPr="009E5B39">
        <w:rPr>
          <w:rFonts w:asciiTheme="majorHAnsi" w:hAnsiTheme="majorHAnsi" w:cstheme="majorHAnsi"/>
          <w:sz w:val="24"/>
          <w:szCs w:val="24"/>
          <w:lang w:val="ro-MD"/>
        </w:rPr>
        <w:t xml:space="preserve">– str. Ismail din contul concesionării spațiului subteran și a infrastructurii tehnico-edilitare al pasajului subteran de pietoni” </w:t>
      </w:r>
      <w:r w:rsidRPr="009E5B39">
        <w:rPr>
          <w:rFonts w:asciiTheme="majorHAnsi" w:hAnsiTheme="majorHAnsi" w:cstheme="majorHAnsi"/>
          <w:b/>
          <w:sz w:val="24"/>
          <w:szCs w:val="24"/>
          <w:lang w:val="ro-MD"/>
        </w:rPr>
        <w:t xml:space="preserve">pe 35 </w:t>
      </w:r>
      <w:r w:rsidR="00F22DE9" w:rsidRPr="009E5B39">
        <w:rPr>
          <w:rFonts w:asciiTheme="majorHAnsi" w:hAnsiTheme="majorHAnsi" w:cstheme="majorHAnsi"/>
          <w:b/>
          <w:sz w:val="24"/>
          <w:szCs w:val="24"/>
          <w:lang w:val="ro-MD"/>
        </w:rPr>
        <w:t xml:space="preserve">de </w:t>
      </w:r>
      <w:r w:rsidRPr="009E5B39">
        <w:rPr>
          <w:rFonts w:asciiTheme="majorHAnsi" w:hAnsiTheme="majorHAnsi" w:cstheme="majorHAnsi"/>
          <w:b/>
          <w:sz w:val="24"/>
          <w:szCs w:val="24"/>
          <w:lang w:val="ro-MD"/>
        </w:rPr>
        <w:t>ani</w:t>
      </w:r>
      <w:r w:rsidRPr="009E5B39">
        <w:rPr>
          <w:rFonts w:asciiTheme="majorHAnsi" w:hAnsiTheme="majorHAnsi" w:cstheme="majorHAnsi"/>
          <w:sz w:val="24"/>
          <w:szCs w:val="24"/>
          <w:lang w:val="ro-MD"/>
        </w:rPr>
        <w:t xml:space="preserve">, cu investiția din partea partenerului public-privat în acest scop, conform estimărilor studiului de fezabilitate, a circa </w:t>
      </w:r>
      <w:r w:rsidRPr="009E5B39">
        <w:rPr>
          <w:rFonts w:asciiTheme="majorHAnsi" w:hAnsiTheme="majorHAnsi" w:cstheme="majorHAnsi"/>
          <w:b/>
          <w:sz w:val="24"/>
          <w:szCs w:val="24"/>
          <w:lang w:val="ro-MD"/>
        </w:rPr>
        <w:t>24,4 mil. lei (1,2 mil</w:t>
      </w:r>
      <w:r w:rsidR="00F22DE9"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w:t>
      </w:r>
      <w:r w:rsidR="00FB3E2D" w:rsidRPr="009E5B39">
        <w:rPr>
          <w:rFonts w:asciiTheme="majorHAnsi" w:hAnsiTheme="majorHAnsi" w:cstheme="majorHAnsi"/>
          <w:b/>
          <w:sz w:val="24"/>
          <w:szCs w:val="24"/>
          <w:lang w:val="ro-MD"/>
        </w:rPr>
        <w:t>euro</w:t>
      </w:r>
      <w:r w:rsidRPr="009E5B39">
        <w:rPr>
          <w:rFonts w:asciiTheme="majorHAnsi" w:hAnsiTheme="majorHAnsi" w:cstheme="majorHAnsi"/>
          <w:b/>
          <w:sz w:val="24"/>
          <w:szCs w:val="24"/>
          <w:lang w:val="ro-MD"/>
        </w:rPr>
        <w:t>),</w:t>
      </w:r>
      <w:r w:rsidRPr="009E5B39">
        <w:rPr>
          <w:rFonts w:asciiTheme="majorHAnsi" w:hAnsiTheme="majorHAnsi" w:cstheme="majorHAnsi"/>
          <w:sz w:val="24"/>
          <w:szCs w:val="24"/>
          <w:lang w:val="ro-MD"/>
        </w:rPr>
        <w:t xml:space="preserve"> cu perioada de recuperare a investiției – </w:t>
      </w:r>
      <w:r w:rsidRPr="009E5B39">
        <w:rPr>
          <w:rFonts w:asciiTheme="majorHAnsi" w:hAnsiTheme="majorHAnsi" w:cstheme="majorHAnsi"/>
          <w:b/>
          <w:sz w:val="24"/>
          <w:szCs w:val="24"/>
          <w:lang w:val="ro-MD"/>
        </w:rPr>
        <w:t xml:space="preserve">23 </w:t>
      </w:r>
      <w:r w:rsidR="00F22DE9" w:rsidRPr="009E5B39">
        <w:rPr>
          <w:rFonts w:asciiTheme="majorHAnsi" w:hAnsiTheme="majorHAnsi" w:cstheme="majorHAnsi"/>
          <w:b/>
          <w:sz w:val="24"/>
          <w:szCs w:val="24"/>
          <w:lang w:val="ro-MD"/>
        </w:rPr>
        <w:t xml:space="preserve">de </w:t>
      </w:r>
      <w:r w:rsidRPr="009E5B39">
        <w:rPr>
          <w:rFonts w:asciiTheme="majorHAnsi" w:hAnsiTheme="majorHAnsi" w:cstheme="majorHAnsi"/>
          <w:b/>
          <w:sz w:val="24"/>
          <w:szCs w:val="24"/>
          <w:lang w:val="ro-MD"/>
        </w:rPr>
        <w:t>ani</w:t>
      </w:r>
      <w:r w:rsidRPr="009E5B39">
        <w:rPr>
          <w:rFonts w:asciiTheme="majorHAnsi" w:hAnsiTheme="majorHAnsi" w:cstheme="majorHAnsi"/>
          <w:sz w:val="24"/>
          <w:szCs w:val="24"/>
          <w:vertAlign w:val="superscript"/>
          <w:lang w:val="ro-MD"/>
        </w:rPr>
        <w:footnoteReference w:id="163"/>
      </w:r>
      <w:r w:rsidRPr="009E5B39">
        <w:rPr>
          <w:rFonts w:asciiTheme="majorHAnsi" w:hAnsiTheme="majorHAnsi" w:cstheme="majorHAnsi"/>
          <w:sz w:val="24"/>
          <w:szCs w:val="24"/>
          <w:lang w:val="ro-MD"/>
        </w:rPr>
        <w:t xml:space="preserve">. Din investițiile </w:t>
      </w:r>
      <w:r w:rsidR="00F22DE9" w:rsidRPr="009E5B39">
        <w:rPr>
          <w:rFonts w:asciiTheme="majorHAnsi" w:hAnsiTheme="majorHAnsi" w:cstheme="majorHAnsi"/>
          <w:sz w:val="24"/>
          <w:szCs w:val="24"/>
          <w:lang w:val="ro-MD"/>
        </w:rPr>
        <w:t xml:space="preserve">în sumă </w:t>
      </w:r>
      <w:r w:rsidRPr="009E5B39">
        <w:rPr>
          <w:rFonts w:asciiTheme="majorHAnsi" w:hAnsiTheme="majorHAnsi" w:cstheme="majorHAnsi"/>
          <w:sz w:val="24"/>
          <w:szCs w:val="24"/>
          <w:lang w:val="ro-MD"/>
        </w:rPr>
        <w:t>de 24,4 mil. lei nu este indicat cât constituie investiții</w:t>
      </w:r>
      <w:r w:rsidR="00F22DE9" w:rsidRPr="009E5B39">
        <w:rPr>
          <w:rFonts w:asciiTheme="majorHAnsi" w:hAnsiTheme="majorHAnsi" w:cstheme="majorHAnsi"/>
          <w:sz w:val="24"/>
          <w:szCs w:val="24"/>
          <w:lang w:val="ro-MD"/>
        </w:rPr>
        <w:t>le</w:t>
      </w:r>
      <w:r w:rsidRPr="009E5B39">
        <w:rPr>
          <w:rFonts w:asciiTheme="majorHAnsi" w:hAnsiTheme="majorHAnsi" w:cstheme="majorHAnsi"/>
          <w:sz w:val="24"/>
          <w:szCs w:val="24"/>
          <w:lang w:val="ro-MD"/>
        </w:rPr>
        <w:t xml:space="preserve"> în folosul partenerului public și cât în folosul partenerului privat. Mai mult </w:t>
      </w:r>
      <w:r w:rsidR="00F22DE9" w:rsidRPr="009E5B39">
        <w:rPr>
          <w:rFonts w:asciiTheme="majorHAnsi" w:hAnsiTheme="majorHAnsi" w:cstheme="majorHAnsi"/>
          <w:sz w:val="24"/>
          <w:szCs w:val="24"/>
          <w:lang w:val="ro-MD"/>
        </w:rPr>
        <w:t>decât</w:t>
      </w:r>
      <w:r w:rsidRPr="009E5B39">
        <w:rPr>
          <w:rFonts w:asciiTheme="majorHAnsi" w:hAnsiTheme="majorHAnsi" w:cstheme="majorHAnsi"/>
          <w:sz w:val="24"/>
          <w:szCs w:val="24"/>
          <w:lang w:val="ro-MD"/>
        </w:rPr>
        <w:t xml:space="preserve"> atât, veniturile luate în considerare pentru determinarea redevenței și termenului de PPP constituie doar 16 euro per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w:t>
      </w:r>
      <w:r w:rsidR="00F22DE9"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deși chiar în studiu</w:t>
      </w:r>
      <w:r w:rsidR="00F22DE9" w:rsidRPr="009E5B39">
        <w:rPr>
          <w:rFonts w:asciiTheme="majorHAnsi" w:hAnsiTheme="majorHAnsi" w:cstheme="majorHAnsi"/>
          <w:sz w:val="24"/>
          <w:szCs w:val="24"/>
          <w:lang w:val="ro-MD"/>
        </w:rPr>
        <w:t>l</w:t>
      </w:r>
      <w:r w:rsidRPr="009E5B39">
        <w:rPr>
          <w:rFonts w:asciiTheme="majorHAnsi" w:hAnsiTheme="majorHAnsi" w:cstheme="majorHAnsi"/>
          <w:sz w:val="24"/>
          <w:szCs w:val="24"/>
          <w:lang w:val="ro-MD"/>
        </w:rPr>
        <w:t xml:space="preserve"> de fezabilitate  se indică prețuri mai mari</w:t>
      </w:r>
      <w:r w:rsidRPr="009E5B39">
        <w:rPr>
          <w:rFonts w:asciiTheme="majorHAnsi" w:hAnsiTheme="majorHAnsi" w:cstheme="majorHAnsi"/>
          <w:sz w:val="24"/>
          <w:szCs w:val="24"/>
          <w:vertAlign w:val="superscript"/>
          <w:lang w:val="ro-MD"/>
        </w:rPr>
        <w:footnoteReference w:id="164"/>
      </w:r>
      <w:r w:rsidRPr="009E5B39">
        <w:rPr>
          <w:rFonts w:asciiTheme="majorHAnsi" w:hAnsiTheme="majorHAnsi" w:cstheme="majorHAnsi"/>
          <w:sz w:val="24"/>
          <w:szCs w:val="24"/>
          <w:lang w:val="ro-MD"/>
        </w:rPr>
        <w:t>, iar agenții economici achită în medi</w:t>
      </w:r>
      <w:r w:rsidR="00F22DE9"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de 3 ori mai mult pentru locațiunea 1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/lună (Anexa nr.</w:t>
      </w:r>
      <w:r w:rsidR="00A677EE" w:rsidRPr="009E5B39">
        <w:rPr>
          <w:rFonts w:asciiTheme="majorHAnsi" w:hAnsiTheme="majorHAnsi" w:cstheme="majorHAnsi"/>
          <w:sz w:val="24"/>
          <w:szCs w:val="24"/>
          <w:lang w:val="ro-MD"/>
        </w:rPr>
        <w:t xml:space="preserve">12 </w:t>
      </w:r>
      <w:r w:rsidRPr="009E5B39">
        <w:rPr>
          <w:rFonts w:asciiTheme="majorHAnsi" w:hAnsiTheme="majorHAnsi" w:cstheme="majorHAnsi"/>
          <w:sz w:val="24"/>
          <w:szCs w:val="24"/>
          <w:lang w:val="ro-MD"/>
        </w:rPr>
        <w:t>la Raportul de audit).</w:t>
      </w:r>
    </w:p>
    <w:p w14:paraId="6CE2AC0C" w14:textId="7111B7F6" w:rsidR="00B43A26" w:rsidRPr="009E5B39" w:rsidRDefault="00B43A26" w:rsidP="00B43A26">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Ținând cont de prețul pentru 1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încasat de agenții economici care dispun de suprafețe publice în locațiune în incinta PSP de la sublocatari în perioada </w:t>
      </w:r>
      <w:r w:rsidR="003C1DCF" w:rsidRPr="009E5B39">
        <w:rPr>
          <w:rFonts w:asciiTheme="majorHAnsi" w:hAnsiTheme="majorHAnsi" w:cstheme="majorHAnsi"/>
          <w:sz w:val="24"/>
          <w:szCs w:val="24"/>
          <w:lang w:val="ro-MD"/>
        </w:rPr>
        <w:t xml:space="preserve">anilor </w:t>
      </w:r>
      <w:r w:rsidRPr="009E5B39">
        <w:rPr>
          <w:rFonts w:asciiTheme="majorHAnsi" w:hAnsiTheme="majorHAnsi" w:cstheme="majorHAnsi"/>
          <w:sz w:val="24"/>
          <w:szCs w:val="24"/>
          <w:lang w:val="ro-MD"/>
        </w:rPr>
        <w:t>2018-2020, care încep</w:t>
      </w:r>
      <w:r w:rsidR="003C1DCF"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w:t>
      </w:r>
      <w:r w:rsidR="003C1DCF" w:rsidRPr="009E5B39">
        <w:rPr>
          <w:rFonts w:asciiTheme="majorHAnsi" w:hAnsiTheme="majorHAnsi" w:cstheme="majorHAnsi"/>
          <w:sz w:val="24"/>
          <w:szCs w:val="24"/>
          <w:lang w:val="ro-MD"/>
        </w:rPr>
        <w:t>de la</w:t>
      </w:r>
      <w:r w:rsidRPr="009E5B39">
        <w:rPr>
          <w:rFonts w:asciiTheme="majorHAnsi" w:hAnsiTheme="majorHAnsi" w:cstheme="majorHAnsi"/>
          <w:sz w:val="24"/>
          <w:szCs w:val="24"/>
          <w:lang w:val="ro-MD"/>
        </w:rPr>
        <w:t xml:space="preserve">  </w:t>
      </w:r>
      <w:r w:rsidRPr="009E5B39">
        <w:rPr>
          <w:rFonts w:asciiTheme="majorHAnsi" w:hAnsiTheme="majorHAnsi" w:cstheme="majorHAnsi"/>
          <w:b/>
          <w:sz w:val="24"/>
          <w:szCs w:val="24"/>
          <w:lang w:val="ro-MD"/>
        </w:rPr>
        <w:t>10,2 mii lei/an</w:t>
      </w:r>
      <w:r w:rsidRPr="009E5B39">
        <w:rPr>
          <w:rFonts w:asciiTheme="majorHAnsi" w:hAnsiTheme="majorHAnsi" w:cstheme="majorHAnsi"/>
          <w:sz w:val="24"/>
          <w:szCs w:val="24"/>
          <w:lang w:val="ro-MD"/>
        </w:rPr>
        <w:t>, investitorul poate să-și recupereze investiția (de 24,4 mil</w:t>
      </w:r>
      <w:r w:rsidR="003C1DC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în circa 3 ani</w:t>
      </w:r>
      <w:r w:rsidRPr="009E5B39">
        <w:rPr>
          <w:rFonts w:asciiTheme="majorHAnsi" w:hAnsiTheme="majorHAnsi" w:cstheme="majorHAnsi"/>
          <w:bCs/>
          <w:sz w:val="24"/>
          <w:szCs w:val="24"/>
          <w:vertAlign w:val="superscript"/>
          <w:lang w:val="ro-MD"/>
        </w:rPr>
        <w:footnoteReference w:id="165"/>
      </w:r>
      <w:r w:rsidRPr="009E5B39">
        <w:rPr>
          <w:rFonts w:asciiTheme="majorHAnsi" w:hAnsiTheme="majorHAnsi" w:cstheme="majorHAnsi"/>
          <w:sz w:val="24"/>
          <w:szCs w:val="24"/>
          <w:lang w:val="ro-MD"/>
        </w:rPr>
        <w:t xml:space="preserve">. Astfel, bugetul municipiului Chișinău riscă să nu încaseze în următorii 32 </w:t>
      </w:r>
      <w:r w:rsidR="003C1DCF"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 xml:space="preserve">ani venituri din locațiunea patrimoniului public din acest pasaj.                                                                                                 </w:t>
      </w:r>
    </w:p>
    <w:p w14:paraId="4EEF38C0" w14:textId="4FCB4769" w:rsidR="00B43A26" w:rsidRPr="009E5B39" w:rsidRDefault="00B43A26" w:rsidP="00B43A26">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De menționat că</w:t>
      </w:r>
      <w:r w:rsidR="003C1DC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w:t>
      </w:r>
      <w:r w:rsidR="003C1DCF"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 xml:space="preserve">2021, Pretura </w:t>
      </w:r>
      <w:r w:rsidR="003C1DCF" w:rsidRPr="009E5B39">
        <w:rPr>
          <w:rFonts w:asciiTheme="majorHAnsi" w:hAnsiTheme="majorHAnsi" w:cstheme="majorHAnsi"/>
          <w:sz w:val="24"/>
          <w:szCs w:val="24"/>
          <w:lang w:val="ro-MD"/>
        </w:rPr>
        <w:t>sect.</w:t>
      </w:r>
      <w:r w:rsidR="00786798"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Centru a efectuat licitați</w:t>
      </w:r>
      <w:r w:rsidR="003C1DCF"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publică</w:t>
      </w:r>
      <w:r w:rsidRPr="009E5B39">
        <w:rPr>
          <w:rFonts w:asciiTheme="majorHAnsi" w:hAnsiTheme="majorHAnsi" w:cstheme="majorHAnsi"/>
          <w:sz w:val="24"/>
          <w:szCs w:val="24"/>
          <w:vertAlign w:val="superscript"/>
          <w:lang w:val="ro-MD"/>
        </w:rPr>
        <w:footnoteReference w:id="166"/>
      </w:r>
      <w:r w:rsidRPr="009E5B39">
        <w:rPr>
          <w:rFonts w:asciiTheme="majorHAnsi" w:hAnsiTheme="majorHAnsi" w:cstheme="majorHAnsi"/>
          <w:sz w:val="24"/>
          <w:szCs w:val="24"/>
          <w:lang w:val="ro-MD"/>
        </w:rPr>
        <w:t xml:space="preserve"> privind reabilitarea/reparația a 2 pasaje subterane pietonale</w:t>
      </w:r>
      <w:r w:rsidRPr="009E5B39">
        <w:rPr>
          <w:rFonts w:asciiTheme="majorHAnsi" w:hAnsiTheme="majorHAnsi" w:cstheme="majorHAnsi"/>
          <w:sz w:val="24"/>
          <w:szCs w:val="24"/>
          <w:vertAlign w:val="superscript"/>
          <w:lang w:val="ro-MD"/>
        </w:rPr>
        <w:footnoteReference w:id="167"/>
      </w:r>
      <w:r w:rsidRPr="009E5B39">
        <w:rPr>
          <w:rFonts w:asciiTheme="majorHAnsi" w:hAnsiTheme="majorHAnsi" w:cstheme="majorHAnsi"/>
          <w:sz w:val="24"/>
          <w:szCs w:val="24"/>
          <w:lang w:val="ro-MD"/>
        </w:rPr>
        <w:t xml:space="preserve"> valoarea estimată fără TVA – </w:t>
      </w:r>
      <w:r w:rsidRPr="009E5B39">
        <w:rPr>
          <w:rFonts w:asciiTheme="majorHAnsi" w:hAnsiTheme="majorHAnsi" w:cstheme="majorHAnsi"/>
          <w:b/>
          <w:sz w:val="24"/>
          <w:szCs w:val="24"/>
          <w:lang w:val="ro-MD"/>
        </w:rPr>
        <w:t xml:space="preserve">5,9 mil. lei, </w:t>
      </w:r>
      <w:r w:rsidRPr="009E5B39">
        <w:rPr>
          <w:rFonts w:asciiTheme="majorHAnsi" w:hAnsiTheme="majorHAnsi" w:cstheme="majorHAnsi"/>
          <w:sz w:val="24"/>
          <w:szCs w:val="24"/>
          <w:lang w:val="ro-MD"/>
        </w:rPr>
        <w:t>prețul pentru repararea 1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constituind circa </w:t>
      </w:r>
      <w:r w:rsidRPr="009E5B39">
        <w:rPr>
          <w:rFonts w:asciiTheme="majorHAnsi" w:hAnsiTheme="majorHAnsi" w:cstheme="majorHAnsi"/>
          <w:b/>
          <w:sz w:val="24"/>
          <w:szCs w:val="24"/>
          <w:lang w:val="ro-MD"/>
        </w:rPr>
        <w:t>4.695 lei</w:t>
      </w:r>
      <w:r w:rsidRPr="009E5B39">
        <w:rPr>
          <w:rFonts w:asciiTheme="majorHAnsi" w:hAnsiTheme="majorHAnsi" w:cstheme="majorHAnsi"/>
          <w:bCs/>
          <w:sz w:val="24"/>
          <w:szCs w:val="24"/>
          <w:vertAlign w:val="superscript"/>
          <w:lang w:val="ro-MD"/>
        </w:rPr>
        <w:footnoteReference w:id="168"/>
      </w:r>
      <w:r w:rsidRPr="009E5B39">
        <w:rPr>
          <w:rFonts w:asciiTheme="majorHAnsi" w:hAnsiTheme="majorHAnsi" w:cstheme="majorHAnsi"/>
          <w:bCs/>
          <w:sz w:val="24"/>
          <w:szCs w:val="24"/>
          <w:lang w:val="ro-MD"/>
        </w:rPr>
        <w:t>.</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Astfel, costul reparațiilor (similare cu cele efectuate în alte pasaje subterane) valoarea investiției necesare pentru reabilitarea PSP</w:t>
      </w:r>
      <w:r w:rsidRPr="009E5B39">
        <w:rPr>
          <w:rFonts w:asciiTheme="majorHAnsi" w:hAnsiTheme="majorHAnsi" w:cstheme="majorHAnsi"/>
          <w:sz w:val="24"/>
          <w:szCs w:val="24"/>
          <w:vertAlign w:val="superscript"/>
          <w:lang w:val="ro-MD"/>
        </w:rPr>
        <w:footnoteReference w:id="169"/>
      </w:r>
      <w:r w:rsidRPr="009E5B39">
        <w:rPr>
          <w:rFonts w:asciiTheme="majorHAnsi" w:hAnsiTheme="majorHAnsi" w:cstheme="majorHAnsi"/>
          <w:sz w:val="24"/>
          <w:szCs w:val="24"/>
          <w:lang w:val="ro-MD"/>
        </w:rPr>
        <w:t xml:space="preserve"> ar constitui începând cu </w:t>
      </w:r>
      <w:r w:rsidRPr="009E5B39">
        <w:rPr>
          <w:rFonts w:asciiTheme="majorHAnsi" w:hAnsiTheme="majorHAnsi" w:cstheme="majorHAnsi"/>
          <w:b/>
          <w:sz w:val="24"/>
          <w:szCs w:val="24"/>
          <w:lang w:val="ro-MD"/>
        </w:rPr>
        <w:t>15,5 mil</w:t>
      </w:r>
      <w:r w:rsidR="003C1DCF"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b/>
          <w:sz w:val="24"/>
          <w:szCs w:val="24"/>
          <w:vertAlign w:val="superscript"/>
          <w:lang w:val="ro-MD"/>
        </w:rPr>
        <w:footnoteReference w:id="170"/>
      </w:r>
      <w:r w:rsidRPr="009E5B39">
        <w:rPr>
          <w:rFonts w:asciiTheme="majorHAnsi" w:hAnsiTheme="majorHAnsi" w:cstheme="majorHAnsi"/>
          <w:b/>
          <w:sz w:val="24"/>
          <w:szCs w:val="24"/>
          <w:lang w:val="ro-MD"/>
        </w:rPr>
        <w:t>.</w:t>
      </w:r>
      <w:r w:rsidRPr="009E5B39">
        <w:rPr>
          <w:rFonts w:asciiTheme="majorHAnsi" w:hAnsiTheme="majorHAnsi" w:cstheme="majorHAnsi"/>
          <w:sz w:val="24"/>
          <w:szCs w:val="24"/>
          <w:lang w:val="ro-MD"/>
        </w:rPr>
        <w:t xml:space="preserve"> </w:t>
      </w:r>
    </w:p>
    <w:p w14:paraId="428210E3" w14:textId="2D927091" w:rsidR="00332FBE" w:rsidRPr="009E5B39" w:rsidRDefault="00332FBE" w:rsidP="003C0D7E">
      <w:pPr>
        <w:pStyle w:val="ListParagraph"/>
        <w:numPr>
          <w:ilvl w:val="0"/>
          <w:numId w:val="92"/>
        </w:numPr>
        <w:spacing w:after="0" w:line="276" w:lineRule="auto"/>
        <w:ind w:left="0" w:firstLine="567"/>
        <w:jc w:val="both"/>
        <w:rPr>
          <w:rFonts w:asciiTheme="majorHAnsi" w:hAnsiTheme="majorHAnsi" w:cstheme="majorHAnsi"/>
          <w:b/>
          <w:sz w:val="24"/>
          <w:szCs w:val="24"/>
          <w:lang w:val="ro-MD"/>
        </w:rPr>
      </w:pPr>
      <w:r w:rsidRPr="009E5B39">
        <w:rPr>
          <w:rFonts w:asciiTheme="majorHAnsi" w:hAnsiTheme="majorHAnsi" w:cstheme="majorHAnsi"/>
          <w:b/>
          <w:i/>
          <w:sz w:val="24"/>
          <w:szCs w:val="24"/>
          <w:lang w:val="ro-MD"/>
        </w:rPr>
        <w:t xml:space="preserve">Deși Contractul de locațiune cu SRL </w:t>
      </w:r>
      <w:r w:rsidR="002143A2"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Ianus</w:t>
      </w:r>
      <w:r w:rsidR="002143A2"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 xml:space="preserve"> a expirat încă </w:t>
      </w:r>
      <w:r w:rsidR="00F535F3" w:rsidRPr="009E5B39">
        <w:rPr>
          <w:rFonts w:asciiTheme="majorHAnsi" w:hAnsiTheme="majorHAnsi" w:cstheme="majorHAnsi"/>
          <w:b/>
          <w:i/>
          <w:sz w:val="24"/>
          <w:szCs w:val="24"/>
          <w:lang w:val="ro-MD"/>
        </w:rPr>
        <w:t>în</w:t>
      </w:r>
      <w:r w:rsidRPr="009E5B39">
        <w:rPr>
          <w:rFonts w:asciiTheme="majorHAnsi" w:hAnsiTheme="majorHAnsi" w:cstheme="majorHAnsi"/>
          <w:b/>
          <w:i/>
          <w:sz w:val="24"/>
          <w:szCs w:val="24"/>
          <w:lang w:val="ro-MD"/>
        </w:rPr>
        <w:t xml:space="preserve"> </w:t>
      </w:r>
      <w:r w:rsidR="002143A2" w:rsidRPr="009E5B39">
        <w:rPr>
          <w:rFonts w:asciiTheme="majorHAnsi" w:hAnsiTheme="majorHAnsi" w:cstheme="majorHAnsi"/>
          <w:b/>
          <w:i/>
          <w:sz w:val="24"/>
          <w:szCs w:val="24"/>
          <w:lang w:val="ro-MD"/>
        </w:rPr>
        <w:t xml:space="preserve">anul </w:t>
      </w:r>
      <w:r w:rsidRPr="009E5B39">
        <w:rPr>
          <w:rFonts w:asciiTheme="majorHAnsi" w:hAnsiTheme="majorHAnsi" w:cstheme="majorHAnsi"/>
          <w:b/>
          <w:i/>
          <w:sz w:val="24"/>
          <w:szCs w:val="24"/>
          <w:lang w:val="ro-MD"/>
        </w:rPr>
        <w:t>2006, DGTPCC nu a întreprins măsuri credibile de prelua</w:t>
      </w:r>
      <w:r w:rsidR="00786798" w:rsidRPr="009E5B39">
        <w:rPr>
          <w:rFonts w:asciiTheme="majorHAnsi" w:hAnsiTheme="majorHAnsi" w:cstheme="majorHAnsi"/>
          <w:b/>
          <w:i/>
          <w:sz w:val="24"/>
          <w:szCs w:val="24"/>
          <w:lang w:val="ro-MD"/>
        </w:rPr>
        <w:t>re a</w:t>
      </w:r>
      <w:r w:rsidRPr="009E5B39">
        <w:rPr>
          <w:rFonts w:asciiTheme="majorHAnsi" w:hAnsiTheme="majorHAnsi" w:cstheme="majorHAnsi"/>
          <w:b/>
          <w:i/>
          <w:sz w:val="24"/>
          <w:szCs w:val="24"/>
          <w:lang w:val="ro-MD"/>
        </w:rPr>
        <w:t xml:space="preserve"> suprafețel</w:t>
      </w:r>
      <w:r w:rsidR="00786798" w:rsidRPr="009E5B39">
        <w:rPr>
          <w:rFonts w:asciiTheme="majorHAnsi" w:hAnsiTheme="majorHAnsi" w:cstheme="majorHAnsi"/>
          <w:b/>
          <w:i/>
          <w:sz w:val="24"/>
          <w:szCs w:val="24"/>
          <w:lang w:val="ro-MD"/>
        </w:rPr>
        <w:t>or</w:t>
      </w:r>
      <w:r w:rsidRPr="009E5B39">
        <w:rPr>
          <w:rFonts w:asciiTheme="majorHAnsi" w:hAnsiTheme="majorHAnsi" w:cstheme="majorHAnsi"/>
          <w:b/>
          <w:i/>
          <w:sz w:val="24"/>
          <w:szCs w:val="24"/>
          <w:lang w:val="ro-MD"/>
        </w:rPr>
        <w:t xml:space="preserve"> comerciale transmise în locațiune acest</w:t>
      </w:r>
      <w:r w:rsidR="00786798" w:rsidRPr="009E5B39">
        <w:rPr>
          <w:rFonts w:asciiTheme="majorHAnsi" w:hAnsiTheme="majorHAnsi" w:cstheme="majorHAnsi"/>
          <w:b/>
          <w:i/>
          <w:sz w:val="24"/>
          <w:szCs w:val="24"/>
          <w:lang w:val="ro-MD"/>
        </w:rPr>
        <w:t>e</w:t>
      </w:r>
      <w:r w:rsidRPr="009E5B39">
        <w:rPr>
          <w:rFonts w:asciiTheme="majorHAnsi" w:hAnsiTheme="majorHAnsi" w:cstheme="majorHAnsi"/>
          <w:b/>
          <w:i/>
          <w:sz w:val="24"/>
          <w:szCs w:val="24"/>
          <w:lang w:val="ro-MD"/>
        </w:rPr>
        <w:t>ia</w:t>
      </w:r>
      <w:r w:rsidRPr="009E5B39">
        <w:rPr>
          <w:vertAlign w:val="superscript"/>
          <w:lang w:val="ro-MD"/>
        </w:rPr>
        <w:footnoteReference w:id="171"/>
      </w:r>
      <w:r w:rsidRPr="009E5B39">
        <w:rPr>
          <w:rFonts w:asciiTheme="majorHAnsi" w:hAnsiTheme="majorHAnsi" w:cstheme="majorHAnsi"/>
          <w:b/>
          <w:i/>
          <w:sz w:val="24"/>
          <w:szCs w:val="24"/>
          <w:lang w:val="ro-MD"/>
        </w:rPr>
        <w:t>.</w:t>
      </w:r>
      <w:r w:rsidRPr="009E5B39">
        <w:rPr>
          <w:rFonts w:asciiTheme="majorHAnsi" w:hAnsiTheme="majorHAnsi" w:cstheme="majorHAnsi"/>
          <w:sz w:val="24"/>
          <w:szCs w:val="24"/>
          <w:lang w:val="ro-MD"/>
        </w:rPr>
        <w:t xml:space="preserve"> DGECT a recepționat NIAC depus</w:t>
      </w:r>
      <w:r w:rsidR="00786798"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de SRL </w:t>
      </w:r>
      <w:r w:rsidR="0078679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Ianus</w:t>
      </w:r>
      <w:r w:rsidR="0078679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la data de 07.11.2019, pentru suprafața de 860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w:t>
      </w:r>
      <w:r w:rsidR="002143A2" w:rsidRPr="009E5B39">
        <w:rPr>
          <w:rFonts w:asciiTheme="majorHAnsi" w:hAnsiTheme="majorHAnsi" w:cstheme="majorHAnsi"/>
          <w:sz w:val="24"/>
          <w:szCs w:val="24"/>
          <w:lang w:val="ro-MD"/>
        </w:rPr>
        <w:t>Cu toate</w:t>
      </w:r>
      <w:r w:rsidRPr="009E5B39">
        <w:rPr>
          <w:rFonts w:asciiTheme="majorHAnsi" w:hAnsiTheme="majorHAnsi" w:cstheme="majorHAnsi"/>
          <w:sz w:val="24"/>
          <w:szCs w:val="24"/>
          <w:lang w:val="ro-MD"/>
        </w:rPr>
        <w:t xml:space="preserve"> că agentul economic a indicat în NIAC că la ace</w:t>
      </w:r>
      <w:r w:rsidR="00F535F3" w:rsidRPr="009E5B39">
        <w:rPr>
          <w:rFonts w:asciiTheme="majorHAnsi" w:hAnsiTheme="majorHAnsi" w:cstheme="majorHAnsi"/>
          <w:sz w:val="24"/>
          <w:szCs w:val="24"/>
          <w:lang w:val="ro-MD"/>
        </w:rPr>
        <w:t>stea</w:t>
      </w:r>
      <w:r w:rsidRPr="009E5B39">
        <w:rPr>
          <w:rFonts w:asciiTheme="majorHAnsi" w:hAnsiTheme="majorHAnsi" w:cstheme="majorHAnsi"/>
          <w:sz w:val="24"/>
          <w:szCs w:val="24"/>
          <w:lang w:val="ro-MD"/>
        </w:rPr>
        <w:t xml:space="preserve"> este anexat actul care confirmă dreptul de proprietate sau </w:t>
      </w:r>
      <w:r w:rsidR="00F535F3"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folosință a terenului pe care este amplasată unitatea comercială, DGECT nu a verificat anexarea acest</w:t>
      </w:r>
      <w:r w:rsidR="003C0D7E" w:rsidRPr="009E5B39">
        <w:rPr>
          <w:rFonts w:asciiTheme="majorHAnsi" w:hAnsiTheme="majorHAnsi" w:cstheme="majorHAnsi"/>
          <w:sz w:val="24"/>
          <w:szCs w:val="24"/>
          <w:lang w:val="ro-MD"/>
        </w:rPr>
        <w:t>uia.</w:t>
      </w:r>
      <w:r w:rsidR="001B2729" w:rsidRPr="009E5B39">
        <w:rPr>
          <w:rFonts w:asciiTheme="majorHAnsi" w:hAnsiTheme="majorHAnsi" w:cstheme="majorHAnsi"/>
          <w:sz w:val="24"/>
          <w:szCs w:val="24"/>
          <w:lang w:val="ro-MD"/>
        </w:rPr>
        <w:t xml:space="preserve"> </w:t>
      </w:r>
      <w:r w:rsidR="003C0D7E" w:rsidRPr="009E5B39">
        <w:rPr>
          <w:rFonts w:asciiTheme="majorHAnsi" w:hAnsiTheme="majorHAnsi" w:cstheme="majorHAnsi"/>
          <w:sz w:val="24"/>
          <w:szCs w:val="24"/>
          <w:lang w:val="ro-MD"/>
        </w:rPr>
        <w:t>L</w:t>
      </w:r>
      <w:r w:rsidRPr="009E5B39">
        <w:rPr>
          <w:rFonts w:asciiTheme="majorHAnsi" w:hAnsiTheme="majorHAnsi" w:cstheme="majorHAnsi"/>
          <w:sz w:val="24"/>
          <w:szCs w:val="24"/>
          <w:lang w:val="ro-MD"/>
        </w:rPr>
        <w:t>a NIAC fiind anexate 2 contracte de locațiune</w:t>
      </w:r>
      <w:r w:rsidRPr="009E5B39">
        <w:rPr>
          <w:vertAlign w:val="superscript"/>
          <w:lang w:val="ro-MD"/>
        </w:rPr>
        <w:footnoteReference w:id="172"/>
      </w:r>
      <w:r w:rsidRPr="009E5B39">
        <w:rPr>
          <w:rFonts w:asciiTheme="majorHAnsi" w:hAnsiTheme="majorHAnsi" w:cstheme="majorHAnsi"/>
          <w:sz w:val="24"/>
          <w:szCs w:val="24"/>
          <w:lang w:val="ro-MD"/>
        </w:rPr>
        <w:t>, prin care suprafața totală a spațiilor luate în locațiune constituie 874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Termenul contractelor a expirat încă </w:t>
      </w:r>
      <w:r w:rsidR="001B2729" w:rsidRPr="009E5B39">
        <w:rPr>
          <w:rFonts w:asciiTheme="majorHAnsi" w:hAnsiTheme="majorHAnsi" w:cstheme="majorHAnsi"/>
          <w:sz w:val="24"/>
          <w:szCs w:val="24"/>
          <w:lang w:val="ro-MD"/>
        </w:rPr>
        <w:t>î</w:t>
      </w:r>
      <w:r w:rsidRPr="009E5B39">
        <w:rPr>
          <w:rFonts w:asciiTheme="majorHAnsi" w:hAnsiTheme="majorHAnsi" w:cstheme="majorHAnsi"/>
          <w:sz w:val="24"/>
          <w:szCs w:val="24"/>
          <w:lang w:val="ro-MD"/>
        </w:rPr>
        <w:t>n anul 2006</w:t>
      </w:r>
      <w:r w:rsidRPr="009E5B39">
        <w:rPr>
          <w:rFonts w:asciiTheme="majorHAnsi" w:hAnsiTheme="majorHAnsi" w:cstheme="majorHAnsi"/>
          <w:sz w:val="24"/>
          <w:szCs w:val="24"/>
          <w:vertAlign w:val="superscript"/>
          <w:lang w:val="ro-MD"/>
        </w:rPr>
        <w:footnoteReference w:id="173"/>
      </w:r>
      <w:r w:rsidRPr="009E5B39">
        <w:rPr>
          <w:rFonts w:asciiTheme="majorHAnsi" w:hAnsiTheme="majorHAnsi" w:cstheme="majorHAnsi"/>
          <w:sz w:val="24"/>
          <w:szCs w:val="24"/>
          <w:lang w:val="ro-MD"/>
        </w:rPr>
        <w:t>, ceea ce denotă că agentul economic, la momentul depunerii NIAC</w:t>
      </w:r>
      <w:r w:rsidR="001B272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nu mai putea confirma dreptul de folosință asupra încăperilor, după cum prevede art.14 alin.(5) din Legea nr.231/2010, pentru care a depus NIAC, ceea ce, potrivit prevederilor art.16 alin.(3) lit. b) din Legea nr.231/2010, este un temei de a refuza recepționarea NIAC depuse. DGECT</w:t>
      </w:r>
      <w:r w:rsidR="001B272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deși dispune de </w:t>
      </w:r>
      <w:r w:rsidRPr="009E5B39">
        <w:rPr>
          <w:rFonts w:asciiTheme="majorHAnsi" w:eastAsia="Calibri" w:hAnsiTheme="majorHAnsi" w:cstheme="majorHAnsi"/>
          <w:i/>
          <w:sz w:val="24"/>
          <w:szCs w:val="24"/>
          <w:lang w:val="ro-MD"/>
        </w:rPr>
        <w:t>„Registrul de evidență a contractelor de locațiune/comodat a bunurilor proprietate publică a mun. Chișinău”</w:t>
      </w:r>
      <w:r w:rsidRPr="009E5B39">
        <w:rPr>
          <w:rFonts w:asciiTheme="majorHAnsi" w:eastAsia="Calibri" w:hAnsiTheme="majorHAnsi" w:cstheme="majorHAnsi"/>
          <w:sz w:val="24"/>
          <w:szCs w:val="24"/>
          <w:lang w:val="ro-MD"/>
        </w:rPr>
        <w:t xml:space="preserve">, nu include </w:t>
      </w:r>
      <w:r w:rsidR="001B2729" w:rsidRPr="009E5B39">
        <w:rPr>
          <w:rFonts w:asciiTheme="majorHAnsi" w:eastAsia="Calibri" w:hAnsiTheme="majorHAnsi" w:cstheme="majorHAnsi"/>
          <w:sz w:val="24"/>
          <w:szCs w:val="24"/>
          <w:lang w:val="ro-MD"/>
        </w:rPr>
        <w:t xml:space="preserve">în acesta </w:t>
      </w:r>
      <w:r w:rsidRPr="009E5B39">
        <w:rPr>
          <w:rFonts w:asciiTheme="majorHAnsi" w:eastAsia="Calibri" w:hAnsiTheme="majorHAnsi" w:cstheme="majorHAnsi"/>
          <w:sz w:val="24"/>
          <w:szCs w:val="24"/>
          <w:lang w:val="ro-MD"/>
        </w:rPr>
        <w:t>informațiile despre toate contractele de locațiune/comodat ale UAT</w:t>
      </w:r>
      <w:r w:rsidRPr="009E5B39">
        <w:rPr>
          <w:rFonts w:asciiTheme="majorHAnsi" w:eastAsia="Calibri" w:hAnsiTheme="majorHAnsi" w:cstheme="majorHAnsi"/>
          <w:sz w:val="24"/>
          <w:szCs w:val="24"/>
          <w:vertAlign w:val="superscript"/>
          <w:lang w:val="ro-MD"/>
        </w:rPr>
        <w:footnoteReference w:id="174"/>
      </w:r>
      <w:r w:rsidRPr="009E5B39">
        <w:rPr>
          <w:rFonts w:asciiTheme="majorHAnsi" w:eastAsia="Calibri" w:hAnsiTheme="majorHAnsi" w:cstheme="majorHAnsi"/>
          <w:sz w:val="24"/>
          <w:szCs w:val="24"/>
          <w:lang w:val="ro-MD"/>
        </w:rPr>
        <w:t xml:space="preserve">, fiind unul fragmentat/incomplet, nu oferă posibilitatea de a verifica corectitudinea datelor prezentate sau neprezentate de către agentul economic la depunerea NIAC, după cum prevede </w:t>
      </w:r>
      <w:r w:rsidRPr="009E5B39">
        <w:rPr>
          <w:rFonts w:asciiTheme="majorHAnsi" w:hAnsiTheme="majorHAnsi" w:cstheme="majorHAnsi"/>
          <w:sz w:val="24"/>
          <w:szCs w:val="24"/>
          <w:lang w:val="ro-MD"/>
        </w:rPr>
        <w:t xml:space="preserve">art.14 alin.(10) din Legea nr.231/2010 (începând cu </w:t>
      </w:r>
      <w:r w:rsidR="001B2729"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2021).</w:t>
      </w:r>
    </w:p>
    <w:p w14:paraId="12CEA5FD" w14:textId="65F5274A" w:rsidR="00332FBE" w:rsidRPr="009E5B39" w:rsidRDefault="00332FBE" w:rsidP="00332FBE">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Curtea de Conturi a menționat/atenționat în repetate rânduri în rapoartele sale anterioare</w:t>
      </w:r>
      <w:r w:rsidRPr="009E5B39">
        <w:rPr>
          <w:rFonts w:asciiTheme="majorHAnsi" w:hAnsiTheme="majorHAnsi" w:cstheme="majorHAnsi"/>
          <w:sz w:val="24"/>
          <w:szCs w:val="24"/>
          <w:vertAlign w:val="superscript"/>
          <w:lang w:val="ro-MD"/>
        </w:rPr>
        <w:footnoteReference w:id="175"/>
      </w:r>
      <w:r w:rsidRPr="009E5B39">
        <w:rPr>
          <w:rFonts w:asciiTheme="majorHAnsi" w:hAnsiTheme="majorHAnsi" w:cstheme="majorHAnsi"/>
          <w:sz w:val="24"/>
          <w:szCs w:val="24"/>
          <w:lang w:val="ro-MD"/>
        </w:rPr>
        <w:t xml:space="preserve"> faptul că SRL </w:t>
      </w:r>
      <w:r w:rsidR="0005662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Ianus</w:t>
      </w:r>
      <w:r w:rsidR="0005662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care avea în locațiune spații cu suprafața totală de 849,7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w:t>
      </w:r>
      <w:r w:rsidR="00BC292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în pasajul subteran de pietoni din str. Ismail </w:t>
      </w:r>
      <w:r w:rsidR="00A677E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bd. Ștefan cel Mare</w:t>
      </w:r>
      <w:r w:rsidR="00BC292E" w:rsidRPr="009E5B39">
        <w:rPr>
          <w:rFonts w:asciiTheme="majorHAnsi" w:hAnsiTheme="majorHAnsi" w:cstheme="majorHAnsi"/>
          <w:sz w:val="24"/>
          <w:szCs w:val="24"/>
          <w:lang w:val="ro-MD"/>
        </w:rPr>
        <w:t xml:space="preserve"> și Sfânt</w:t>
      </w:r>
      <w:r w:rsidRPr="009E5B39">
        <w:rPr>
          <w:rFonts w:asciiTheme="majorHAnsi" w:hAnsiTheme="majorHAnsi" w:cstheme="majorHAnsi"/>
          <w:sz w:val="24"/>
          <w:szCs w:val="24"/>
          <w:lang w:val="ro-MD"/>
        </w:rPr>
        <w:t xml:space="preserve">, nu achită plata pentru chirie pe parcursul ultimilor 6 ani (începând cu 04.10.2006 până la data raportării în </w:t>
      </w:r>
      <w:r w:rsidR="00BC292E"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 xml:space="preserve">2012). Aflându-se </w:t>
      </w:r>
      <w:r w:rsidR="00BC292E" w:rsidRPr="009E5B39">
        <w:rPr>
          <w:rFonts w:asciiTheme="majorHAnsi" w:hAnsiTheme="majorHAnsi" w:cstheme="majorHAnsi"/>
          <w:sz w:val="24"/>
          <w:szCs w:val="24"/>
          <w:lang w:val="ro-MD"/>
        </w:rPr>
        <w:t xml:space="preserve">la acel moment </w:t>
      </w:r>
      <w:r w:rsidRPr="009E5B39">
        <w:rPr>
          <w:rFonts w:asciiTheme="majorHAnsi" w:hAnsiTheme="majorHAnsi" w:cstheme="majorHAnsi"/>
          <w:sz w:val="24"/>
          <w:szCs w:val="24"/>
          <w:lang w:val="ro-MD"/>
        </w:rPr>
        <w:t xml:space="preserve">în litigiu de judecată cu DGTPCC, </w:t>
      </w:r>
      <w:r w:rsidR="00BC292E" w:rsidRPr="009E5B39">
        <w:rPr>
          <w:rFonts w:asciiTheme="majorHAnsi" w:hAnsiTheme="majorHAnsi" w:cstheme="majorHAnsi"/>
          <w:sz w:val="24"/>
          <w:szCs w:val="24"/>
          <w:lang w:val="ro-MD"/>
        </w:rPr>
        <w:t xml:space="preserve">Societatea </w:t>
      </w:r>
      <w:r w:rsidRPr="009E5B39">
        <w:rPr>
          <w:rFonts w:asciiTheme="majorHAnsi" w:hAnsiTheme="majorHAnsi" w:cstheme="majorHAnsi"/>
          <w:sz w:val="24"/>
          <w:szCs w:val="24"/>
          <w:lang w:val="ro-MD"/>
        </w:rPr>
        <w:t xml:space="preserve">practica acordarea </w:t>
      </w:r>
      <w:r w:rsidR="00BC292E" w:rsidRPr="009E5B39">
        <w:rPr>
          <w:rFonts w:asciiTheme="majorHAnsi" w:hAnsiTheme="majorHAnsi" w:cstheme="majorHAnsi"/>
          <w:sz w:val="24"/>
          <w:szCs w:val="24"/>
          <w:lang w:val="ro-MD"/>
        </w:rPr>
        <w:t xml:space="preserve">către </w:t>
      </w:r>
      <w:r w:rsidRPr="009E5B39">
        <w:rPr>
          <w:rFonts w:asciiTheme="majorHAnsi" w:hAnsiTheme="majorHAnsi" w:cstheme="majorHAnsi"/>
          <w:sz w:val="24"/>
          <w:szCs w:val="24"/>
          <w:lang w:val="ro-MD"/>
        </w:rPr>
        <w:t>al</w:t>
      </w:r>
      <w:r w:rsidR="00BC292E" w:rsidRPr="009E5B39">
        <w:rPr>
          <w:rFonts w:asciiTheme="majorHAnsi" w:hAnsiTheme="majorHAnsi" w:cstheme="majorHAnsi"/>
          <w:sz w:val="24"/>
          <w:szCs w:val="24"/>
          <w:lang w:val="ro-MD"/>
        </w:rPr>
        <w:t>ți</w:t>
      </w:r>
      <w:r w:rsidRPr="009E5B39">
        <w:rPr>
          <w:rFonts w:asciiTheme="majorHAnsi" w:hAnsiTheme="majorHAnsi" w:cstheme="majorHAnsi"/>
          <w:sz w:val="24"/>
          <w:szCs w:val="24"/>
          <w:lang w:val="ro-MD"/>
        </w:rPr>
        <w:t xml:space="preserve"> agenți economici a spațiului public luat în locațiune pentru desfășurarea activităților economice la tarife mai mari decât cele pe care urma să le plătească pentru locațiune, însă până la momentul desfășurării misiunii de audit cele constatate nu au fost remediate. Astfel, la situația din 31.12.2020</w:t>
      </w:r>
      <w:r w:rsidR="0042403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ace</w:t>
      </w:r>
      <w:r w:rsidR="0042403C"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sta înregistra creanțe pentru locațiunea bunurilor proprietate publică, potrivit datelor reflectate în evidența contabilă a DGTPCC, în sumă de </w:t>
      </w:r>
      <w:r w:rsidRPr="009E5B39">
        <w:rPr>
          <w:rFonts w:asciiTheme="majorHAnsi" w:hAnsiTheme="majorHAnsi" w:cstheme="majorHAnsi"/>
          <w:b/>
          <w:sz w:val="24"/>
          <w:szCs w:val="24"/>
          <w:lang w:val="ro-MD"/>
        </w:rPr>
        <w:t>7,94 mil</w:t>
      </w:r>
      <w:r w:rsidR="0005662D"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din care </w:t>
      </w:r>
      <w:r w:rsidRPr="009E5B39">
        <w:rPr>
          <w:rFonts w:asciiTheme="majorHAnsi" w:hAnsiTheme="majorHAnsi" w:cstheme="majorHAnsi"/>
          <w:b/>
          <w:sz w:val="24"/>
          <w:szCs w:val="24"/>
          <w:lang w:val="ro-MD"/>
        </w:rPr>
        <w:t>7,85 mil</w:t>
      </w:r>
      <w:r w:rsidR="0005662D"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w:t>
      </w:r>
      <w:r w:rsidR="0042403C"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creanțe cu termen</w:t>
      </w:r>
      <w:r w:rsidR="0042403C" w:rsidRPr="009E5B39">
        <w:rPr>
          <w:rFonts w:asciiTheme="majorHAnsi" w:hAnsiTheme="majorHAnsi" w:cstheme="majorHAnsi"/>
          <w:sz w:val="24"/>
          <w:szCs w:val="24"/>
          <w:lang w:val="ro-MD"/>
        </w:rPr>
        <w:t>ul</w:t>
      </w:r>
      <w:r w:rsidRPr="009E5B39">
        <w:rPr>
          <w:rFonts w:asciiTheme="majorHAnsi" w:hAnsiTheme="majorHAnsi" w:cstheme="majorHAnsi"/>
          <w:sz w:val="24"/>
          <w:szCs w:val="24"/>
          <w:lang w:val="ro-MD"/>
        </w:rPr>
        <w:t xml:space="preserve"> de achitare expirat. La moment</w:t>
      </w:r>
      <w:r w:rsidR="0042403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SRL „Ianus” este în proces de insolvabilitate</w:t>
      </w:r>
      <w:r w:rsidRPr="009E5B39">
        <w:rPr>
          <w:rFonts w:asciiTheme="majorHAnsi" w:hAnsiTheme="majorHAnsi" w:cstheme="majorHAnsi"/>
          <w:sz w:val="24"/>
          <w:szCs w:val="24"/>
          <w:vertAlign w:val="superscript"/>
          <w:lang w:val="ro-MD"/>
        </w:rPr>
        <w:footnoteReference w:id="176"/>
      </w:r>
      <w:r w:rsidRPr="009E5B39">
        <w:rPr>
          <w:rFonts w:asciiTheme="majorHAnsi" w:hAnsiTheme="majorHAnsi" w:cstheme="majorHAnsi"/>
          <w:sz w:val="24"/>
          <w:szCs w:val="24"/>
          <w:lang w:val="ro-MD"/>
        </w:rPr>
        <w:t xml:space="preserve">, ceea ce creează riscul ca creanța acumulată pentru locațiunea bunurilor proprietate publică a mun. Chișinău să nu fie încasată în bugetul municipal. </w:t>
      </w:r>
      <w:r w:rsidRPr="009E5B39">
        <w:rPr>
          <w:rFonts w:asciiTheme="majorHAnsi" w:hAnsiTheme="majorHAnsi" w:cstheme="majorHAnsi"/>
          <w:i/>
          <w:sz w:val="24"/>
          <w:szCs w:val="24"/>
          <w:lang w:val="ro-MD"/>
        </w:rPr>
        <w:t>Descrierea detaliată a litigiului și a acțiunilor întreprinse de către UAT mun. Chișinău</w:t>
      </w:r>
      <w:r w:rsidR="0006436D"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în raport cu SRL </w:t>
      </w:r>
      <w:r w:rsidR="0006436D"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Ianus</w:t>
      </w:r>
      <w:r w:rsidR="0006436D"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este prezentată în Anexa nr.13 la </w:t>
      </w:r>
      <w:r w:rsidR="0005662D" w:rsidRPr="009E5B39">
        <w:rPr>
          <w:rFonts w:asciiTheme="majorHAnsi" w:hAnsiTheme="majorHAnsi" w:cstheme="majorHAnsi"/>
          <w:i/>
          <w:sz w:val="24"/>
          <w:szCs w:val="24"/>
          <w:lang w:val="ro-MD"/>
        </w:rPr>
        <w:t>R</w:t>
      </w:r>
      <w:r w:rsidRPr="009E5B39">
        <w:rPr>
          <w:rFonts w:asciiTheme="majorHAnsi" w:hAnsiTheme="majorHAnsi" w:cstheme="majorHAnsi"/>
          <w:i/>
          <w:sz w:val="24"/>
          <w:szCs w:val="24"/>
          <w:lang w:val="ro-MD"/>
        </w:rPr>
        <w:t>aport</w:t>
      </w:r>
      <w:r w:rsidR="0005662D" w:rsidRPr="009E5B39">
        <w:rPr>
          <w:rFonts w:asciiTheme="majorHAnsi" w:hAnsiTheme="majorHAnsi" w:cstheme="majorHAnsi"/>
          <w:i/>
          <w:sz w:val="24"/>
          <w:szCs w:val="24"/>
          <w:lang w:val="ro-MD"/>
        </w:rPr>
        <w:t>ul de audit</w:t>
      </w:r>
      <w:r w:rsidRPr="009E5B39">
        <w:rPr>
          <w:rFonts w:asciiTheme="majorHAnsi" w:hAnsiTheme="majorHAnsi" w:cstheme="majorHAnsi"/>
          <w:i/>
          <w:sz w:val="24"/>
          <w:szCs w:val="24"/>
          <w:lang w:val="ro-MD"/>
        </w:rPr>
        <w:t>.</w:t>
      </w:r>
      <w:r w:rsidRPr="009E5B39">
        <w:rPr>
          <w:rFonts w:asciiTheme="majorHAnsi" w:hAnsiTheme="majorHAnsi" w:cstheme="majorHAnsi"/>
          <w:sz w:val="24"/>
          <w:szCs w:val="24"/>
          <w:lang w:val="ro-MD"/>
        </w:rPr>
        <w:t xml:space="preserve"> </w:t>
      </w:r>
    </w:p>
    <w:p w14:paraId="135BDAF8" w14:textId="673E76E5" w:rsidR="00756E07" w:rsidRPr="009E5B39" w:rsidRDefault="00DE3F82" w:rsidP="00756E07">
      <w:pPr>
        <w:pStyle w:val="ListParagraph"/>
        <w:numPr>
          <w:ilvl w:val="2"/>
          <w:numId w:val="29"/>
        </w:numPr>
        <w:spacing w:after="0" w:line="276" w:lineRule="auto"/>
        <w:ind w:left="0" w:firstLine="0"/>
        <w:jc w:val="both"/>
        <w:rPr>
          <w:rFonts w:ascii="Calibri Light" w:eastAsia="Calibri" w:hAnsi="Calibri Light" w:cs="Tahoma"/>
          <w:b/>
          <w:i/>
          <w:sz w:val="24"/>
          <w:lang w:val="ro-MD"/>
        </w:rPr>
      </w:pPr>
      <w:r w:rsidRPr="009E5B39">
        <w:rPr>
          <w:rFonts w:ascii="Calibri Light" w:eastAsia="Calibri" w:hAnsi="Calibri Light" w:cs="Tahoma"/>
          <w:b/>
          <w:i/>
          <w:sz w:val="24"/>
          <w:lang w:val="ro-MD"/>
        </w:rPr>
        <w:t>Proces</w:t>
      </w:r>
      <w:r w:rsidR="0006436D" w:rsidRPr="009E5B39">
        <w:rPr>
          <w:rFonts w:ascii="Calibri Light" w:eastAsia="Calibri" w:hAnsi="Calibri Light" w:cs="Tahoma"/>
          <w:b/>
          <w:i/>
          <w:sz w:val="24"/>
          <w:lang w:val="ro-MD"/>
        </w:rPr>
        <w:t>ele</w:t>
      </w:r>
      <w:r w:rsidRPr="009E5B39">
        <w:rPr>
          <w:rFonts w:ascii="Calibri Light" w:eastAsia="Calibri" w:hAnsi="Calibri Light" w:cs="Tahoma"/>
          <w:b/>
          <w:i/>
          <w:sz w:val="24"/>
          <w:lang w:val="ro-MD"/>
        </w:rPr>
        <w:t xml:space="preserve"> de v</w:t>
      </w:r>
      <w:r w:rsidR="0005662D" w:rsidRPr="009E5B39">
        <w:rPr>
          <w:rFonts w:ascii="Calibri Light" w:eastAsia="Calibri" w:hAnsi="Calibri Light" w:cs="Tahoma"/>
          <w:b/>
          <w:i/>
          <w:sz w:val="24"/>
          <w:lang w:val="ro-MD"/>
        </w:rPr>
        <w:t>â</w:t>
      </w:r>
      <w:r w:rsidRPr="009E5B39">
        <w:rPr>
          <w:rFonts w:ascii="Calibri Light" w:eastAsia="Calibri" w:hAnsi="Calibri Light" w:cs="Tahoma"/>
          <w:b/>
          <w:i/>
          <w:sz w:val="24"/>
          <w:lang w:val="ro-MD"/>
        </w:rPr>
        <w:t xml:space="preserve">nzare-cumpărare și de privatizare a terenurilor </w:t>
      </w:r>
      <w:r w:rsidR="0006436D" w:rsidRPr="009E5B39">
        <w:rPr>
          <w:rFonts w:ascii="Calibri Light" w:eastAsia="Calibri" w:hAnsi="Calibri Light" w:cs="Tahoma"/>
          <w:b/>
          <w:i/>
          <w:sz w:val="24"/>
          <w:lang w:val="ro-MD"/>
        </w:rPr>
        <w:t>sunt</w:t>
      </w:r>
      <w:r w:rsidRPr="009E5B39">
        <w:rPr>
          <w:rFonts w:ascii="Calibri Light" w:eastAsia="Calibri" w:hAnsi="Calibri Light" w:cs="Tahoma"/>
          <w:b/>
          <w:i/>
          <w:sz w:val="24"/>
          <w:lang w:val="ro-MD"/>
        </w:rPr>
        <w:t xml:space="preserve"> afectat</w:t>
      </w:r>
      <w:r w:rsidR="0006436D" w:rsidRPr="009E5B39">
        <w:rPr>
          <w:rFonts w:ascii="Calibri Light" w:eastAsia="Calibri" w:hAnsi="Calibri Light" w:cs="Tahoma"/>
          <w:b/>
          <w:i/>
          <w:sz w:val="24"/>
          <w:lang w:val="ro-MD"/>
        </w:rPr>
        <w:t>e</w:t>
      </w:r>
      <w:r w:rsidRPr="009E5B39">
        <w:rPr>
          <w:rFonts w:ascii="Calibri Light" w:eastAsia="Calibri" w:hAnsi="Calibri Light" w:cs="Tahoma"/>
          <w:b/>
          <w:i/>
          <w:sz w:val="24"/>
          <w:lang w:val="ro-MD"/>
        </w:rPr>
        <w:t xml:space="preserve"> de neregularități</w:t>
      </w:r>
      <w:r w:rsidR="0005662D" w:rsidRPr="009E5B39">
        <w:rPr>
          <w:rFonts w:ascii="Calibri Light" w:eastAsia="Calibri" w:hAnsi="Calibri Light" w:cs="Tahoma"/>
          <w:b/>
          <w:i/>
          <w:sz w:val="24"/>
          <w:lang w:val="ro-MD"/>
        </w:rPr>
        <w:t xml:space="preserve">, </w:t>
      </w:r>
      <w:r w:rsidRPr="009E5B39">
        <w:rPr>
          <w:rFonts w:ascii="Calibri Light" w:eastAsia="Calibri" w:hAnsi="Calibri Light" w:cs="Tahoma"/>
          <w:b/>
          <w:i/>
          <w:sz w:val="24"/>
          <w:lang w:val="ro-MD"/>
        </w:rPr>
        <w:t xml:space="preserve"> care determină riscuri asupra plenitudinii încasării veniturilor în bugetul municipal.</w:t>
      </w:r>
    </w:p>
    <w:p w14:paraId="3007AFF9" w14:textId="08F14011" w:rsidR="00FE31F3" w:rsidRPr="009E5B39" w:rsidRDefault="00756E07" w:rsidP="00DE3F82">
      <w:pPr>
        <w:spacing w:after="0" w:line="276" w:lineRule="auto"/>
        <w:ind w:firstLine="720"/>
        <w:jc w:val="both"/>
        <w:rPr>
          <w:rFonts w:asciiTheme="majorHAnsi" w:eastAsia="Times New Roman" w:hAnsiTheme="majorHAnsi" w:cstheme="majorHAnsi"/>
          <w:sz w:val="24"/>
          <w:szCs w:val="24"/>
          <w:lang w:val="ro-MD"/>
        </w:rPr>
      </w:pPr>
      <w:r w:rsidRPr="009E5B39">
        <w:rPr>
          <w:rFonts w:asciiTheme="majorHAnsi" w:hAnsiTheme="majorHAnsi" w:cstheme="majorHAnsi"/>
          <w:sz w:val="24"/>
          <w:szCs w:val="24"/>
          <w:lang w:val="ro-MD"/>
        </w:rPr>
        <w:t xml:space="preserve">În rezultatul analizei de către audit a 35 </w:t>
      </w:r>
      <w:r w:rsidR="0006436D"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dosare aferente vânzării-cumpărării terenurilor proprietate publică a mun. Chișinău (</w:t>
      </w:r>
      <w:r w:rsidRPr="009E5B39">
        <w:rPr>
          <w:rFonts w:asciiTheme="majorHAnsi" w:hAnsiTheme="majorHAnsi" w:cstheme="majorHAnsi"/>
          <w:i/>
          <w:iCs/>
          <w:sz w:val="24"/>
          <w:szCs w:val="24"/>
          <w:lang w:val="ro-MD"/>
        </w:rPr>
        <w:t xml:space="preserve">detalii vezi </w:t>
      </w:r>
      <w:r w:rsidRPr="009E5B39">
        <w:rPr>
          <w:rFonts w:asciiTheme="majorHAnsi" w:hAnsiTheme="majorHAnsi" w:cstheme="majorHAnsi"/>
          <w:bCs/>
          <w:i/>
          <w:iCs/>
          <w:sz w:val="24"/>
          <w:szCs w:val="24"/>
          <w:lang w:val="ro-MD"/>
        </w:rPr>
        <w:t>Anexa nr.</w:t>
      </w:r>
      <w:r w:rsidR="00FB52F4" w:rsidRPr="009E5B39">
        <w:rPr>
          <w:rFonts w:asciiTheme="majorHAnsi" w:hAnsiTheme="majorHAnsi" w:cstheme="majorHAnsi"/>
          <w:bCs/>
          <w:i/>
          <w:iCs/>
          <w:sz w:val="24"/>
          <w:szCs w:val="24"/>
          <w:lang w:val="ro-MD"/>
        </w:rPr>
        <w:t>14</w:t>
      </w:r>
      <w:r w:rsidRPr="009E5B39">
        <w:rPr>
          <w:rFonts w:asciiTheme="majorHAnsi" w:hAnsiTheme="majorHAnsi" w:cstheme="majorHAnsi"/>
          <w:sz w:val="24"/>
          <w:szCs w:val="24"/>
          <w:lang w:val="ro-MD"/>
        </w:rPr>
        <w:t xml:space="preserve">), </w:t>
      </w:r>
      <w:r w:rsidR="0006436D" w:rsidRPr="009E5B39">
        <w:rPr>
          <w:rFonts w:asciiTheme="majorHAnsi" w:hAnsiTheme="majorHAnsi" w:cstheme="majorHAnsi"/>
          <w:sz w:val="24"/>
          <w:szCs w:val="24"/>
          <w:lang w:val="ro-MD"/>
        </w:rPr>
        <w:t>s-a constatat</w:t>
      </w:r>
      <w:r w:rsidRPr="009E5B39">
        <w:rPr>
          <w:rFonts w:asciiTheme="majorHAnsi" w:hAnsiTheme="majorHAnsi" w:cstheme="majorHAnsi"/>
          <w:sz w:val="24"/>
          <w:szCs w:val="24"/>
          <w:lang w:val="ro-MD"/>
        </w:rPr>
        <w:t xml:space="preserve"> că terenurile municipale au fost vândute la licitație ca terenuri adiacente și ca terenuri aferente caselor de locuit particulare.</w:t>
      </w:r>
      <w:r w:rsidR="00FE31F3" w:rsidRPr="009E5B39">
        <w:rPr>
          <w:rFonts w:asciiTheme="majorHAnsi" w:eastAsia="Times New Roman" w:hAnsiTheme="majorHAnsi" w:cstheme="majorHAnsi"/>
          <w:sz w:val="24"/>
          <w:szCs w:val="24"/>
          <w:lang w:val="ro-MD"/>
        </w:rPr>
        <w:t xml:space="preserve"> </w:t>
      </w:r>
    </w:p>
    <w:p w14:paraId="1CE61C5E" w14:textId="29AB65B3" w:rsidR="00756E07" w:rsidRPr="009E5B39" w:rsidRDefault="00FE31F3" w:rsidP="00DE3F82">
      <w:pPr>
        <w:spacing w:after="0" w:line="276" w:lineRule="auto"/>
        <w:ind w:firstLine="720"/>
        <w:jc w:val="both"/>
        <w:rPr>
          <w:rFonts w:asciiTheme="majorHAnsi" w:hAnsiTheme="majorHAnsi" w:cstheme="majorHAnsi"/>
          <w:b/>
          <w:sz w:val="24"/>
          <w:szCs w:val="24"/>
          <w:lang w:val="ro-MD"/>
        </w:rPr>
      </w:pPr>
      <w:r w:rsidRPr="009E5B39">
        <w:rPr>
          <w:rFonts w:asciiTheme="majorHAnsi" w:eastAsia="Times New Roman" w:hAnsiTheme="majorHAnsi" w:cstheme="majorHAnsi"/>
          <w:sz w:val="24"/>
          <w:szCs w:val="24"/>
          <w:lang w:val="ro-MD"/>
        </w:rPr>
        <w:t xml:space="preserve">De menționat faptul că, în perioada </w:t>
      </w:r>
      <w:r w:rsidR="0006436D" w:rsidRPr="009E5B39">
        <w:rPr>
          <w:rFonts w:asciiTheme="majorHAnsi" w:eastAsia="Times New Roman" w:hAnsiTheme="majorHAnsi" w:cstheme="majorHAnsi"/>
          <w:sz w:val="24"/>
          <w:szCs w:val="24"/>
          <w:lang w:val="ro-MD"/>
        </w:rPr>
        <w:t xml:space="preserve">anilor </w:t>
      </w:r>
      <w:r w:rsidRPr="009E5B39">
        <w:rPr>
          <w:rFonts w:asciiTheme="majorHAnsi" w:eastAsia="Times New Roman" w:hAnsiTheme="majorHAnsi" w:cstheme="majorHAnsi"/>
          <w:sz w:val="24"/>
          <w:szCs w:val="24"/>
          <w:lang w:val="ro-MD"/>
        </w:rPr>
        <w:t>2018-2020</w:t>
      </w:r>
      <w:r w:rsidR="0006436D"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w:t>
      </w:r>
      <w:r w:rsidR="008D0E4B" w:rsidRPr="009E5B39">
        <w:rPr>
          <w:rFonts w:asciiTheme="majorHAnsi" w:eastAsia="Times New Roman" w:hAnsiTheme="majorHAnsi" w:cstheme="majorHAnsi"/>
          <w:sz w:val="24"/>
          <w:szCs w:val="24"/>
          <w:lang w:val="ro-MD"/>
        </w:rPr>
        <w:t>sunt</w:t>
      </w:r>
      <w:r w:rsidRPr="009E5B39">
        <w:rPr>
          <w:rFonts w:asciiTheme="majorHAnsi" w:eastAsia="Times New Roman" w:hAnsiTheme="majorHAnsi" w:cstheme="majorHAnsi"/>
          <w:sz w:val="24"/>
          <w:szCs w:val="24"/>
          <w:lang w:val="ro-MD"/>
        </w:rPr>
        <w:t xml:space="preserve"> 449 tranzacții (plăți) de procurare a terenurilor</w:t>
      </w:r>
      <w:r w:rsidR="0006436D"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în valoare de 83,0 mil</w:t>
      </w:r>
      <w:r w:rsidR="0006436D"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lei</w:t>
      </w:r>
      <w:r w:rsidR="008D0E4B"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w:t>
      </w:r>
      <w:r w:rsidR="008D0E4B" w:rsidRPr="009E5B39">
        <w:rPr>
          <w:rFonts w:asciiTheme="majorHAnsi" w:eastAsia="Times New Roman" w:hAnsiTheme="majorHAnsi" w:cstheme="majorHAnsi"/>
          <w:sz w:val="24"/>
          <w:szCs w:val="24"/>
          <w:lang w:val="ro-MD"/>
        </w:rPr>
        <w:t>P</w:t>
      </w:r>
      <w:r w:rsidR="003C0D7E" w:rsidRPr="009E5B39">
        <w:rPr>
          <w:rFonts w:asciiTheme="majorHAnsi" w:eastAsia="Times New Roman" w:hAnsiTheme="majorHAnsi" w:cstheme="majorHAnsi"/>
          <w:sz w:val="24"/>
          <w:szCs w:val="24"/>
          <w:lang w:val="ro-MD"/>
        </w:rPr>
        <w:t>entru auditare au fost selectate 46 de dosare din care entitatea a prezentat numai 31 dosare</w:t>
      </w:r>
      <w:r w:rsidRPr="009E5B39">
        <w:rPr>
          <w:rFonts w:asciiTheme="majorHAnsi" w:eastAsia="Times New Roman" w:hAnsiTheme="majorHAnsi" w:cstheme="majorHAnsi"/>
          <w:sz w:val="24"/>
          <w:szCs w:val="24"/>
          <w:vertAlign w:val="superscript"/>
          <w:lang w:val="ro-MD"/>
        </w:rPr>
        <w:footnoteReference w:id="177"/>
      </w:r>
      <w:r w:rsidRPr="009E5B39">
        <w:rPr>
          <w:rFonts w:asciiTheme="majorHAnsi" w:eastAsia="Times New Roman" w:hAnsiTheme="majorHAnsi" w:cstheme="majorHAnsi"/>
          <w:sz w:val="24"/>
          <w:szCs w:val="24"/>
          <w:lang w:val="ro-MD"/>
        </w:rPr>
        <w:t>, inclusiv 4 nesolicitate, ceea ce denotă lipsa unei evidențe exhaustive și integrale a tranzacțiilor de vânzare-cumpărare a terenurilor proprietate municipală.</w:t>
      </w:r>
    </w:p>
    <w:p w14:paraId="42DAF7CC" w14:textId="75F472AC" w:rsidR="00756E07" w:rsidRPr="009E5B39" w:rsidRDefault="00756E07" w:rsidP="00DE3F82">
      <w:pPr>
        <w:pStyle w:val="ListParagraph"/>
        <w:numPr>
          <w:ilvl w:val="0"/>
          <w:numId w:val="92"/>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CMC a decis</w:t>
      </w:r>
      <w:r w:rsidRPr="009E5B39">
        <w:rPr>
          <w:vertAlign w:val="superscript"/>
          <w:lang w:val="ro-MD"/>
        </w:rPr>
        <w:footnoteReference w:id="178"/>
      </w:r>
      <w:r w:rsidRPr="009E5B39">
        <w:rPr>
          <w:rFonts w:asciiTheme="majorHAnsi" w:hAnsiTheme="majorHAnsi" w:cstheme="majorHAnsi"/>
          <w:sz w:val="24"/>
          <w:szCs w:val="24"/>
          <w:lang w:val="ro-MD"/>
        </w:rPr>
        <w:t xml:space="preserve">  transmiterea dreptului de organizare și desfășurare a licitațiilor funciare cu strigare în mun. Chișinău </w:t>
      </w:r>
      <w:r w:rsidR="000E79E1" w:rsidRPr="009E5B39">
        <w:rPr>
          <w:rFonts w:asciiTheme="majorHAnsi" w:hAnsiTheme="majorHAnsi" w:cstheme="majorHAnsi"/>
          <w:sz w:val="24"/>
          <w:szCs w:val="24"/>
          <w:lang w:val="ro-MD"/>
        </w:rPr>
        <w:t xml:space="preserve">către </w:t>
      </w:r>
      <w:r w:rsidRPr="009E5B39">
        <w:rPr>
          <w:rFonts w:asciiTheme="majorHAnsi" w:hAnsiTheme="majorHAnsi" w:cstheme="majorHAnsi"/>
          <w:sz w:val="24"/>
          <w:szCs w:val="24"/>
          <w:lang w:val="ro-MD"/>
        </w:rPr>
        <w:t xml:space="preserve">SRL „Capitalimobil”, fiind încheiat contractul de prestări servicii nr.36 din 16.10.2018, </w:t>
      </w:r>
      <w:r w:rsidR="00A535E9" w:rsidRPr="009E5B39">
        <w:rPr>
          <w:rFonts w:asciiTheme="majorHAnsi" w:hAnsiTheme="majorHAnsi" w:cstheme="majorHAnsi"/>
          <w:sz w:val="24"/>
          <w:szCs w:val="24"/>
          <w:lang w:val="ro-MD"/>
        </w:rPr>
        <w:t xml:space="preserve">în baza unui concurs, dar </w:t>
      </w:r>
      <w:r w:rsidRPr="009E5B39">
        <w:rPr>
          <w:rFonts w:asciiTheme="majorHAnsi" w:hAnsiTheme="majorHAnsi" w:cstheme="majorHAnsi"/>
          <w:sz w:val="24"/>
          <w:szCs w:val="24"/>
          <w:lang w:val="ro-MD"/>
        </w:rPr>
        <w:t>fără ca prestatorul acestui serviciu să fie selectat prin organizarea și desfășurarea uneia din procedurile de achiziție</w:t>
      </w:r>
      <w:r w:rsidR="00A535E9" w:rsidRPr="009E5B39">
        <w:rPr>
          <w:rFonts w:asciiTheme="majorHAnsi" w:hAnsiTheme="majorHAnsi" w:cstheme="majorHAnsi"/>
          <w:sz w:val="24"/>
          <w:szCs w:val="24"/>
          <w:lang w:val="ro-MD"/>
        </w:rPr>
        <w:t xml:space="preserve"> stabilite de cadrul legal</w:t>
      </w:r>
      <w:r w:rsidRPr="009E5B39">
        <w:rPr>
          <w:rFonts w:asciiTheme="majorHAnsi" w:hAnsiTheme="majorHAnsi" w:cstheme="majorHAnsi"/>
          <w:sz w:val="24"/>
          <w:szCs w:val="24"/>
          <w:lang w:val="ro-MD"/>
        </w:rPr>
        <w:t xml:space="preserve">. </w:t>
      </w:r>
      <w:r w:rsidR="000E79E1" w:rsidRPr="009E5B39">
        <w:rPr>
          <w:rFonts w:asciiTheme="majorHAnsi" w:hAnsiTheme="majorHAnsi" w:cstheme="majorHAnsi"/>
          <w:b/>
          <w:i/>
          <w:sz w:val="24"/>
          <w:szCs w:val="24"/>
          <w:lang w:val="ro-MD"/>
        </w:rPr>
        <w:t>La o</w:t>
      </w:r>
      <w:r w:rsidRPr="009E5B39">
        <w:rPr>
          <w:rFonts w:asciiTheme="majorHAnsi" w:hAnsiTheme="majorHAnsi" w:cstheme="majorHAnsi"/>
          <w:b/>
          <w:i/>
          <w:sz w:val="24"/>
          <w:szCs w:val="24"/>
          <w:lang w:val="ro-MD"/>
        </w:rPr>
        <w:t xml:space="preserve">rganizarea și desfășurarea licitațiilor de vânzare-cumpărare a pământului în mun. Chișinău prin intermediul SRL </w:t>
      </w:r>
      <w:r w:rsidR="000E79E1"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Capitalimobil</w:t>
      </w:r>
      <w:r w:rsidR="000E79E1"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 xml:space="preserve"> </w:t>
      </w:r>
      <w:r w:rsidR="000E79E1" w:rsidRPr="009E5B39">
        <w:rPr>
          <w:rFonts w:asciiTheme="majorHAnsi" w:hAnsiTheme="majorHAnsi" w:cstheme="majorHAnsi"/>
          <w:b/>
          <w:i/>
          <w:sz w:val="24"/>
          <w:szCs w:val="24"/>
          <w:lang w:val="ro-MD"/>
        </w:rPr>
        <w:t xml:space="preserve">s-au atestat </w:t>
      </w:r>
      <w:r w:rsidRPr="009E5B39">
        <w:rPr>
          <w:rFonts w:asciiTheme="majorHAnsi" w:hAnsiTheme="majorHAnsi" w:cstheme="majorHAnsi"/>
          <w:b/>
          <w:i/>
          <w:sz w:val="24"/>
          <w:szCs w:val="24"/>
          <w:lang w:val="ro-MD"/>
        </w:rPr>
        <w:t>mai multe neclarități,</w:t>
      </w:r>
      <w:r w:rsidRPr="009E5B39">
        <w:rPr>
          <w:rFonts w:asciiTheme="majorHAnsi" w:hAnsiTheme="majorHAnsi" w:cstheme="majorHAnsi"/>
          <w:sz w:val="24"/>
          <w:szCs w:val="24"/>
          <w:lang w:val="ro-MD"/>
        </w:rPr>
        <w:t xml:space="preserve"> c</w:t>
      </w:r>
      <w:r w:rsidR="000E79E1" w:rsidRPr="009E5B39">
        <w:rPr>
          <w:rFonts w:asciiTheme="majorHAnsi" w:hAnsiTheme="majorHAnsi" w:cstheme="majorHAnsi"/>
          <w:sz w:val="24"/>
          <w:szCs w:val="24"/>
          <w:lang w:val="ro-MD"/>
        </w:rPr>
        <w:t>e țin de</w:t>
      </w:r>
      <w:r w:rsidRPr="009E5B39">
        <w:rPr>
          <w:rFonts w:asciiTheme="majorHAnsi" w:hAnsiTheme="majorHAnsi" w:cstheme="majorHAnsi"/>
          <w:sz w:val="24"/>
          <w:szCs w:val="24"/>
          <w:lang w:val="ro-MD"/>
        </w:rPr>
        <w:t>: 1) modalitatea de determinare a prețului inițial al terenului scos la licitație</w:t>
      </w:r>
      <w:r w:rsidR="00225D2B" w:rsidRPr="009E5B39">
        <w:rPr>
          <w:rFonts w:asciiTheme="majorHAnsi" w:hAnsiTheme="majorHAnsi" w:cstheme="majorHAnsi"/>
          <w:sz w:val="24"/>
          <w:szCs w:val="24"/>
          <w:lang w:val="ro-MD"/>
        </w:rPr>
        <w:t>, astfel fiind încălcate prevederile cadrului normativ</w:t>
      </w:r>
      <w:r w:rsidR="00225D2B" w:rsidRPr="009E5B39">
        <w:rPr>
          <w:vertAlign w:val="superscript"/>
          <w:lang w:val="ro-MD"/>
        </w:rPr>
        <w:footnoteReference w:id="179"/>
      </w:r>
      <w:r w:rsidR="00225D2B" w:rsidRPr="009E5B39">
        <w:rPr>
          <w:rFonts w:asciiTheme="majorHAnsi" w:hAnsiTheme="majorHAnsi" w:cstheme="majorHAnsi"/>
          <w:sz w:val="24"/>
          <w:szCs w:val="24"/>
          <w:lang w:val="ro-MD"/>
        </w:rPr>
        <w:t>, în ce privește atribuțiile primarului în procesul de vânzare-cumpărare a terenurilor proprietate publică a UAT</w:t>
      </w:r>
      <w:r w:rsidRPr="009E5B39">
        <w:rPr>
          <w:rFonts w:asciiTheme="majorHAnsi" w:hAnsiTheme="majorHAnsi" w:cstheme="majorHAnsi"/>
          <w:sz w:val="24"/>
          <w:szCs w:val="24"/>
          <w:lang w:val="ro-MD"/>
        </w:rPr>
        <w:t>; 2) numărul participanților care au concurat pentru adjudecarea terenului; 3) pașii licitație</w:t>
      </w:r>
      <w:r w:rsidR="000D230E" w:rsidRPr="009E5B39">
        <w:rPr>
          <w:rFonts w:asciiTheme="majorHAnsi" w:hAnsiTheme="majorHAnsi" w:cstheme="majorHAnsi"/>
          <w:sz w:val="24"/>
          <w:szCs w:val="24"/>
          <w:lang w:val="ro-MD"/>
        </w:rPr>
        <w:t>i</w:t>
      </w:r>
      <w:r w:rsidRPr="009E5B39">
        <w:rPr>
          <w:rFonts w:asciiTheme="majorHAnsi" w:hAnsiTheme="majorHAnsi" w:cstheme="majorHAnsi"/>
          <w:sz w:val="24"/>
          <w:szCs w:val="24"/>
          <w:lang w:val="ro-MD"/>
        </w:rPr>
        <w:t>, care ar demonstra că negocierile în cadrul licitației au avut loc; 4) onorariu</w:t>
      </w:r>
      <w:r w:rsidR="000D230E" w:rsidRPr="009E5B39">
        <w:rPr>
          <w:rFonts w:asciiTheme="majorHAnsi" w:hAnsiTheme="majorHAnsi" w:cstheme="majorHAnsi"/>
          <w:sz w:val="24"/>
          <w:szCs w:val="24"/>
          <w:lang w:val="ro-MD"/>
        </w:rPr>
        <w:t>l</w:t>
      </w:r>
      <w:r w:rsidRPr="009E5B39">
        <w:rPr>
          <w:rFonts w:asciiTheme="majorHAnsi" w:hAnsiTheme="majorHAnsi" w:cstheme="majorHAnsi"/>
          <w:sz w:val="24"/>
          <w:szCs w:val="24"/>
          <w:lang w:val="ro-MD"/>
        </w:rPr>
        <w:t xml:space="preserve"> prestatorului serviciului de licitație; etc. Toate cele menționate creează riscuri majore de </w:t>
      </w:r>
      <w:r w:rsidR="00225D2B" w:rsidRPr="009E5B39">
        <w:rPr>
          <w:rFonts w:asciiTheme="majorHAnsi" w:hAnsiTheme="majorHAnsi" w:cstheme="majorHAnsi"/>
          <w:sz w:val="24"/>
          <w:szCs w:val="24"/>
          <w:lang w:val="ro-MD"/>
        </w:rPr>
        <w:t xml:space="preserve">iregularitate </w:t>
      </w:r>
      <w:r w:rsidRPr="009E5B39">
        <w:rPr>
          <w:rFonts w:asciiTheme="majorHAnsi" w:hAnsiTheme="majorHAnsi" w:cstheme="majorHAnsi"/>
          <w:sz w:val="24"/>
          <w:szCs w:val="24"/>
          <w:lang w:val="ro-MD"/>
        </w:rPr>
        <w:t>a tranzacțiilor de vânzare</w:t>
      </w:r>
      <w:r w:rsidR="000D23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cumpărare a terenurilor proprietate publică din mun. Chișinău.    </w:t>
      </w:r>
    </w:p>
    <w:p w14:paraId="6561290B" w14:textId="43CE22B4" w:rsidR="00756E07" w:rsidRPr="009E5B39" w:rsidRDefault="00756E07" w:rsidP="00756E07">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Potrivit prevederilor contractului indicat, în sarcina SRL </w:t>
      </w:r>
      <w:r w:rsidR="000D23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Capitalimobil</w:t>
      </w:r>
      <w:r w:rsidR="000D23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au fost puse mai multe obligații, cum ar fi: 1) să pregătească materialele necesare; 2) să perfecteze, să prezinte pentru aprobare și să public</w:t>
      </w:r>
      <w:r w:rsidR="000D230E"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comunicatele informative privind licitațiile;  3) să asigure vânzarea biletelor de intrare; 4) să transfere în bugetul municipal</w:t>
      </w:r>
      <w:r w:rsidR="000D23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termen de 3 zile bancare din momentul achitării de către cumpărători</w:t>
      </w:r>
      <w:r w:rsidR="000D23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loturil</w:t>
      </w:r>
      <w:r w:rsidR="000D230E"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adjudecate; 5) să prezinte Beneficiarului</w:t>
      </w:r>
      <w:r w:rsidR="006F7B1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termen de 5 zile</w:t>
      </w:r>
      <w:r w:rsidR="006F7B1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informația și procesele-verbale privind rezultatele licitației; 6) să asigure</w:t>
      </w:r>
      <w:r w:rsidR="006F7B1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la necesitate</w:t>
      </w:r>
      <w:r w:rsidR="006F7B1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activități de evaluare, lucrări cadastrale și alte tipuri de lucrări; etc. </w:t>
      </w:r>
      <w:r w:rsidR="006F7B1E"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contul în mărime de 10% din prețul inițial și taxa de participare urmează a fi virate la contul Prestatorului. Acontul urmează a fi returnat în termen de 10 zile </w:t>
      </w:r>
      <w:r w:rsidR="006F7B1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pentru terenurile pierdute la licitație</w:t>
      </w:r>
      <w:r w:rsidR="006F7B1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sau în termen de 30 zile </w:t>
      </w:r>
      <w:r w:rsidR="006F7B1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în buget, în cazul refuzului achitării valorii restante a terenului. </w:t>
      </w:r>
    </w:p>
    <w:p w14:paraId="5B708654" w14:textId="3F2458CC" w:rsidR="00756E07" w:rsidRPr="009E5B39" w:rsidRDefault="00756E07" w:rsidP="00756E07">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În perioada </w:t>
      </w:r>
      <w:r w:rsidR="000D230E" w:rsidRPr="009E5B39">
        <w:rPr>
          <w:rFonts w:asciiTheme="majorHAnsi" w:hAnsiTheme="majorHAnsi" w:cstheme="majorHAnsi"/>
          <w:sz w:val="24"/>
          <w:szCs w:val="24"/>
          <w:lang w:val="ro-MD"/>
        </w:rPr>
        <w:t xml:space="preserve">anilor </w:t>
      </w:r>
      <w:r w:rsidRPr="009E5B39">
        <w:rPr>
          <w:rFonts w:asciiTheme="majorHAnsi" w:hAnsiTheme="majorHAnsi" w:cstheme="majorHAnsi"/>
          <w:sz w:val="24"/>
          <w:szCs w:val="24"/>
          <w:lang w:val="ro-MD"/>
        </w:rPr>
        <w:t>2018-2020</w:t>
      </w:r>
      <w:r w:rsidR="000D23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din bugetul mun. Chișinău nu au fost efectuate careva plăți către acest agent economic. Conform contractului</w:t>
      </w:r>
      <w:r w:rsidR="000D23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taxa de participare și biletele de intrare reprezintă proprietatea prestatorului.</w:t>
      </w:r>
    </w:p>
    <w:p w14:paraId="06DE1D9C" w14:textId="5801AF7B" w:rsidR="00756E07" w:rsidRPr="009E5B39" w:rsidRDefault="00756E07" w:rsidP="00756E07">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Potrivit informației prezentate auditului, în </w:t>
      </w:r>
      <w:r w:rsidR="006F7B1E" w:rsidRPr="009E5B39">
        <w:rPr>
          <w:rFonts w:asciiTheme="majorHAnsi" w:hAnsiTheme="majorHAnsi" w:cstheme="majorHAnsi"/>
          <w:sz w:val="24"/>
          <w:szCs w:val="24"/>
          <w:lang w:val="ro-MD"/>
        </w:rPr>
        <w:t>anii</w:t>
      </w:r>
      <w:r w:rsidRPr="009E5B39">
        <w:rPr>
          <w:rFonts w:asciiTheme="majorHAnsi" w:hAnsiTheme="majorHAnsi" w:cstheme="majorHAnsi"/>
          <w:sz w:val="24"/>
          <w:szCs w:val="24"/>
          <w:lang w:val="ro-MD"/>
        </w:rPr>
        <w:t xml:space="preserve"> 2018-2020, CMC a adoptat 41 </w:t>
      </w:r>
      <w:r w:rsidR="006F7B1E"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decizii</w:t>
      </w:r>
      <w:r w:rsidR="006F7B1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 prin care au fost expuse la licitație funciară prin vânzare-cumpărare terenuri municipale. Componența nominală a </w:t>
      </w:r>
      <w:r w:rsidR="006F7B1E" w:rsidRPr="009E5B39">
        <w:rPr>
          <w:rFonts w:asciiTheme="majorHAnsi" w:hAnsiTheme="majorHAnsi" w:cstheme="majorHAnsi"/>
          <w:sz w:val="24"/>
          <w:szCs w:val="24"/>
          <w:lang w:val="ro-MD"/>
        </w:rPr>
        <w:t>C</w:t>
      </w:r>
      <w:r w:rsidRPr="009E5B39">
        <w:rPr>
          <w:rFonts w:asciiTheme="majorHAnsi" w:hAnsiTheme="majorHAnsi" w:cstheme="majorHAnsi"/>
          <w:sz w:val="24"/>
          <w:szCs w:val="24"/>
          <w:lang w:val="ro-MD"/>
        </w:rPr>
        <w:t xml:space="preserve">omisiei pentru organizarea și desfășurarea licitațiilor și concursurilor funciare a fost aprobată în baza </w:t>
      </w:r>
      <w:r w:rsidR="006F7B1E" w:rsidRPr="009E5B39">
        <w:rPr>
          <w:rFonts w:asciiTheme="majorHAnsi" w:hAnsiTheme="majorHAnsi" w:cstheme="majorHAnsi"/>
          <w:sz w:val="24"/>
          <w:szCs w:val="24"/>
          <w:lang w:val="ro-MD"/>
        </w:rPr>
        <w:t>D</w:t>
      </w:r>
      <w:r w:rsidRPr="009E5B39">
        <w:rPr>
          <w:rFonts w:asciiTheme="majorHAnsi" w:hAnsiTheme="majorHAnsi" w:cstheme="majorHAnsi"/>
          <w:sz w:val="24"/>
          <w:szCs w:val="24"/>
          <w:lang w:val="ro-MD"/>
        </w:rPr>
        <w:t>eciziei CMC nr.5/17 din 19 decembrie 2019</w:t>
      </w:r>
      <w:r w:rsidRPr="009E5B39">
        <w:rPr>
          <w:rStyle w:val="FootnoteReference"/>
          <w:rFonts w:asciiTheme="majorHAnsi" w:hAnsiTheme="majorHAnsi" w:cstheme="majorHAnsi"/>
          <w:sz w:val="24"/>
          <w:szCs w:val="24"/>
          <w:lang w:val="ro-MD"/>
        </w:rPr>
        <w:footnoteReference w:id="180"/>
      </w:r>
      <w:r w:rsidRPr="009E5B39">
        <w:rPr>
          <w:rFonts w:asciiTheme="majorHAnsi" w:hAnsiTheme="majorHAnsi" w:cstheme="majorHAnsi"/>
          <w:sz w:val="24"/>
          <w:szCs w:val="24"/>
          <w:lang w:val="ro-MD"/>
        </w:rPr>
        <w:t>.</w:t>
      </w:r>
    </w:p>
    <w:p w14:paraId="12229C07" w14:textId="00F34EB2" w:rsidR="00756E07" w:rsidRPr="009E5B39" w:rsidRDefault="00756E07" w:rsidP="00756E07">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SRL </w:t>
      </w:r>
      <w:r w:rsidR="006F7B1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Capitalimobil</w:t>
      </w:r>
      <w:r w:rsidR="006F7B1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 virat în bugetul municipal suma totală de </w:t>
      </w:r>
      <w:r w:rsidRPr="009E5B39">
        <w:rPr>
          <w:rFonts w:asciiTheme="majorHAnsi" w:hAnsiTheme="majorHAnsi" w:cstheme="majorHAnsi"/>
          <w:b/>
          <w:sz w:val="24"/>
          <w:szCs w:val="24"/>
          <w:lang w:val="ro-MD"/>
        </w:rPr>
        <w:t>43,84 mil.lei</w:t>
      </w:r>
      <w:r w:rsidRPr="009E5B39">
        <w:rPr>
          <w:rFonts w:asciiTheme="majorHAnsi" w:hAnsiTheme="majorHAnsi" w:cstheme="majorHAnsi"/>
          <w:sz w:val="24"/>
          <w:szCs w:val="24"/>
          <w:lang w:val="ro-MD"/>
        </w:rPr>
        <w:t xml:space="preserve">, din care: în anul 2019 - </w:t>
      </w:r>
      <w:r w:rsidRPr="009E5B39">
        <w:rPr>
          <w:rFonts w:asciiTheme="majorHAnsi" w:hAnsiTheme="majorHAnsi" w:cstheme="majorHAnsi"/>
          <w:b/>
          <w:sz w:val="24"/>
          <w:szCs w:val="24"/>
          <w:lang w:val="ro-MD"/>
        </w:rPr>
        <w:t>2,37 mil.lei</w:t>
      </w:r>
      <w:r w:rsidR="006F7B1E"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pentru 3 terenuri vândute</w:t>
      </w:r>
      <w:r w:rsidR="006F7B1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și în</w:t>
      </w:r>
      <w:r w:rsidR="006F7B1E" w:rsidRPr="009E5B39">
        <w:rPr>
          <w:rFonts w:asciiTheme="majorHAnsi" w:hAnsiTheme="majorHAnsi" w:cstheme="majorHAnsi"/>
          <w:sz w:val="24"/>
          <w:szCs w:val="24"/>
          <w:lang w:val="ro-MD"/>
        </w:rPr>
        <w:t xml:space="preserve"> anul</w:t>
      </w:r>
      <w:r w:rsidRPr="009E5B39">
        <w:rPr>
          <w:rFonts w:asciiTheme="majorHAnsi" w:hAnsiTheme="majorHAnsi" w:cstheme="majorHAnsi"/>
          <w:sz w:val="24"/>
          <w:szCs w:val="24"/>
          <w:lang w:val="ro-MD"/>
        </w:rPr>
        <w:t xml:space="preserve"> 2020 – </w:t>
      </w:r>
      <w:r w:rsidRPr="009E5B39">
        <w:rPr>
          <w:rFonts w:asciiTheme="majorHAnsi" w:hAnsiTheme="majorHAnsi" w:cstheme="majorHAnsi"/>
          <w:b/>
          <w:sz w:val="24"/>
          <w:szCs w:val="24"/>
          <w:lang w:val="ro-MD"/>
        </w:rPr>
        <w:t>41,47 mil.lei</w:t>
      </w:r>
      <w:r w:rsidR="006F7B1E" w:rsidRPr="009E5B39">
        <w:rPr>
          <w:rFonts w:asciiTheme="majorHAnsi" w:hAnsiTheme="majorHAnsi" w:cstheme="majorHAnsi"/>
          <w:b/>
          <w:sz w:val="24"/>
          <w:szCs w:val="24"/>
          <w:lang w:val="ro-MD"/>
        </w:rPr>
        <w:t>,</w:t>
      </w:r>
      <w:r w:rsidRPr="009E5B39">
        <w:rPr>
          <w:rFonts w:asciiTheme="majorHAnsi" w:hAnsiTheme="majorHAnsi" w:cstheme="majorHAnsi"/>
          <w:sz w:val="24"/>
          <w:szCs w:val="24"/>
          <w:lang w:val="ro-MD"/>
        </w:rPr>
        <w:t xml:space="preserve"> pentru 14 terenuri vândute. </w:t>
      </w:r>
    </w:p>
    <w:p w14:paraId="54C86E6A" w14:textId="6F139BE9" w:rsidR="00756E07" w:rsidRPr="009E5B39" w:rsidRDefault="00756E07" w:rsidP="00756E07">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Examinarea a 17 dosare de vânzare-cumpărare a terenurilor municipale expuse la licitație funciară</w:t>
      </w:r>
      <w:r w:rsidR="006F7B1E" w:rsidRPr="009E5B39">
        <w:rPr>
          <w:rFonts w:asciiTheme="majorHAnsi" w:hAnsiTheme="majorHAnsi" w:cstheme="majorHAnsi"/>
          <w:sz w:val="24"/>
          <w:szCs w:val="24"/>
          <w:lang w:val="ro-MD"/>
        </w:rPr>
        <w:t xml:space="preserve"> denotă</w:t>
      </w:r>
      <w:r w:rsidRPr="009E5B39">
        <w:rPr>
          <w:rFonts w:asciiTheme="majorHAnsi" w:hAnsiTheme="majorHAnsi" w:cstheme="majorHAnsi"/>
          <w:sz w:val="24"/>
          <w:szCs w:val="24"/>
          <w:lang w:val="ro-MD"/>
        </w:rPr>
        <w:t xml:space="preserve"> că actele anexate sunt completate formal și incomplet. Astfel, în procesele-verbale privind desfășurarea negocierilor sunt indicate numai prețul inițial și prețul final de vânzare a lotului, fără a fi indicați pașii licitației; nu este anexată lista participanților care au pretins la terenul adjudecat</w:t>
      </w:r>
      <w:r w:rsidR="006F7B1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procesul-verbal fiind indicat numai câștigătorul. Alte acte care ar demonstra mersul licitației nu sunt anexate. </w:t>
      </w:r>
      <w:r w:rsidR="0029671B" w:rsidRPr="009E5B39">
        <w:rPr>
          <w:rFonts w:asciiTheme="majorHAnsi" w:hAnsiTheme="majorHAnsi" w:cstheme="majorHAnsi"/>
          <w:sz w:val="24"/>
          <w:szCs w:val="24"/>
          <w:lang w:val="ro-MD"/>
        </w:rPr>
        <w:t>Nerespectând</w:t>
      </w:r>
      <w:r w:rsidRPr="009E5B39">
        <w:rPr>
          <w:rFonts w:asciiTheme="majorHAnsi" w:hAnsiTheme="majorHAnsi" w:cstheme="majorHAnsi"/>
          <w:sz w:val="24"/>
          <w:szCs w:val="24"/>
          <w:lang w:val="ro-MD"/>
        </w:rPr>
        <w:t xml:space="preserve"> competențel</w:t>
      </w:r>
      <w:r w:rsidR="0029671B" w:rsidRPr="009E5B39">
        <w:rPr>
          <w:rFonts w:asciiTheme="majorHAnsi" w:hAnsiTheme="majorHAnsi" w:cstheme="majorHAnsi"/>
          <w:sz w:val="24"/>
          <w:szCs w:val="24"/>
          <w:lang w:val="ro-MD"/>
        </w:rPr>
        <w:t>e</w:t>
      </w:r>
      <w:r w:rsidR="006F7B1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acordate primarului general prin actele normative</w:t>
      </w:r>
      <w:r w:rsidRPr="009E5B39">
        <w:rPr>
          <w:rFonts w:asciiTheme="majorHAnsi" w:hAnsiTheme="majorHAnsi" w:cstheme="majorHAnsi"/>
          <w:sz w:val="24"/>
          <w:szCs w:val="24"/>
          <w:vertAlign w:val="superscript"/>
          <w:lang w:val="ro-MD"/>
        </w:rPr>
        <w:footnoteReference w:id="181"/>
      </w:r>
      <w:r w:rsidR="006F7B1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 determinare a prețului inițial</w:t>
      </w:r>
      <w:r w:rsidR="0029671B" w:rsidRPr="009E5B39">
        <w:rPr>
          <w:rFonts w:asciiTheme="majorHAnsi" w:hAnsiTheme="majorHAnsi" w:cstheme="majorHAnsi"/>
          <w:sz w:val="24"/>
          <w:szCs w:val="24"/>
          <w:lang w:val="ro-MD"/>
        </w:rPr>
        <w:t xml:space="preserve"> al terenurilor</w:t>
      </w:r>
      <w:r w:rsidRPr="009E5B39">
        <w:rPr>
          <w:rFonts w:asciiTheme="majorHAnsi" w:hAnsiTheme="majorHAnsi" w:cstheme="majorHAnsi"/>
          <w:sz w:val="24"/>
          <w:szCs w:val="24"/>
          <w:lang w:val="ro-MD"/>
        </w:rPr>
        <w:t>, CMC a pus în sarcina Comisiei pentru organizarea și desfășurarea licitațiilor funciare cu strigare stabilirea prețului inițial de adjudecare a lotului de pământ, iar la dosarele respective nu este anexat Borderoul de calcul al acestuia, astfel nefiind clară modalitatea de stabilire</w:t>
      </w:r>
      <w:r w:rsidR="0029671B" w:rsidRPr="009E5B39">
        <w:rPr>
          <w:rFonts w:asciiTheme="majorHAnsi" w:hAnsiTheme="majorHAnsi" w:cstheme="majorHAnsi"/>
          <w:sz w:val="24"/>
          <w:szCs w:val="24"/>
          <w:lang w:val="ro-MD"/>
        </w:rPr>
        <w:t xml:space="preserve"> a acestuia</w:t>
      </w:r>
      <w:r w:rsidRPr="009E5B39">
        <w:rPr>
          <w:rFonts w:asciiTheme="majorHAnsi" w:hAnsiTheme="majorHAnsi" w:cstheme="majorHAnsi"/>
          <w:sz w:val="24"/>
          <w:szCs w:val="24"/>
          <w:lang w:val="ro-MD"/>
        </w:rPr>
        <w:t>. Prețul inițial per ha pentru terenurile adjudecate la licitație a variat de la 2,67 mil.lei/ha până la 34,08 mil.lei/ha.</w:t>
      </w:r>
      <w:r w:rsidRPr="009E5B39">
        <w:rPr>
          <w:rFonts w:asciiTheme="majorHAnsi" w:eastAsia="Times New Roman" w:hAnsiTheme="majorHAnsi" w:cstheme="majorHAnsi"/>
          <w:sz w:val="24"/>
          <w:szCs w:val="24"/>
          <w:lang w:val="ro-MD"/>
        </w:rPr>
        <w:t xml:space="preserve">  </w:t>
      </w:r>
    </w:p>
    <w:p w14:paraId="2840C95A" w14:textId="496EB702" w:rsidR="00756E07" w:rsidRPr="009E5B39" w:rsidRDefault="00756E07" w:rsidP="00756E07">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Un exemplu elocvent </w:t>
      </w:r>
      <w:r w:rsidR="00622BE5" w:rsidRPr="009E5B39">
        <w:rPr>
          <w:rFonts w:asciiTheme="majorHAnsi" w:hAnsiTheme="majorHAnsi" w:cstheme="majorHAnsi"/>
          <w:sz w:val="24"/>
          <w:szCs w:val="24"/>
          <w:lang w:val="ro-MD"/>
        </w:rPr>
        <w:t xml:space="preserve">în acest sens </w:t>
      </w:r>
      <w:r w:rsidRPr="009E5B39">
        <w:rPr>
          <w:rFonts w:asciiTheme="majorHAnsi" w:hAnsiTheme="majorHAnsi" w:cstheme="majorHAnsi"/>
          <w:sz w:val="24"/>
          <w:szCs w:val="24"/>
          <w:lang w:val="ro-MD"/>
        </w:rPr>
        <w:t>este că pentru terenurile vecine sunt stabilite prețuri inițiale per ha diferite, care variază de la 9.693,05 mii lei/ha până la 16.085,79 mii lei/ha.</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77"/>
        <w:gridCol w:w="2693"/>
        <w:gridCol w:w="2835"/>
      </w:tblGrid>
      <w:tr w:rsidR="00756E07" w:rsidRPr="009E5B39" w14:paraId="485AA9AD" w14:textId="77777777" w:rsidTr="00D32382">
        <w:trPr>
          <w:trHeight w:val="20"/>
        </w:trPr>
        <w:tc>
          <w:tcPr>
            <w:tcW w:w="1400" w:type="dxa"/>
            <w:shd w:val="clear" w:color="auto" w:fill="D9D9D9" w:themeFill="background1" w:themeFillShade="D9"/>
            <w:vAlign w:val="center"/>
            <w:hideMark/>
          </w:tcPr>
          <w:p w14:paraId="58794A4D" w14:textId="77777777" w:rsidR="00756E07" w:rsidRPr="009E5B39" w:rsidRDefault="00756E07"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Cod cadastral</w:t>
            </w:r>
          </w:p>
        </w:tc>
        <w:tc>
          <w:tcPr>
            <w:tcW w:w="1577" w:type="dxa"/>
            <w:shd w:val="clear" w:color="auto" w:fill="D9D9D9" w:themeFill="background1" w:themeFillShade="D9"/>
            <w:vAlign w:val="center"/>
            <w:hideMark/>
          </w:tcPr>
          <w:p w14:paraId="40244630" w14:textId="77777777" w:rsidR="00756E07" w:rsidRPr="009E5B39" w:rsidRDefault="00756E07"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Suprafața (ha)</w:t>
            </w:r>
          </w:p>
        </w:tc>
        <w:tc>
          <w:tcPr>
            <w:tcW w:w="2693" w:type="dxa"/>
            <w:shd w:val="clear" w:color="auto" w:fill="D9D9D9" w:themeFill="background1" w:themeFillShade="D9"/>
            <w:vAlign w:val="center"/>
            <w:hideMark/>
          </w:tcPr>
          <w:p w14:paraId="4AA56D96" w14:textId="77777777" w:rsidR="00756E07" w:rsidRPr="009E5B39" w:rsidRDefault="00756E07"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Prețul inițial la licitație, mii lei</w:t>
            </w:r>
          </w:p>
        </w:tc>
        <w:tc>
          <w:tcPr>
            <w:tcW w:w="2835" w:type="dxa"/>
            <w:shd w:val="clear" w:color="auto" w:fill="D9D9D9" w:themeFill="background1" w:themeFillShade="D9"/>
            <w:vAlign w:val="center"/>
            <w:hideMark/>
          </w:tcPr>
          <w:p w14:paraId="4769FEA4" w14:textId="5E5121DF" w:rsidR="00756E07" w:rsidRPr="009E5B39" w:rsidRDefault="00756E07" w:rsidP="00D32382">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Preț</w:t>
            </w:r>
            <w:r w:rsidR="00622BE5" w:rsidRPr="009E5B39">
              <w:rPr>
                <w:rFonts w:asciiTheme="majorHAnsi" w:eastAsia="Times New Roman" w:hAnsiTheme="majorHAnsi" w:cstheme="majorHAnsi"/>
                <w:b/>
                <w:bCs/>
                <w:sz w:val="20"/>
                <w:szCs w:val="20"/>
                <w:lang w:val="ro-MD"/>
              </w:rPr>
              <w:t>ul</w:t>
            </w:r>
            <w:r w:rsidRPr="009E5B39">
              <w:rPr>
                <w:rFonts w:asciiTheme="majorHAnsi" w:eastAsia="Times New Roman" w:hAnsiTheme="majorHAnsi" w:cstheme="majorHAnsi"/>
                <w:b/>
                <w:bCs/>
                <w:sz w:val="20"/>
                <w:szCs w:val="20"/>
                <w:lang w:val="ro-MD"/>
              </w:rPr>
              <w:t xml:space="preserve"> inițial la </w:t>
            </w:r>
            <w:r w:rsidR="00622BE5" w:rsidRPr="009E5B39">
              <w:rPr>
                <w:rFonts w:asciiTheme="majorHAnsi" w:eastAsia="Times New Roman" w:hAnsiTheme="majorHAnsi" w:cstheme="majorHAnsi"/>
                <w:b/>
                <w:bCs/>
                <w:sz w:val="20"/>
                <w:szCs w:val="20"/>
                <w:lang w:val="ro-MD"/>
              </w:rPr>
              <w:t>1</w:t>
            </w:r>
            <w:r w:rsidRPr="009E5B39">
              <w:rPr>
                <w:rFonts w:asciiTheme="majorHAnsi" w:eastAsia="Times New Roman" w:hAnsiTheme="majorHAnsi" w:cstheme="majorHAnsi"/>
                <w:b/>
                <w:bCs/>
                <w:sz w:val="20"/>
                <w:szCs w:val="20"/>
                <w:lang w:val="ro-MD"/>
              </w:rPr>
              <w:t xml:space="preserve"> ha, mii lei</w:t>
            </w:r>
          </w:p>
        </w:tc>
      </w:tr>
      <w:tr w:rsidR="00756E07" w:rsidRPr="009E5B39" w14:paraId="3E9A4B77" w14:textId="77777777" w:rsidTr="00D32382">
        <w:trPr>
          <w:trHeight w:val="20"/>
        </w:trPr>
        <w:tc>
          <w:tcPr>
            <w:tcW w:w="1400" w:type="dxa"/>
            <w:shd w:val="clear" w:color="auto" w:fill="auto"/>
            <w:vAlign w:val="center"/>
            <w:hideMark/>
          </w:tcPr>
          <w:p w14:paraId="6882E99D" w14:textId="77777777" w:rsidR="00756E07" w:rsidRPr="009E5B39" w:rsidRDefault="00756E07" w:rsidP="00D32382">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0100302954</w:t>
            </w:r>
          </w:p>
        </w:tc>
        <w:tc>
          <w:tcPr>
            <w:tcW w:w="1577" w:type="dxa"/>
            <w:shd w:val="clear" w:color="auto" w:fill="auto"/>
            <w:vAlign w:val="center"/>
            <w:hideMark/>
          </w:tcPr>
          <w:p w14:paraId="01491A2F" w14:textId="77777777" w:rsidR="00756E07" w:rsidRPr="009E5B39" w:rsidRDefault="00756E07"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0,1865</w:t>
            </w:r>
          </w:p>
        </w:tc>
        <w:tc>
          <w:tcPr>
            <w:tcW w:w="2693" w:type="dxa"/>
            <w:shd w:val="clear" w:color="auto" w:fill="auto"/>
            <w:vAlign w:val="center"/>
            <w:hideMark/>
          </w:tcPr>
          <w:p w14:paraId="6C7E30FF" w14:textId="77777777" w:rsidR="00756E07" w:rsidRPr="009E5B39" w:rsidRDefault="00756E07"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3000</w:t>
            </w:r>
          </w:p>
        </w:tc>
        <w:tc>
          <w:tcPr>
            <w:tcW w:w="2835" w:type="dxa"/>
            <w:shd w:val="clear" w:color="auto" w:fill="auto"/>
            <w:vAlign w:val="center"/>
            <w:hideMark/>
          </w:tcPr>
          <w:p w14:paraId="402AA21F" w14:textId="77777777" w:rsidR="00756E07" w:rsidRPr="009E5B39" w:rsidRDefault="00756E07"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16085,79</w:t>
            </w:r>
          </w:p>
        </w:tc>
      </w:tr>
      <w:tr w:rsidR="00756E07" w:rsidRPr="009E5B39" w14:paraId="5CA7F92D" w14:textId="77777777" w:rsidTr="00D32382">
        <w:trPr>
          <w:trHeight w:val="20"/>
        </w:trPr>
        <w:tc>
          <w:tcPr>
            <w:tcW w:w="1400" w:type="dxa"/>
            <w:shd w:val="clear" w:color="auto" w:fill="auto"/>
            <w:vAlign w:val="center"/>
            <w:hideMark/>
          </w:tcPr>
          <w:p w14:paraId="404DE3A8" w14:textId="77777777" w:rsidR="00756E07" w:rsidRPr="009E5B39" w:rsidRDefault="00756E07" w:rsidP="00D32382">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0100302953</w:t>
            </w:r>
          </w:p>
        </w:tc>
        <w:tc>
          <w:tcPr>
            <w:tcW w:w="1577" w:type="dxa"/>
            <w:shd w:val="clear" w:color="auto" w:fill="auto"/>
            <w:vAlign w:val="center"/>
            <w:hideMark/>
          </w:tcPr>
          <w:p w14:paraId="07236C31" w14:textId="77777777" w:rsidR="00756E07" w:rsidRPr="009E5B39" w:rsidRDefault="00756E07"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0,0811</w:t>
            </w:r>
          </w:p>
        </w:tc>
        <w:tc>
          <w:tcPr>
            <w:tcW w:w="2693" w:type="dxa"/>
            <w:shd w:val="clear" w:color="auto" w:fill="auto"/>
            <w:vAlign w:val="center"/>
            <w:hideMark/>
          </w:tcPr>
          <w:p w14:paraId="74FA4434" w14:textId="77777777" w:rsidR="00756E07" w:rsidRPr="009E5B39" w:rsidRDefault="00756E07"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800</w:t>
            </w:r>
          </w:p>
        </w:tc>
        <w:tc>
          <w:tcPr>
            <w:tcW w:w="2835" w:type="dxa"/>
            <w:shd w:val="clear" w:color="auto" w:fill="auto"/>
            <w:vAlign w:val="center"/>
            <w:hideMark/>
          </w:tcPr>
          <w:p w14:paraId="401765C4" w14:textId="77777777" w:rsidR="00756E07" w:rsidRPr="009E5B39" w:rsidRDefault="00756E07"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9864,36</w:t>
            </w:r>
          </w:p>
        </w:tc>
      </w:tr>
      <w:tr w:rsidR="00756E07" w:rsidRPr="009E5B39" w14:paraId="73DA8049" w14:textId="77777777" w:rsidTr="00D32382">
        <w:trPr>
          <w:trHeight w:val="20"/>
        </w:trPr>
        <w:tc>
          <w:tcPr>
            <w:tcW w:w="1400" w:type="dxa"/>
            <w:shd w:val="clear" w:color="auto" w:fill="auto"/>
            <w:vAlign w:val="center"/>
            <w:hideMark/>
          </w:tcPr>
          <w:p w14:paraId="330F1F8C" w14:textId="77777777" w:rsidR="00756E07" w:rsidRPr="009E5B39" w:rsidRDefault="00756E07" w:rsidP="00D32382">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0100302952</w:t>
            </w:r>
          </w:p>
        </w:tc>
        <w:tc>
          <w:tcPr>
            <w:tcW w:w="1577" w:type="dxa"/>
            <w:shd w:val="clear" w:color="auto" w:fill="auto"/>
            <w:vAlign w:val="center"/>
            <w:hideMark/>
          </w:tcPr>
          <w:p w14:paraId="6639FC6C" w14:textId="77777777" w:rsidR="00756E07" w:rsidRPr="009E5B39" w:rsidRDefault="00756E07"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0,0619</w:t>
            </w:r>
          </w:p>
        </w:tc>
        <w:tc>
          <w:tcPr>
            <w:tcW w:w="2693" w:type="dxa"/>
            <w:shd w:val="clear" w:color="auto" w:fill="auto"/>
            <w:vAlign w:val="center"/>
            <w:hideMark/>
          </w:tcPr>
          <w:p w14:paraId="5995AEC6" w14:textId="77777777" w:rsidR="00756E07" w:rsidRPr="009E5B39" w:rsidRDefault="00756E07"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600</w:t>
            </w:r>
          </w:p>
        </w:tc>
        <w:tc>
          <w:tcPr>
            <w:tcW w:w="2835" w:type="dxa"/>
            <w:shd w:val="clear" w:color="auto" w:fill="auto"/>
            <w:vAlign w:val="center"/>
            <w:hideMark/>
          </w:tcPr>
          <w:p w14:paraId="5E5EBF37" w14:textId="77777777" w:rsidR="00756E07" w:rsidRPr="009E5B39" w:rsidRDefault="00756E07" w:rsidP="00D32382">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9693,05</w:t>
            </w:r>
          </w:p>
        </w:tc>
      </w:tr>
    </w:tbl>
    <w:p w14:paraId="4D417060" w14:textId="3DE02C91" w:rsidR="00756E07" w:rsidRPr="009E5B39" w:rsidRDefault="00756E07" w:rsidP="000D1457">
      <w:pPr>
        <w:spacing w:before="240" w:after="0" w:line="276" w:lineRule="auto"/>
        <w:jc w:val="both"/>
        <w:rPr>
          <w:rFonts w:asciiTheme="majorHAnsi" w:hAnsiTheme="majorHAnsi" w:cstheme="majorHAnsi"/>
          <w:sz w:val="24"/>
          <w:szCs w:val="24"/>
          <w:lang w:val="ro-MD"/>
        </w:rPr>
      </w:pPr>
      <w:r w:rsidRPr="009E5B39">
        <w:rPr>
          <w:rFonts w:asciiTheme="majorHAnsi" w:eastAsia="Calibri" w:hAnsiTheme="majorHAnsi" w:cstheme="majorHAnsi"/>
          <w:b/>
          <w:sz w:val="24"/>
          <w:szCs w:val="24"/>
          <w:lang w:val="ro-MD"/>
        </w:rPr>
        <w:tab/>
      </w:r>
      <w:r w:rsidRPr="009E5B39">
        <w:rPr>
          <w:rFonts w:asciiTheme="majorHAnsi" w:eastAsia="Calibri" w:hAnsiTheme="majorHAnsi" w:cstheme="majorHAnsi"/>
          <w:sz w:val="24"/>
          <w:szCs w:val="24"/>
          <w:lang w:val="ro-MD"/>
        </w:rPr>
        <w:t xml:space="preserve">În alt caz, terenurile destinate caselor de locuit particulare au fost vândute </w:t>
      </w:r>
      <w:r w:rsidR="00622BE5" w:rsidRPr="009E5B39">
        <w:rPr>
          <w:rFonts w:asciiTheme="majorHAnsi" w:eastAsia="Calibri" w:hAnsiTheme="majorHAnsi" w:cstheme="majorHAnsi"/>
          <w:sz w:val="24"/>
          <w:szCs w:val="24"/>
          <w:lang w:val="ro-MD"/>
        </w:rPr>
        <w:t>la</w:t>
      </w:r>
      <w:r w:rsidRPr="009E5B39">
        <w:rPr>
          <w:rFonts w:asciiTheme="majorHAnsi" w:eastAsia="Calibri" w:hAnsiTheme="majorHAnsi" w:cstheme="majorHAnsi"/>
          <w:sz w:val="24"/>
          <w:szCs w:val="24"/>
          <w:lang w:val="ro-MD"/>
        </w:rPr>
        <w:t xml:space="preserve"> prețuri</w:t>
      </w:r>
      <w:r w:rsidR="00133D35" w:rsidRPr="009E5B39">
        <w:rPr>
          <w:rFonts w:asciiTheme="majorHAnsi" w:eastAsia="Calibri" w:hAnsiTheme="majorHAnsi" w:cstheme="majorHAnsi"/>
          <w:sz w:val="24"/>
          <w:szCs w:val="24"/>
          <w:lang w:val="ro-MD"/>
        </w:rPr>
        <w:t xml:space="preserve"> ce nu corespund celor</w:t>
      </w:r>
      <w:r w:rsidRPr="009E5B39">
        <w:rPr>
          <w:rFonts w:asciiTheme="majorHAnsi" w:eastAsia="Calibri" w:hAnsiTheme="majorHAnsi" w:cstheme="majorHAnsi"/>
          <w:sz w:val="24"/>
          <w:szCs w:val="24"/>
          <w:lang w:val="ro-MD"/>
        </w:rPr>
        <w:t xml:space="preserve"> de piață. De exemplu</w:t>
      </w:r>
      <w:r w:rsidR="00622BE5"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terenul c/c</w:t>
      </w:r>
      <w:r w:rsidRPr="009E5B39">
        <w:rPr>
          <w:rFonts w:asciiTheme="majorHAnsi" w:hAnsiTheme="majorHAnsi" w:cstheme="majorHAnsi"/>
          <w:sz w:val="24"/>
          <w:szCs w:val="24"/>
          <w:lang w:val="ro-MD"/>
        </w:rPr>
        <w:t xml:space="preserve"> </w:t>
      </w:r>
      <w:r w:rsidRPr="009E5B39">
        <w:rPr>
          <w:rFonts w:asciiTheme="majorHAnsi" w:eastAsia="Times New Roman" w:hAnsiTheme="majorHAnsi" w:cstheme="majorHAnsi"/>
          <w:sz w:val="24"/>
          <w:szCs w:val="24"/>
          <w:lang w:val="ro-MD"/>
        </w:rPr>
        <w:t>0100423047</w:t>
      </w:r>
      <w:r w:rsidR="00622BE5"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de 0,0363 ha</w:t>
      </w:r>
      <w:r w:rsidR="00622BE5"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din str. Andrei Doga a fost evaluat doar la 120</w:t>
      </w:r>
      <w:r w:rsidR="00622BE5" w:rsidRPr="009E5B39">
        <w:rPr>
          <w:rFonts w:asciiTheme="majorHAnsi" w:eastAsia="Times New Roman" w:hAnsiTheme="majorHAnsi" w:cstheme="majorHAnsi"/>
          <w:sz w:val="24"/>
          <w:szCs w:val="24"/>
          <w:lang w:val="ro-MD"/>
        </w:rPr>
        <w:t>,0</w:t>
      </w:r>
      <w:r w:rsidRPr="009E5B39">
        <w:rPr>
          <w:rFonts w:asciiTheme="majorHAnsi" w:eastAsia="Times New Roman" w:hAnsiTheme="majorHAnsi" w:cstheme="majorHAnsi"/>
          <w:sz w:val="24"/>
          <w:szCs w:val="24"/>
          <w:lang w:val="ro-MD"/>
        </w:rPr>
        <w:t xml:space="preserve"> mii lei</w:t>
      </w:r>
      <w:r w:rsidR="00622BE5"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sau 33,06 mii lei/ar, în timp ce în regiunea respectivă prețurile ajung până la 1000 mii lei/ar</w:t>
      </w:r>
      <w:r w:rsidRPr="009E5B39">
        <w:rPr>
          <w:rFonts w:asciiTheme="majorHAnsi" w:eastAsia="Times New Roman" w:hAnsiTheme="majorHAnsi" w:cstheme="majorHAnsi"/>
          <w:sz w:val="24"/>
          <w:szCs w:val="24"/>
          <w:vertAlign w:val="superscript"/>
          <w:lang w:val="ro-MD"/>
        </w:rPr>
        <w:footnoteReference w:id="182"/>
      </w:r>
      <w:r w:rsidRPr="009E5B39">
        <w:rPr>
          <w:rFonts w:asciiTheme="majorHAnsi" w:eastAsia="Times New Roman" w:hAnsiTheme="majorHAnsi" w:cstheme="majorHAnsi"/>
          <w:sz w:val="24"/>
          <w:szCs w:val="24"/>
          <w:lang w:val="ro-MD"/>
        </w:rPr>
        <w:t>.</w:t>
      </w:r>
    </w:p>
    <w:p w14:paraId="6280E5F8" w14:textId="306133DC" w:rsidR="00756E07" w:rsidRPr="009E5B39" w:rsidRDefault="00756E07" w:rsidP="007D05AE">
      <w:pPr>
        <w:pStyle w:val="ListParagraph"/>
        <w:numPr>
          <w:ilvl w:val="0"/>
          <w:numId w:val="92"/>
        </w:numPr>
        <w:tabs>
          <w:tab w:val="left" w:pos="709"/>
          <w:tab w:val="left" w:pos="1134"/>
        </w:tabs>
        <w:spacing w:after="0" w:line="276" w:lineRule="auto"/>
        <w:ind w:left="0" w:firstLine="0"/>
        <w:jc w:val="both"/>
        <w:rPr>
          <w:rFonts w:asciiTheme="majorHAnsi" w:eastAsia="Times New Roman" w:hAnsiTheme="majorHAnsi" w:cstheme="majorHAnsi"/>
          <w:b/>
          <w:sz w:val="24"/>
          <w:szCs w:val="24"/>
          <w:lang w:val="ro-MD"/>
        </w:rPr>
      </w:pPr>
      <w:r w:rsidRPr="009E5B39">
        <w:rPr>
          <w:rFonts w:asciiTheme="majorHAnsi" w:eastAsia="Times New Roman" w:hAnsiTheme="majorHAnsi" w:cstheme="majorHAnsi"/>
          <w:b/>
          <w:sz w:val="24"/>
          <w:szCs w:val="24"/>
          <w:lang w:val="ro-MD"/>
        </w:rPr>
        <w:t>CMC</w:t>
      </w:r>
      <w:r w:rsidR="00F96786" w:rsidRPr="009E5B39">
        <w:rPr>
          <w:rFonts w:asciiTheme="majorHAnsi" w:eastAsia="Times New Roman" w:hAnsiTheme="majorHAnsi" w:cstheme="majorHAnsi"/>
          <w:b/>
          <w:sz w:val="24"/>
          <w:szCs w:val="24"/>
          <w:lang w:val="ro-MD"/>
        </w:rPr>
        <w:t>,</w:t>
      </w:r>
      <w:r w:rsidRPr="009E5B39">
        <w:rPr>
          <w:rFonts w:asciiTheme="majorHAnsi" w:eastAsia="Times New Roman" w:hAnsiTheme="majorHAnsi" w:cstheme="majorHAnsi"/>
          <w:b/>
          <w:sz w:val="24"/>
          <w:szCs w:val="24"/>
          <w:lang w:val="ro-MD"/>
        </w:rPr>
        <w:t xml:space="preserve"> nerespect</w:t>
      </w:r>
      <w:r w:rsidR="00F96786" w:rsidRPr="009E5B39">
        <w:rPr>
          <w:rFonts w:asciiTheme="majorHAnsi" w:eastAsia="Times New Roman" w:hAnsiTheme="majorHAnsi" w:cstheme="majorHAnsi"/>
          <w:b/>
          <w:sz w:val="24"/>
          <w:szCs w:val="24"/>
          <w:lang w:val="ro-MD"/>
        </w:rPr>
        <w:t>ând</w:t>
      </w:r>
      <w:r w:rsidRPr="009E5B39">
        <w:rPr>
          <w:rFonts w:asciiTheme="majorHAnsi" w:eastAsia="Times New Roman" w:hAnsiTheme="majorHAnsi" w:cstheme="majorHAnsi"/>
          <w:b/>
          <w:sz w:val="24"/>
          <w:szCs w:val="24"/>
          <w:lang w:val="ro-MD"/>
        </w:rPr>
        <w:t xml:space="preserve"> prevederil</w:t>
      </w:r>
      <w:r w:rsidR="00F96786" w:rsidRPr="009E5B39">
        <w:rPr>
          <w:rFonts w:asciiTheme="majorHAnsi" w:eastAsia="Times New Roman" w:hAnsiTheme="majorHAnsi" w:cstheme="majorHAnsi"/>
          <w:b/>
          <w:sz w:val="24"/>
          <w:szCs w:val="24"/>
          <w:lang w:val="ro-MD"/>
        </w:rPr>
        <w:t>e</w:t>
      </w:r>
      <w:r w:rsidRPr="009E5B39">
        <w:rPr>
          <w:rFonts w:asciiTheme="majorHAnsi" w:eastAsia="Times New Roman" w:hAnsiTheme="majorHAnsi" w:cstheme="majorHAnsi"/>
          <w:b/>
          <w:sz w:val="24"/>
          <w:szCs w:val="24"/>
          <w:lang w:val="ro-MD"/>
        </w:rPr>
        <w:t xml:space="preserve"> cadrului normativ</w:t>
      </w:r>
      <w:r w:rsidRPr="009E5B39">
        <w:rPr>
          <w:vertAlign w:val="superscript"/>
          <w:lang w:val="ro-MD"/>
        </w:rPr>
        <w:footnoteReference w:id="183"/>
      </w:r>
      <w:r w:rsidRPr="009E5B39">
        <w:rPr>
          <w:rFonts w:asciiTheme="majorHAnsi" w:eastAsia="Times New Roman" w:hAnsiTheme="majorHAnsi" w:cstheme="majorHAnsi"/>
          <w:b/>
          <w:sz w:val="24"/>
          <w:szCs w:val="24"/>
          <w:lang w:val="ro-MD"/>
        </w:rPr>
        <w:t>, vinde persoanelor interesate terenuri ca adiacente, fără ca pentru vânzarea acestora să fie organizat concurs sau licitație, ceea ce nu oferă condiții egale de procurare tuturor doritorilor. Deși, potrivit prevederilor cadrului normativ, determinarea prețului inițial al terenului ține de competența primarului</w:t>
      </w:r>
      <w:r w:rsidRPr="009E5B39">
        <w:rPr>
          <w:vertAlign w:val="superscript"/>
          <w:lang w:val="ro-MD"/>
        </w:rPr>
        <w:footnoteReference w:id="184"/>
      </w:r>
      <w:r w:rsidRPr="009E5B39">
        <w:rPr>
          <w:rFonts w:asciiTheme="majorHAnsi" w:eastAsia="Times New Roman" w:hAnsiTheme="majorHAnsi" w:cstheme="majorHAnsi"/>
          <w:b/>
          <w:sz w:val="24"/>
          <w:szCs w:val="24"/>
          <w:lang w:val="ro-MD"/>
        </w:rPr>
        <w:t xml:space="preserve">, </w:t>
      </w:r>
      <w:r w:rsidR="009F7C70" w:rsidRPr="009E5B39">
        <w:rPr>
          <w:rFonts w:asciiTheme="majorHAnsi" w:eastAsia="Times New Roman" w:hAnsiTheme="majorHAnsi" w:cstheme="majorHAnsi"/>
          <w:b/>
          <w:sz w:val="24"/>
          <w:szCs w:val="24"/>
          <w:lang w:val="ro-MD"/>
        </w:rPr>
        <w:t xml:space="preserve">terenurile </w:t>
      </w:r>
      <w:r w:rsidRPr="009E5B39">
        <w:rPr>
          <w:rFonts w:asciiTheme="majorHAnsi" w:eastAsia="Times New Roman" w:hAnsiTheme="majorHAnsi" w:cstheme="majorHAnsi"/>
          <w:b/>
          <w:sz w:val="24"/>
          <w:szCs w:val="24"/>
          <w:lang w:val="ro-MD"/>
        </w:rPr>
        <w:t xml:space="preserve"> sunt vândute la prețul stabilit de către evaluator la solicitarea deținătorului de teren adiacent interesat de procurarea acestuia, ceea ce creează riscul ca solicitantul să influențeze prețul de procurare a terenului. </w:t>
      </w:r>
    </w:p>
    <w:p w14:paraId="060345CC" w14:textId="731D92D2" w:rsidR="00756E07" w:rsidRPr="009E5B39" w:rsidRDefault="00756E07" w:rsidP="007D05AE">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Astfel</w:t>
      </w:r>
      <w:r w:rsidR="009F7C7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auditul a constatat că 9 terenuri din cele verificate au fost privatizate </w:t>
      </w:r>
      <w:r w:rsidRPr="009E5B39">
        <w:rPr>
          <w:rFonts w:asciiTheme="majorHAnsi" w:eastAsia="Times New Roman" w:hAnsiTheme="majorHAnsi" w:cstheme="majorHAnsi"/>
          <w:b/>
          <w:sz w:val="24"/>
          <w:szCs w:val="24"/>
          <w:lang w:val="ro-MD"/>
        </w:rPr>
        <w:t>neconform</w:t>
      </w:r>
      <w:r w:rsidRPr="009E5B39">
        <w:rPr>
          <w:rStyle w:val="FootnoteReference"/>
          <w:rFonts w:asciiTheme="majorHAnsi" w:eastAsia="Times New Roman" w:hAnsiTheme="majorHAnsi" w:cstheme="majorHAnsi"/>
          <w:b/>
          <w:sz w:val="24"/>
          <w:szCs w:val="24"/>
          <w:lang w:val="ro-MD"/>
        </w:rPr>
        <w:footnoteReference w:id="185"/>
      </w:r>
      <w:r w:rsidRPr="009E5B39">
        <w:rPr>
          <w:rFonts w:asciiTheme="majorHAnsi" w:eastAsia="Times New Roman" w:hAnsiTheme="majorHAnsi" w:cstheme="majorHAnsi"/>
          <w:b/>
          <w:sz w:val="24"/>
          <w:szCs w:val="24"/>
          <w:lang w:val="ro-MD"/>
        </w:rPr>
        <w:t xml:space="preserve"> </w:t>
      </w:r>
      <w:r w:rsidRPr="009E5B39">
        <w:rPr>
          <w:rFonts w:asciiTheme="majorHAnsi" w:hAnsiTheme="majorHAnsi" w:cstheme="majorHAnsi"/>
          <w:sz w:val="24"/>
          <w:szCs w:val="24"/>
          <w:lang w:val="ro-MD"/>
        </w:rPr>
        <w:t>ca terenuri adiacente, în baza deciziilor CMC, în baza „rapoartelor de evaluare” întocmite de diferiți agenți economici din domeniu, la „preț de piață”. Auditul constată că „prețurile de piață” în mun. Chișinău</w:t>
      </w:r>
      <w:r w:rsidR="009F7C7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stabilite de către agenții de evaluare</w:t>
      </w:r>
      <w:r w:rsidR="009F7C7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pentru 1 ha de teren variază de la 3,47 mil</w:t>
      </w:r>
      <w:r w:rsidR="009F7C7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(sec</w:t>
      </w:r>
      <w:r w:rsidR="009F7C70" w:rsidRPr="009E5B39">
        <w:rPr>
          <w:rFonts w:asciiTheme="majorHAnsi" w:hAnsiTheme="majorHAnsi" w:cstheme="majorHAnsi"/>
          <w:sz w:val="24"/>
          <w:szCs w:val="24"/>
          <w:lang w:val="ro-MD"/>
        </w:rPr>
        <w:t>t</w:t>
      </w:r>
      <w:r w:rsidRPr="009E5B39">
        <w:rPr>
          <w:rFonts w:asciiTheme="majorHAnsi" w:hAnsiTheme="majorHAnsi" w:cstheme="majorHAnsi"/>
          <w:sz w:val="24"/>
          <w:szCs w:val="24"/>
          <w:lang w:val="ro-MD"/>
        </w:rPr>
        <w:t>. Buiucani, str. Codrilor) până la 36</w:t>
      </w:r>
      <w:r w:rsidR="007D05A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23 mi</w:t>
      </w:r>
      <w:r w:rsidR="007D05AE" w:rsidRPr="009E5B39">
        <w:rPr>
          <w:rFonts w:asciiTheme="majorHAnsi" w:hAnsiTheme="majorHAnsi" w:cstheme="majorHAnsi"/>
          <w:sz w:val="24"/>
          <w:szCs w:val="24"/>
          <w:lang w:val="ro-MD"/>
        </w:rPr>
        <w:t>l.</w:t>
      </w:r>
      <w:r w:rsidRPr="009E5B39">
        <w:rPr>
          <w:rFonts w:asciiTheme="majorHAnsi" w:hAnsiTheme="majorHAnsi" w:cstheme="majorHAnsi"/>
          <w:sz w:val="24"/>
          <w:szCs w:val="24"/>
          <w:lang w:val="ro-MD"/>
        </w:rPr>
        <w:t xml:space="preserve"> lei (sec</w:t>
      </w:r>
      <w:r w:rsidR="009F7C70" w:rsidRPr="009E5B39">
        <w:rPr>
          <w:rFonts w:asciiTheme="majorHAnsi" w:hAnsiTheme="majorHAnsi" w:cstheme="majorHAnsi"/>
          <w:sz w:val="24"/>
          <w:szCs w:val="24"/>
          <w:lang w:val="ro-MD"/>
        </w:rPr>
        <w:t>t</w:t>
      </w:r>
      <w:r w:rsidRPr="009E5B39">
        <w:rPr>
          <w:rFonts w:asciiTheme="majorHAnsi" w:hAnsiTheme="majorHAnsi" w:cstheme="majorHAnsi"/>
          <w:sz w:val="24"/>
          <w:szCs w:val="24"/>
          <w:lang w:val="ro-MD"/>
        </w:rPr>
        <w:t>. Rîșcani, str. Armenească).</w:t>
      </w:r>
    </w:p>
    <w:p w14:paraId="46994966" w14:textId="55C64D3F" w:rsidR="00756E07" w:rsidRPr="009E5B39" w:rsidRDefault="00756E07" w:rsidP="00756E07">
      <w:pPr>
        <w:spacing w:after="0" w:line="276" w:lineRule="auto"/>
        <w:contextualSpacing/>
        <w:jc w:val="both"/>
        <w:rPr>
          <w:rFonts w:asciiTheme="majorHAnsi" w:eastAsia="Times New Roman" w:hAnsiTheme="majorHAnsi" w:cstheme="majorHAnsi"/>
          <w:b/>
          <w:sz w:val="24"/>
          <w:szCs w:val="24"/>
          <w:lang w:val="ro-MD"/>
        </w:rPr>
      </w:pPr>
      <w:r w:rsidRPr="009E5B39">
        <w:rPr>
          <w:rFonts w:asciiTheme="majorHAnsi" w:eastAsia="Times New Roman" w:hAnsiTheme="majorHAnsi" w:cstheme="majorHAnsi"/>
          <w:b/>
          <w:sz w:val="24"/>
          <w:szCs w:val="24"/>
          <w:lang w:val="ro-MD"/>
        </w:rPr>
        <w:tab/>
        <w:t xml:space="preserve">DGAURF nu monitorizează corectitudinea evaluării efectuate de către companiile evaluatoare, ceea ce generează vânzarea terenurilor adiacente cu suprafețe și caracteristici similare la prețuri diferite. </w:t>
      </w:r>
      <w:r w:rsidRPr="009E5B39">
        <w:rPr>
          <w:rFonts w:asciiTheme="majorHAnsi" w:eastAsia="Times New Roman" w:hAnsiTheme="majorHAnsi" w:cstheme="majorHAnsi"/>
          <w:sz w:val="24"/>
          <w:szCs w:val="24"/>
          <w:lang w:val="ro-MD"/>
        </w:rPr>
        <w:t>Ca exemplu:</w:t>
      </w:r>
      <w:r w:rsidRPr="009E5B39">
        <w:rPr>
          <w:rFonts w:asciiTheme="majorHAnsi" w:eastAsia="Times New Roman" w:hAnsiTheme="majorHAnsi" w:cstheme="majorHAnsi"/>
          <w:b/>
          <w:sz w:val="24"/>
          <w:szCs w:val="24"/>
          <w:lang w:val="ro-MD"/>
        </w:rPr>
        <w:t xml:space="preserve">   </w:t>
      </w:r>
    </w:p>
    <w:p w14:paraId="01A1A0EE" w14:textId="6602AB9F" w:rsidR="00756E07" w:rsidRPr="009E5B39" w:rsidRDefault="00756E07" w:rsidP="007D05AE">
      <w:pPr>
        <w:numPr>
          <w:ilvl w:val="0"/>
          <w:numId w:val="107"/>
        </w:numPr>
        <w:spacing w:after="0" w:line="276" w:lineRule="auto"/>
        <w:ind w:left="0" w:firstLine="0"/>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Terenul cu nr. cadastral </w:t>
      </w:r>
      <w:r w:rsidRPr="009E5B39">
        <w:rPr>
          <w:rFonts w:asciiTheme="majorHAnsi" w:eastAsia="Times New Roman" w:hAnsiTheme="majorHAnsi" w:cstheme="majorHAnsi"/>
          <w:sz w:val="24"/>
          <w:szCs w:val="24"/>
          <w:lang w:val="ro-MD"/>
        </w:rPr>
        <w:t>0100207048</w:t>
      </w:r>
      <w:r w:rsidR="009F7C70"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w:t>
      </w:r>
      <w:r w:rsidRPr="009E5B39">
        <w:rPr>
          <w:rFonts w:asciiTheme="majorHAnsi" w:hAnsiTheme="majorHAnsi" w:cstheme="majorHAnsi"/>
          <w:sz w:val="24"/>
          <w:szCs w:val="24"/>
          <w:lang w:val="ro-MD"/>
        </w:rPr>
        <w:t>cu suprafața de</w:t>
      </w:r>
      <w:r w:rsidRPr="009E5B39">
        <w:rPr>
          <w:rFonts w:asciiTheme="majorHAnsi" w:eastAsia="Times New Roman" w:hAnsiTheme="majorHAnsi" w:cstheme="majorHAnsi"/>
          <w:sz w:val="24"/>
          <w:szCs w:val="24"/>
          <w:lang w:val="ro-MD"/>
        </w:rPr>
        <w:t xml:space="preserve"> 0,1820 ha</w:t>
      </w:r>
      <w:r w:rsidR="009F7C70"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din sec</w:t>
      </w:r>
      <w:r w:rsidR="009F7C70" w:rsidRPr="009E5B39">
        <w:rPr>
          <w:rFonts w:asciiTheme="majorHAnsi" w:eastAsia="Times New Roman" w:hAnsiTheme="majorHAnsi" w:cstheme="majorHAnsi"/>
          <w:sz w:val="24"/>
          <w:szCs w:val="24"/>
          <w:lang w:val="ro-MD"/>
        </w:rPr>
        <w:t>t</w:t>
      </w:r>
      <w:r w:rsidRPr="009E5B39">
        <w:rPr>
          <w:rFonts w:asciiTheme="majorHAnsi" w:eastAsia="Times New Roman" w:hAnsiTheme="majorHAnsi" w:cstheme="majorHAnsi"/>
          <w:sz w:val="24"/>
          <w:szCs w:val="24"/>
          <w:lang w:val="ro-MD"/>
        </w:rPr>
        <w:t>. Centru, str. C</w:t>
      </w:r>
      <w:r w:rsidR="009F7C70"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Negruzzi 2 (în fața Hotelului </w:t>
      </w:r>
      <w:r w:rsidR="009F7C70"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Cosmos</w:t>
      </w:r>
      <w:r w:rsidR="009F7C70"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w:t>
      </w:r>
      <w:r w:rsidRPr="009E5B39">
        <w:rPr>
          <w:rFonts w:asciiTheme="majorHAnsi" w:hAnsiTheme="majorHAnsi" w:cstheme="majorHAnsi"/>
          <w:sz w:val="24"/>
          <w:szCs w:val="24"/>
          <w:lang w:val="ro-MD"/>
        </w:rPr>
        <w:t xml:space="preserve"> evaluat în baza raportului de evaluare</w:t>
      </w:r>
      <w:r w:rsidRPr="009E5B39">
        <w:rPr>
          <w:rFonts w:asciiTheme="majorHAnsi" w:eastAsia="Times New Roman" w:hAnsiTheme="majorHAnsi" w:cstheme="majorHAnsi"/>
          <w:sz w:val="24"/>
          <w:szCs w:val="24"/>
          <w:lang w:val="ro-MD"/>
        </w:rPr>
        <w:t xml:space="preserve"> efectuat de SRL „Lvovschi Co” la preț</w:t>
      </w:r>
      <w:r w:rsidR="009F7C70" w:rsidRPr="009E5B39">
        <w:rPr>
          <w:rFonts w:asciiTheme="majorHAnsi" w:eastAsia="Times New Roman" w:hAnsiTheme="majorHAnsi" w:cstheme="majorHAnsi"/>
          <w:sz w:val="24"/>
          <w:szCs w:val="24"/>
          <w:lang w:val="ro-MD"/>
        </w:rPr>
        <w:t>ul</w:t>
      </w:r>
      <w:r w:rsidRPr="009E5B39">
        <w:rPr>
          <w:rFonts w:asciiTheme="majorHAnsi" w:eastAsia="Times New Roman" w:hAnsiTheme="majorHAnsi" w:cstheme="majorHAnsi"/>
          <w:sz w:val="24"/>
          <w:szCs w:val="24"/>
          <w:lang w:val="ro-MD"/>
        </w:rPr>
        <w:t xml:space="preserve"> de piață în sumă de doar </w:t>
      </w:r>
      <w:r w:rsidRPr="009E5B39">
        <w:rPr>
          <w:rFonts w:asciiTheme="majorHAnsi" w:eastAsia="Times New Roman" w:hAnsiTheme="majorHAnsi" w:cstheme="majorHAnsi"/>
          <w:b/>
          <w:sz w:val="24"/>
          <w:szCs w:val="24"/>
          <w:lang w:val="ro-MD"/>
        </w:rPr>
        <w:t>5,89 mil</w:t>
      </w:r>
      <w:r w:rsidR="009F7C70" w:rsidRPr="009E5B39">
        <w:rPr>
          <w:rFonts w:asciiTheme="majorHAnsi" w:eastAsia="Times New Roman" w:hAnsiTheme="majorHAnsi" w:cstheme="majorHAnsi"/>
          <w:b/>
          <w:sz w:val="24"/>
          <w:szCs w:val="24"/>
          <w:lang w:val="ro-MD"/>
        </w:rPr>
        <w:t>.</w:t>
      </w:r>
      <w:r w:rsidRPr="009E5B39">
        <w:rPr>
          <w:rFonts w:asciiTheme="majorHAnsi" w:eastAsia="Times New Roman" w:hAnsiTheme="majorHAnsi" w:cstheme="majorHAnsi"/>
          <w:b/>
          <w:sz w:val="24"/>
          <w:szCs w:val="24"/>
          <w:lang w:val="ro-MD"/>
        </w:rPr>
        <w:t xml:space="preserve"> lei</w:t>
      </w:r>
      <w:r w:rsidRPr="009E5B39">
        <w:rPr>
          <w:rFonts w:asciiTheme="majorHAnsi" w:eastAsia="Times New Roman" w:hAnsiTheme="majorHAnsi" w:cstheme="majorHAnsi"/>
          <w:sz w:val="24"/>
          <w:szCs w:val="24"/>
          <w:lang w:val="ro-MD"/>
        </w:rPr>
        <w:t xml:space="preserve"> pentru 1 ha;</w:t>
      </w:r>
    </w:p>
    <w:p w14:paraId="30A779E4" w14:textId="1A7E1F78" w:rsidR="00756E07" w:rsidRPr="009E5B39" w:rsidRDefault="00756E07" w:rsidP="007D05AE">
      <w:pPr>
        <w:numPr>
          <w:ilvl w:val="0"/>
          <w:numId w:val="107"/>
        </w:numPr>
        <w:spacing w:after="0" w:line="276" w:lineRule="auto"/>
        <w:ind w:left="0" w:firstLine="0"/>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Terenul cu nr. cadastral 0100413.224</w:t>
      </w:r>
      <w:r w:rsidR="009F7C7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suprafața de 0,0651 ha</w:t>
      </w:r>
      <w:r w:rsidR="009F7C7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din sec</w:t>
      </w:r>
      <w:r w:rsidR="009F7C70" w:rsidRPr="009E5B39">
        <w:rPr>
          <w:rFonts w:asciiTheme="majorHAnsi" w:hAnsiTheme="majorHAnsi" w:cstheme="majorHAnsi"/>
          <w:sz w:val="24"/>
          <w:szCs w:val="24"/>
          <w:lang w:val="ro-MD"/>
        </w:rPr>
        <w:t>t</w:t>
      </w:r>
      <w:r w:rsidRPr="009E5B39">
        <w:rPr>
          <w:rFonts w:asciiTheme="majorHAnsi" w:hAnsiTheme="majorHAnsi" w:cstheme="majorHAnsi"/>
          <w:sz w:val="24"/>
          <w:szCs w:val="24"/>
          <w:lang w:val="ro-MD"/>
        </w:rPr>
        <w:t>. Rîșcani, str. Matei Basarab, 1/3, evaluat în baza raportului de evaluare nr.59/13 din 13.02.2018</w:t>
      </w:r>
      <w:r w:rsidR="009F7C7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executat de SC Univers Imobil la prețul de piață în valoare de </w:t>
      </w:r>
      <w:r w:rsidRPr="009E5B39">
        <w:rPr>
          <w:rFonts w:asciiTheme="majorHAnsi" w:hAnsiTheme="majorHAnsi" w:cstheme="majorHAnsi"/>
          <w:b/>
          <w:sz w:val="24"/>
          <w:szCs w:val="24"/>
          <w:lang w:val="ro-MD"/>
        </w:rPr>
        <w:t>11,85</w:t>
      </w:r>
      <w:r w:rsidRPr="009E5B39">
        <w:rPr>
          <w:rFonts w:asciiTheme="majorHAnsi" w:hAnsiTheme="majorHAnsi" w:cstheme="majorHAnsi"/>
          <w:sz w:val="24"/>
          <w:szCs w:val="24"/>
          <w:lang w:val="ro-MD"/>
        </w:rPr>
        <w:t xml:space="preserve"> mil</w:t>
      </w:r>
      <w:r w:rsidR="009F7C7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pentru 1 ha;</w:t>
      </w:r>
    </w:p>
    <w:p w14:paraId="23FBF8D9" w14:textId="5C1A88B9" w:rsidR="00756E07" w:rsidRPr="009E5B39" w:rsidRDefault="00756E07" w:rsidP="007D05AE">
      <w:pPr>
        <w:numPr>
          <w:ilvl w:val="0"/>
          <w:numId w:val="107"/>
        </w:numPr>
        <w:spacing w:after="0" w:line="276" w:lineRule="auto"/>
        <w:ind w:left="0" w:firstLine="0"/>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Terenul cu nr. cadastral 0100413.383</w:t>
      </w:r>
      <w:r w:rsidR="009F7C7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suprafața de 0,0650 ha</w:t>
      </w:r>
      <w:r w:rsidR="009F7C7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din sec</w:t>
      </w:r>
      <w:r w:rsidR="00F0219B" w:rsidRPr="009E5B39">
        <w:rPr>
          <w:rFonts w:asciiTheme="majorHAnsi" w:hAnsiTheme="majorHAnsi" w:cstheme="majorHAnsi"/>
          <w:sz w:val="24"/>
          <w:szCs w:val="24"/>
          <w:lang w:val="ro-MD"/>
        </w:rPr>
        <w:t>t</w:t>
      </w:r>
      <w:r w:rsidRPr="009E5B39">
        <w:rPr>
          <w:rFonts w:asciiTheme="majorHAnsi" w:hAnsiTheme="majorHAnsi" w:cstheme="majorHAnsi"/>
          <w:sz w:val="24"/>
          <w:szCs w:val="24"/>
          <w:lang w:val="ro-MD"/>
        </w:rPr>
        <w:t>. Rîșcani, bd. Moscova, 9/5, evaluat în baza raportului de evaluare nr.072/12/2018</w:t>
      </w:r>
      <w:r w:rsidR="009F7C7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executat de SRL </w:t>
      </w:r>
      <w:r w:rsidR="00F104A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Soclu</w:t>
      </w:r>
      <w:r w:rsidR="00F104A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la prețul de piață în valoare de </w:t>
      </w:r>
      <w:r w:rsidRPr="009E5B39">
        <w:rPr>
          <w:rFonts w:asciiTheme="majorHAnsi" w:hAnsiTheme="majorHAnsi" w:cstheme="majorHAnsi"/>
          <w:b/>
          <w:sz w:val="24"/>
          <w:szCs w:val="24"/>
          <w:lang w:val="ro-MD"/>
        </w:rPr>
        <w:t>17,89</w:t>
      </w:r>
      <w:r w:rsidRPr="009E5B39">
        <w:rPr>
          <w:rFonts w:asciiTheme="majorHAnsi" w:hAnsiTheme="majorHAnsi" w:cstheme="majorHAnsi"/>
          <w:sz w:val="24"/>
          <w:szCs w:val="24"/>
          <w:lang w:val="ro-MD"/>
        </w:rPr>
        <w:t xml:space="preserve"> mil</w:t>
      </w:r>
      <w:r w:rsidR="00F104A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pentru 1 ha;</w:t>
      </w:r>
    </w:p>
    <w:p w14:paraId="148653B8" w14:textId="7652DCF2" w:rsidR="00756E07" w:rsidRPr="009E5B39" w:rsidRDefault="00756E07" w:rsidP="007D05AE">
      <w:pPr>
        <w:numPr>
          <w:ilvl w:val="0"/>
          <w:numId w:val="107"/>
        </w:numPr>
        <w:spacing w:after="0" w:line="276" w:lineRule="auto"/>
        <w:ind w:left="0" w:firstLine="0"/>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Terenul cu nr. cadastral 0100305.497</w:t>
      </w:r>
      <w:r w:rsidR="00F104A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suprafața de 0,0613 ha</w:t>
      </w:r>
      <w:r w:rsidR="00F104A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situat în mun. Chișinău, sec</w:t>
      </w:r>
      <w:r w:rsidR="00F104AC" w:rsidRPr="009E5B39">
        <w:rPr>
          <w:rFonts w:asciiTheme="majorHAnsi" w:hAnsiTheme="majorHAnsi" w:cstheme="majorHAnsi"/>
          <w:sz w:val="24"/>
          <w:szCs w:val="24"/>
          <w:lang w:val="ro-MD"/>
        </w:rPr>
        <w:t>t</w:t>
      </w:r>
      <w:r w:rsidRPr="009E5B39">
        <w:rPr>
          <w:rFonts w:asciiTheme="majorHAnsi" w:hAnsiTheme="majorHAnsi" w:cstheme="majorHAnsi"/>
          <w:sz w:val="24"/>
          <w:szCs w:val="24"/>
          <w:lang w:val="ro-MD"/>
        </w:rPr>
        <w:t>. Ciocana, str. Maria Dr</w:t>
      </w:r>
      <w:r w:rsidR="00F104AC"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gan, 28/3, evaluat în baza raportului de evaluare nr.225 din 10.01.2017</w:t>
      </w:r>
      <w:r w:rsidR="00F104A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executat de SRL Vlasercom la prețul de piață în valoare de </w:t>
      </w:r>
      <w:r w:rsidRPr="009E5B39">
        <w:rPr>
          <w:rFonts w:asciiTheme="majorHAnsi" w:hAnsiTheme="majorHAnsi" w:cstheme="majorHAnsi"/>
          <w:b/>
          <w:sz w:val="24"/>
          <w:szCs w:val="24"/>
          <w:lang w:val="ro-MD"/>
        </w:rPr>
        <w:t>18,28</w:t>
      </w:r>
      <w:r w:rsidRPr="009E5B39">
        <w:rPr>
          <w:rFonts w:asciiTheme="majorHAnsi" w:hAnsiTheme="majorHAnsi" w:cstheme="majorHAnsi"/>
          <w:sz w:val="24"/>
          <w:szCs w:val="24"/>
          <w:lang w:val="ro-MD"/>
        </w:rPr>
        <w:t xml:space="preserve"> mil</w:t>
      </w:r>
      <w:r w:rsidR="00F104A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pentru 1 ha.</w:t>
      </w:r>
    </w:p>
    <w:p w14:paraId="66B7C65E" w14:textId="00FBF714" w:rsidR="00756E07" w:rsidRPr="009E5B39" w:rsidRDefault="007D05AE" w:rsidP="007D05AE">
      <w:pPr>
        <w:pStyle w:val="ListParagraph"/>
        <w:numPr>
          <w:ilvl w:val="0"/>
          <w:numId w:val="92"/>
        </w:numPr>
        <w:spacing w:after="0" w:line="276" w:lineRule="auto"/>
        <w:ind w:left="0" w:firstLine="0"/>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b/>
          <w:i/>
          <w:sz w:val="24"/>
          <w:szCs w:val="24"/>
          <w:lang w:val="ro-MD"/>
        </w:rPr>
        <w:t xml:space="preserve">O </w:t>
      </w:r>
      <w:r w:rsidR="00756E07" w:rsidRPr="009E5B39">
        <w:rPr>
          <w:rFonts w:asciiTheme="majorHAnsi" w:eastAsia="Times New Roman" w:hAnsiTheme="majorHAnsi" w:cstheme="majorHAnsi"/>
          <w:b/>
          <w:i/>
          <w:sz w:val="24"/>
          <w:szCs w:val="24"/>
          <w:lang w:val="ro-MD"/>
        </w:rPr>
        <w:t xml:space="preserve">altă iregularitate stabilită </w:t>
      </w:r>
      <w:r w:rsidR="00F104AC" w:rsidRPr="009E5B39">
        <w:rPr>
          <w:rFonts w:asciiTheme="majorHAnsi" w:eastAsia="Times New Roman" w:hAnsiTheme="majorHAnsi" w:cstheme="majorHAnsi"/>
          <w:b/>
          <w:i/>
          <w:sz w:val="24"/>
          <w:szCs w:val="24"/>
          <w:lang w:val="ro-MD"/>
        </w:rPr>
        <w:t>de</w:t>
      </w:r>
      <w:r w:rsidR="00756E07" w:rsidRPr="009E5B39">
        <w:rPr>
          <w:rFonts w:asciiTheme="majorHAnsi" w:eastAsia="Times New Roman" w:hAnsiTheme="majorHAnsi" w:cstheme="majorHAnsi"/>
          <w:b/>
          <w:i/>
          <w:sz w:val="24"/>
          <w:szCs w:val="24"/>
          <w:lang w:val="ro-MD"/>
        </w:rPr>
        <w:t xml:space="preserve"> auditurile anterioare și care persistă până în prezent este </w:t>
      </w:r>
      <w:r w:rsidR="00756E07" w:rsidRPr="009E5B39">
        <w:rPr>
          <w:rFonts w:asciiTheme="majorHAnsi" w:hAnsiTheme="majorHAnsi" w:cstheme="majorHAnsi"/>
          <w:b/>
          <w:i/>
          <w:sz w:val="24"/>
          <w:szCs w:val="24"/>
          <w:lang w:val="ro-MD"/>
        </w:rPr>
        <w:t>aplicarea neconformă de către AAPL a prevederilor Legii nr.1308 din 25.07.1997 cu referire la terenurile aferente caselor de locuit</w:t>
      </w:r>
      <w:r w:rsidR="00623E24" w:rsidRPr="009E5B39">
        <w:rPr>
          <w:rFonts w:asciiTheme="majorHAnsi" w:hAnsiTheme="majorHAnsi" w:cstheme="majorHAnsi"/>
          <w:b/>
          <w:i/>
          <w:sz w:val="24"/>
          <w:szCs w:val="24"/>
          <w:lang w:val="ro-MD"/>
        </w:rPr>
        <w:t>, aflate în folosință la 01.01.1992</w:t>
      </w:r>
      <w:r w:rsidR="00756E07" w:rsidRPr="009E5B39">
        <w:rPr>
          <w:rFonts w:asciiTheme="majorHAnsi" w:hAnsiTheme="majorHAnsi" w:cstheme="majorHAnsi"/>
          <w:b/>
          <w:i/>
          <w:sz w:val="24"/>
          <w:szCs w:val="24"/>
          <w:lang w:val="ro-MD"/>
        </w:rPr>
        <w:t>.</w:t>
      </w:r>
    </w:p>
    <w:p w14:paraId="3341FDDF" w14:textId="0351F38E" w:rsidR="00756E07" w:rsidRPr="009E5B39" w:rsidRDefault="00756E07" w:rsidP="007D05AE">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Astfel, potrivit prevederilor art.4 din Legea nr.1308 din 25.07.1997</w:t>
      </w:r>
      <w:r w:rsidR="00F104A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„Terenul de pe lângă casă atribuit în folosință temporară și terenul cu care lotul de pământ de pe lângă casă depășește norma prevăzută de legislație se vând la prețul normativ conform tarifului indicat la poziția I din Anexa la lege sau se dau în arendă persoanelor în a căror folosință se află. În cazul în care, după parametri și amplasare, pot fi formate ca bunuri imobile de sine stătătoare, terenurile menționate se transmit în proprietate persoanelor în drept, ori se înstrăinează în alt mod conform legislației”. Și art.8 alin.(4) din Legea menționată prevede că „nu sunt supuse vânzării-cumpărării loturile de pământ de pe lângă casă aflate în folosința temporară a cetățenilor, precum și terenurile a căror suprafață depășește norma prevăzută de legislație. Terenurile menționate se vând conform art.4”. Astfel, doar pentru aceste terenuri poate fi aplicat prețul normativ al terenurilor cu destinație agricolă, al loturilor de pământ de pe lângă casă și al loturilor pomicole, specificat în poziția I din Anexa la Legea nr.1308 din 04.09.1997 (621,05 lei), precum și pct.4 din Nota la aceeași Anexă</w:t>
      </w:r>
      <w:r w:rsidRPr="009E5B39">
        <w:rPr>
          <w:rFonts w:asciiTheme="majorHAnsi" w:hAnsiTheme="majorHAnsi" w:cstheme="majorHAnsi"/>
          <w:sz w:val="24"/>
          <w:szCs w:val="24"/>
          <w:vertAlign w:val="superscript"/>
          <w:lang w:val="ro-MD"/>
        </w:rPr>
        <w:footnoteReference w:id="186"/>
      </w:r>
      <w:r w:rsidRPr="009E5B39">
        <w:rPr>
          <w:rFonts w:asciiTheme="majorHAnsi" w:hAnsiTheme="majorHAnsi" w:cstheme="majorHAnsi"/>
          <w:sz w:val="24"/>
          <w:szCs w:val="24"/>
          <w:lang w:val="ro-MD"/>
        </w:rPr>
        <w:t>, iar terenurile primite în folosință pentru construcția caselor particulare p</w:t>
      </w:r>
      <w:r w:rsidR="00F104AC" w:rsidRPr="009E5B39">
        <w:rPr>
          <w:rFonts w:asciiTheme="majorHAnsi" w:hAnsiTheme="majorHAnsi" w:cstheme="majorHAnsi"/>
          <w:sz w:val="24"/>
          <w:szCs w:val="24"/>
          <w:lang w:val="ro-MD"/>
        </w:rPr>
        <w:t>â</w:t>
      </w:r>
      <w:r w:rsidRPr="009E5B39">
        <w:rPr>
          <w:rFonts w:asciiTheme="majorHAnsi" w:hAnsiTheme="majorHAnsi" w:cstheme="majorHAnsi"/>
          <w:sz w:val="24"/>
          <w:szCs w:val="24"/>
          <w:lang w:val="ro-MD"/>
        </w:rPr>
        <w:t>nă la 01.01.1992 trebuiau trecute în proprietatea persoanelor</w:t>
      </w:r>
      <w:r w:rsidR="00623E2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limitele atribuite</w:t>
      </w:r>
      <w:r w:rsidR="00623E2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conform prevederilor art.11 din Codul </w:t>
      </w:r>
      <w:r w:rsidR="00F104AC" w:rsidRPr="009E5B39">
        <w:rPr>
          <w:rFonts w:asciiTheme="majorHAnsi" w:hAnsiTheme="majorHAnsi" w:cstheme="majorHAnsi"/>
          <w:sz w:val="24"/>
          <w:szCs w:val="24"/>
          <w:lang w:val="ro-MD"/>
        </w:rPr>
        <w:t>f</w:t>
      </w:r>
      <w:r w:rsidRPr="009E5B39">
        <w:rPr>
          <w:rFonts w:asciiTheme="majorHAnsi" w:hAnsiTheme="majorHAnsi" w:cstheme="majorHAnsi"/>
          <w:sz w:val="24"/>
          <w:szCs w:val="24"/>
          <w:lang w:val="ro-MD"/>
        </w:rPr>
        <w:t xml:space="preserve">unciar, fără plată. </w:t>
      </w:r>
    </w:p>
    <w:p w14:paraId="7817A916" w14:textId="79F94D26" w:rsidR="007D05AE" w:rsidRPr="009E5B39" w:rsidRDefault="00756E07" w:rsidP="007D05AE">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În cadrul prezentului audit au fost analizate 6 dosare de vânzare-cumpărare a terenurilor municipale aferente caselor de locuit particulare, privatizate în baza deciziilor CMC. Aceste terenuri au fost evaluate de către DGAURF la preț normativ conform Legii nr. 1308 din 25.07.1997. Auditul a constatat că în dosarele menționate lipsesc contractele de dare în folosință a terenurilor pe termen nelimitat sau documentele de atribuire a terenurilor pentru construcția și exploatarea caselor de locuit, precum și documentele de proprietate asupra caselor de locuit, ceea ce nu permite de a determina conformitatea aplicării prevederilor cadrului normativ la privatizarea terenurilor, și anume: 1) transmiterea gratuită a terenurilor conform art. 11 din Codul </w:t>
      </w:r>
      <w:r w:rsidR="00F104AC" w:rsidRPr="009E5B39">
        <w:rPr>
          <w:rFonts w:asciiTheme="majorHAnsi" w:hAnsiTheme="majorHAnsi" w:cstheme="majorHAnsi"/>
          <w:sz w:val="24"/>
          <w:szCs w:val="24"/>
          <w:lang w:val="ro-MD"/>
        </w:rPr>
        <w:t>f</w:t>
      </w:r>
      <w:r w:rsidRPr="009E5B39">
        <w:rPr>
          <w:rFonts w:asciiTheme="majorHAnsi" w:hAnsiTheme="majorHAnsi" w:cstheme="majorHAnsi"/>
          <w:sz w:val="24"/>
          <w:szCs w:val="24"/>
          <w:lang w:val="ro-MD"/>
        </w:rPr>
        <w:t>unciar; 2) Privatizarea terenurilor la preț</w:t>
      </w:r>
      <w:r w:rsidR="00F104AC" w:rsidRPr="009E5B39">
        <w:rPr>
          <w:rFonts w:asciiTheme="majorHAnsi" w:hAnsiTheme="majorHAnsi" w:cstheme="majorHAnsi"/>
          <w:sz w:val="24"/>
          <w:szCs w:val="24"/>
          <w:lang w:val="ro-MD"/>
        </w:rPr>
        <w:t>ul</w:t>
      </w:r>
      <w:r w:rsidRPr="009E5B39">
        <w:rPr>
          <w:rFonts w:asciiTheme="majorHAnsi" w:hAnsiTheme="majorHAnsi" w:cstheme="majorHAnsi"/>
          <w:sz w:val="24"/>
          <w:szCs w:val="24"/>
          <w:lang w:val="ro-MD"/>
        </w:rPr>
        <w:t xml:space="preserve"> normativ de 621,05 lei și cu aplicarea coeficientului de diminuare 0,3; 3) Privatizarea la preț de piață a terenului prin expunerea la licitație.</w:t>
      </w:r>
    </w:p>
    <w:p w14:paraId="765185D9" w14:textId="5AF17012" w:rsidR="00756E07" w:rsidRPr="009E5B39" w:rsidRDefault="00756E07" w:rsidP="007D05AE">
      <w:pPr>
        <w:pStyle w:val="ListParagraph"/>
        <w:numPr>
          <w:ilvl w:val="0"/>
          <w:numId w:val="92"/>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b/>
          <w:bCs/>
          <w:i/>
          <w:iCs/>
          <w:sz w:val="24"/>
          <w:szCs w:val="24"/>
          <w:lang w:val="ro-MD"/>
        </w:rPr>
        <w:t>APL și organele cadastrale nu au întreprins măsurile necesare pentru urgentarea procesului de împroprietărire, reglementat prin HG nr.984 din 21.09.1998.</w:t>
      </w:r>
    </w:p>
    <w:p w14:paraId="3088C5DA" w14:textId="6F6472CC" w:rsidR="00756E07" w:rsidRPr="009E5B39" w:rsidRDefault="00756E07" w:rsidP="00756E07">
      <w:pPr>
        <w:spacing w:after="0" w:line="276" w:lineRule="auto"/>
        <w:ind w:firstLine="709"/>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Deși Curtea de Conturi a menționat în mai multe rapoarte anterioare</w:t>
      </w:r>
      <w:r w:rsidRPr="009E5B39">
        <w:rPr>
          <w:rFonts w:asciiTheme="majorHAnsi" w:eastAsia="Times New Roman" w:hAnsiTheme="majorHAnsi" w:cstheme="majorHAnsi"/>
          <w:sz w:val="24"/>
          <w:szCs w:val="24"/>
          <w:vertAlign w:val="superscript"/>
          <w:lang w:val="ro-MD"/>
        </w:rPr>
        <w:footnoteReference w:id="187"/>
      </w:r>
      <w:r w:rsidRPr="009E5B39">
        <w:rPr>
          <w:rFonts w:asciiTheme="majorHAnsi" w:eastAsia="Times New Roman" w:hAnsiTheme="majorHAnsi" w:cstheme="majorHAnsi"/>
          <w:sz w:val="24"/>
          <w:szCs w:val="24"/>
          <w:lang w:val="ro-MD"/>
        </w:rPr>
        <w:t xml:space="preserve"> despre faptul că, prin neînregistrarea dreptului de proprietate privată asupra terenurilor aferente caselor particulare, obținut până în </w:t>
      </w:r>
      <w:r w:rsidR="001D44BF" w:rsidRPr="009E5B39">
        <w:rPr>
          <w:rFonts w:asciiTheme="majorHAnsi" w:eastAsia="Times New Roman" w:hAnsiTheme="majorHAnsi" w:cstheme="majorHAnsi"/>
          <w:sz w:val="24"/>
          <w:szCs w:val="24"/>
          <w:lang w:val="ro-MD"/>
        </w:rPr>
        <w:t xml:space="preserve">anul </w:t>
      </w:r>
      <w:r w:rsidRPr="009E5B39">
        <w:rPr>
          <w:rFonts w:asciiTheme="majorHAnsi" w:eastAsia="Times New Roman" w:hAnsiTheme="majorHAnsi" w:cstheme="majorHAnsi"/>
          <w:sz w:val="24"/>
          <w:szCs w:val="24"/>
          <w:lang w:val="ro-MD"/>
        </w:rPr>
        <w:t>1992, Primăria mun. Chișinău a încălcat prevederile art.6</w:t>
      </w:r>
      <w:r w:rsidRPr="009E5B39">
        <w:rPr>
          <w:rFonts w:asciiTheme="majorHAnsi" w:eastAsia="Times New Roman" w:hAnsiTheme="majorHAnsi" w:cstheme="majorHAnsi"/>
          <w:sz w:val="24"/>
          <w:szCs w:val="24"/>
          <w:vertAlign w:val="superscript"/>
          <w:lang w:val="ro-MD"/>
        </w:rPr>
        <w:t>1</w:t>
      </w:r>
      <w:r w:rsidRPr="009E5B39">
        <w:rPr>
          <w:rFonts w:asciiTheme="majorHAnsi" w:eastAsia="Times New Roman" w:hAnsiTheme="majorHAnsi" w:cstheme="majorHAnsi"/>
          <w:sz w:val="24"/>
          <w:szCs w:val="24"/>
          <w:lang w:val="ro-MD"/>
        </w:rPr>
        <w:t xml:space="preserve"> din Codul funciar</w:t>
      </w:r>
      <w:r w:rsidR="001E706B" w:rsidRPr="009E5B39">
        <w:rPr>
          <w:rFonts w:asciiTheme="majorHAnsi" w:eastAsia="Times New Roman" w:hAnsiTheme="majorHAnsi" w:cstheme="majorHAnsi"/>
          <w:sz w:val="24"/>
          <w:szCs w:val="24"/>
          <w:lang w:val="ro-MD"/>
        </w:rPr>
        <w:t>, cerându-se</w:t>
      </w:r>
      <w:r w:rsidRPr="009E5B39">
        <w:rPr>
          <w:rFonts w:asciiTheme="majorHAnsi" w:eastAsia="Times New Roman" w:hAnsiTheme="majorHAnsi" w:cstheme="majorHAnsi"/>
          <w:sz w:val="24"/>
          <w:szCs w:val="24"/>
          <w:lang w:val="ro-MD"/>
        </w:rPr>
        <w:t xml:space="preserve"> de la CMC reexaminarea deciziilor de înregistrare ca proprietate municipală a terenurilor aferente caselor particulare la 1912 deținători, cu înregistrarea lor condiționată conform prevederilor Codului funciar, această situație până în prezent </w:t>
      </w:r>
      <w:r w:rsidR="001E706B" w:rsidRPr="009E5B39">
        <w:rPr>
          <w:rFonts w:asciiTheme="majorHAnsi" w:eastAsia="Times New Roman" w:hAnsiTheme="majorHAnsi" w:cstheme="majorHAnsi"/>
          <w:sz w:val="24"/>
          <w:szCs w:val="24"/>
          <w:lang w:val="ro-MD"/>
        </w:rPr>
        <w:t xml:space="preserve">nu este remediată. </w:t>
      </w:r>
      <w:r w:rsidRPr="009E5B39">
        <w:rPr>
          <w:rFonts w:asciiTheme="majorHAnsi" w:eastAsia="Times New Roman" w:hAnsiTheme="majorHAnsi" w:cstheme="majorHAnsi"/>
          <w:sz w:val="24"/>
          <w:szCs w:val="24"/>
          <w:lang w:val="ro-MD"/>
        </w:rPr>
        <w:t>De menționat că în RBI</w:t>
      </w:r>
      <w:r w:rsidR="001E706B"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la data de 01.01.2017</w:t>
      </w:r>
      <w:r w:rsidR="001E706B"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în mun. Chișinău (oraș) e</w:t>
      </w:r>
      <w:r w:rsidR="001E706B" w:rsidRPr="009E5B39">
        <w:rPr>
          <w:rFonts w:asciiTheme="majorHAnsi" w:eastAsia="Times New Roman" w:hAnsiTheme="majorHAnsi" w:cstheme="majorHAnsi"/>
          <w:sz w:val="24"/>
          <w:szCs w:val="24"/>
          <w:lang w:val="ro-MD"/>
        </w:rPr>
        <w:t>rau</w:t>
      </w:r>
      <w:r w:rsidRPr="009E5B39">
        <w:rPr>
          <w:rFonts w:asciiTheme="majorHAnsi" w:eastAsia="Times New Roman" w:hAnsiTheme="majorHAnsi" w:cstheme="majorHAnsi"/>
          <w:sz w:val="24"/>
          <w:szCs w:val="24"/>
          <w:lang w:val="ro-MD"/>
        </w:rPr>
        <w:t xml:space="preserve"> înregistrate circa 5200 de terenuri cu suprafața de 546,13 ha proprietate publică locală sau de stat aferente caselor de locuit particulare, cu valoare</w:t>
      </w:r>
      <w:r w:rsidR="001E706B" w:rsidRPr="009E5B39">
        <w:rPr>
          <w:rFonts w:asciiTheme="majorHAnsi" w:eastAsia="Times New Roman" w:hAnsiTheme="majorHAnsi" w:cstheme="majorHAnsi"/>
          <w:sz w:val="24"/>
          <w:szCs w:val="24"/>
          <w:lang w:val="ro-MD"/>
        </w:rPr>
        <w:t>a</w:t>
      </w:r>
      <w:r w:rsidRPr="009E5B39">
        <w:rPr>
          <w:rFonts w:asciiTheme="majorHAnsi" w:eastAsia="Times New Roman" w:hAnsiTheme="majorHAnsi" w:cstheme="majorHAnsi"/>
          <w:sz w:val="24"/>
          <w:szCs w:val="24"/>
          <w:lang w:val="ro-MD"/>
        </w:rPr>
        <w:t xml:space="preserve"> estimată de 2594,4 mil.lei</w:t>
      </w:r>
    </w:p>
    <w:p w14:paraId="47F29F2E" w14:textId="126BBC2B" w:rsidR="001D44BF" w:rsidRPr="009E5B39" w:rsidRDefault="001D44BF" w:rsidP="001D44BF">
      <w:pPr>
        <w:pStyle w:val="ListParagraph"/>
        <w:numPr>
          <w:ilvl w:val="0"/>
          <w:numId w:val="92"/>
        </w:numPr>
        <w:spacing w:after="0" w:line="276" w:lineRule="auto"/>
        <w:ind w:left="0" w:firstLine="0"/>
        <w:jc w:val="both"/>
        <w:rPr>
          <w:rFonts w:asciiTheme="majorHAnsi" w:hAnsiTheme="majorHAnsi" w:cstheme="majorHAnsi"/>
          <w:b/>
          <w:sz w:val="24"/>
          <w:szCs w:val="24"/>
          <w:lang w:val="ro-MD"/>
        </w:rPr>
      </w:pPr>
      <w:r w:rsidRPr="009E5B39">
        <w:rPr>
          <w:rFonts w:asciiTheme="majorHAnsi" w:hAnsiTheme="majorHAnsi" w:cstheme="majorHAnsi"/>
          <w:sz w:val="24"/>
          <w:szCs w:val="24"/>
          <w:lang w:val="ro-MD"/>
        </w:rPr>
        <w:t xml:space="preserve">DGAURF nu </w:t>
      </w:r>
      <w:r w:rsidR="001E706B" w:rsidRPr="009E5B39">
        <w:rPr>
          <w:rFonts w:asciiTheme="majorHAnsi" w:hAnsiTheme="majorHAnsi" w:cstheme="majorHAnsi"/>
          <w:sz w:val="24"/>
          <w:szCs w:val="24"/>
          <w:lang w:val="ro-MD"/>
        </w:rPr>
        <w:t>țin</w:t>
      </w:r>
      <w:r w:rsidRPr="009E5B39">
        <w:rPr>
          <w:rFonts w:asciiTheme="majorHAnsi" w:hAnsiTheme="majorHAnsi" w:cstheme="majorHAnsi"/>
          <w:sz w:val="24"/>
          <w:szCs w:val="24"/>
          <w:lang w:val="ro-MD"/>
        </w:rPr>
        <w:t>e evidența solicitărilor persoanelor fizice și juridice după problema abordată (privatizarea terenurilor aferente; privatizarea terenurilor de pe lângă casele particulare; darea în arendă/superficie a terenurilor; prelungirea arendei/superficiei terenurilor etc.) și după tipul răspunsului acordat (respins/acceptat), ceea ce nu permite gestionarea riscurilor de fraudă existente în activitatea DGAURF, precum și determin</w:t>
      </w:r>
      <w:r w:rsidR="00EF0F30" w:rsidRPr="009E5B39">
        <w:rPr>
          <w:rFonts w:asciiTheme="majorHAnsi" w:hAnsiTheme="majorHAnsi" w:cstheme="majorHAnsi"/>
          <w:sz w:val="24"/>
          <w:szCs w:val="24"/>
          <w:lang w:val="ro-MD"/>
        </w:rPr>
        <w:t>area</w:t>
      </w:r>
      <w:r w:rsidRPr="009E5B39">
        <w:rPr>
          <w:rFonts w:asciiTheme="majorHAnsi" w:hAnsiTheme="majorHAnsi" w:cstheme="majorHAnsi"/>
          <w:sz w:val="24"/>
          <w:szCs w:val="24"/>
          <w:lang w:val="ro-MD"/>
        </w:rPr>
        <w:t xml:space="preserve"> conformității activității DGAURF. DGAURF a comunicat doar faptul că în anii 2018-2020 au fost aprobate 486 </w:t>
      </w:r>
      <w:r w:rsidR="00EF0F30"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 xml:space="preserve">decizii </w:t>
      </w:r>
      <w:r w:rsidR="00EF0F30" w:rsidRPr="009E5B39">
        <w:rPr>
          <w:rFonts w:asciiTheme="majorHAnsi" w:hAnsiTheme="majorHAnsi" w:cstheme="majorHAnsi"/>
          <w:sz w:val="24"/>
          <w:szCs w:val="24"/>
          <w:lang w:val="ro-MD"/>
        </w:rPr>
        <w:t xml:space="preserve">ale </w:t>
      </w:r>
      <w:r w:rsidRPr="009E5B39">
        <w:rPr>
          <w:rFonts w:asciiTheme="majorHAnsi" w:hAnsiTheme="majorHAnsi" w:cstheme="majorHAnsi"/>
          <w:sz w:val="24"/>
          <w:szCs w:val="24"/>
          <w:lang w:val="ro-MD"/>
        </w:rPr>
        <w:t>CMC</w:t>
      </w:r>
      <w:r w:rsidRPr="009E5B39">
        <w:rPr>
          <w:rStyle w:val="FootnoteReference"/>
          <w:rFonts w:asciiTheme="majorHAnsi" w:hAnsiTheme="majorHAnsi" w:cstheme="majorHAnsi"/>
          <w:sz w:val="24"/>
          <w:szCs w:val="24"/>
          <w:lang w:val="ro-MD"/>
        </w:rPr>
        <w:footnoteReference w:id="188"/>
      </w:r>
      <w:r w:rsidR="00EF0F30"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ce țin de raporturile funciare.</w:t>
      </w:r>
    </w:p>
    <w:p w14:paraId="5ECCC476" w14:textId="4A1E76A4" w:rsidR="00E37505" w:rsidRPr="009E5B39" w:rsidRDefault="00E37505" w:rsidP="00B25240">
      <w:pPr>
        <w:pStyle w:val="ListParagraph"/>
        <w:numPr>
          <w:ilvl w:val="2"/>
          <w:numId w:val="29"/>
        </w:numPr>
        <w:spacing w:after="0" w:line="276" w:lineRule="auto"/>
        <w:ind w:left="0" w:firstLine="0"/>
        <w:jc w:val="both"/>
        <w:rPr>
          <w:rFonts w:ascii="Calibri Light" w:eastAsia="Calibri" w:hAnsi="Calibri Light" w:cs="Tahoma"/>
          <w:sz w:val="24"/>
          <w:lang w:val="ro-MD"/>
        </w:rPr>
      </w:pPr>
      <w:r w:rsidRPr="009E5B39">
        <w:rPr>
          <w:rFonts w:asciiTheme="majorHAnsi" w:hAnsiTheme="majorHAnsi" w:cstheme="majorHAnsi"/>
          <w:b/>
          <w:i/>
          <w:sz w:val="24"/>
          <w:szCs w:val="24"/>
          <w:lang w:val="ro-MD"/>
        </w:rPr>
        <w:t>Ignorarea constatărilor și recomandărilor Curții de Conturi, reflectate în Rapoartele precedente de audit, de către factorii de decizie din cadrul CMC și a</w:t>
      </w:r>
      <w:r w:rsidR="00CE7161" w:rsidRPr="009E5B39">
        <w:rPr>
          <w:rFonts w:asciiTheme="majorHAnsi" w:hAnsiTheme="majorHAnsi" w:cstheme="majorHAnsi"/>
          <w:b/>
          <w:i/>
          <w:sz w:val="24"/>
          <w:szCs w:val="24"/>
          <w:lang w:val="ro-MD"/>
        </w:rPr>
        <w:t>l</w:t>
      </w:r>
      <w:r w:rsidRPr="009E5B39">
        <w:rPr>
          <w:rFonts w:asciiTheme="majorHAnsi" w:hAnsiTheme="majorHAnsi" w:cstheme="majorHAnsi"/>
          <w:b/>
          <w:i/>
          <w:sz w:val="24"/>
          <w:szCs w:val="24"/>
          <w:lang w:val="ro-MD"/>
        </w:rPr>
        <w:t xml:space="preserve"> PMC, ce țin de gestionarea patrimoniului municipal, eliberarea actelor permisive, etc. duc</w:t>
      </w:r>
      <w:r w:rsidR="00CE7161" w:rsidRPr="009E5B39">
        <w:rPr>
          <w:rFonts w:asciiTheme="majorHAnsi" w:hAnsiTheme="majorHAnsi" w:cstheme="majorHAnsi"/>
          <w:b/>
          <w:i/>
          <w:sz w:val="24"/>
          <w:szCs w:val="24"/>
          <w:lang w:val="ro-MD"/>
        </w:rPr>
        <w:t>e</w:t>
      </w:r>
      <w:r w:rsidRPr="009E5B39">
        <w:rPr>
          <w:rFonts w:asciiTheme="majorHAnsi" w:hAnsiTheme="majorHAnsi" w:cstheme="majorHAnsi"/>
          <w:b/>
          <w:i/>
          <w:sz w:val="24"/>
          <w:szCs w:val="24"/>
          <w:lang w:val="ro-MD"/>
        </w:rPr>
        <w:t xml:space="preserve"> la pierderea proprietății publice și </w:t>
      </w:r>
      <w:r w:rsidR="00CE7161" w:rsidRPr="009E5B39">
        <w:rPr>
          <w:rFonts w:asciiTheme="majorHAnsi" w:hAnsiTheme="majorHAnsi" w:cstheme="majorHAnsi"/>
          <w:b/>
          <w:i/>
          <w:sz w:val="24"/>
          <w:szCs w:val="24"/>
          <w:lang w:val="ro-MD"/>
        </w:rPr>
        <w:t xml:space="preserve">la </w:t>
      </w:r>
      <w:r w:rsidR="00B25240" w:rsidRPr="009E5B39">
        <w:rPr>
          <w:rFonts w:asciiTheme="majorHAnsi" w:hAnsiTheme="majorHAnsi" w:cstheme="majorHAnsi"/>
          <w:b/>
          <w:i/>
          <w:sz w:val="24"/>
          <w:szCs w:val="24"/>
          <w:lang w:val="ro-MD"/>
        </w:rPr>
        <w:t>neîncasarea veniturilor în</w:t>
      </w:r>
      <w:r w:rsidRPr="009E5B39">
        <w:rPr>
          <w:rFonts w:asciiTheme="majorHAnsi" w:hAnsiTheme="majorHAnsi" w:cstheme="majorHAnsi"/>
          <w:b/>
          <w:i/>
          <w:sz w:val="24"/>
          <w:szCs w:val="24"/>
          <w:lang w:val="ro-MD"/>
        </w:rPr>
        <w:t xml:space="preserve"> bugetul municipal, care au însumat cel puțin 5,3 mil</w:t>
      </w:r>
      <w:r w:rsidR="00CE7161" w:rsidRPr="009E5B39">
        <w:rPr>
          <w:rFonts w:asciiTheme="majorHAnsi" w:hAnsiTheme="majorHAnsi" w:cstheme="majorHAnsi"/>
          <w:b/>
          <w:i/>
          <w:sz w:val="24"/>
          <w:szCs w:val="24"/>
          <w:lang w:val="ro-MD"/>
        </w:rPr>
        <w:t>.</w:t>
      </w:r>
      <w:r w:rsidR="00B1262B" w:rsidRPr="009E5B39">
        <w:rPr>
          <w:rFonts w:asciiTheme="majorHAnsi" w:hAnsiTheme="majorHAnsi" w:cstheme="majorHAnsi"/>
          <w:b/>
          <w:i/>
          <w:sz w:val="24"/>
          <w:szCs w:val="24"/>
          <w:lang w:val="ro-MD"/>
        </w:rPr>
        <w:t xml:space="preserve"> </w:t>
      </w:r>
      <w:r w:rsidRPr="009E5B39">
        <w:rPr>
          <w:rFonts w:asciiTheme="majorHAnsi" w:hAnsiTheme="majorHAnsi" w:cstheme="majorHAnsi"/>
          <w:b/>
          <w:i/>
          <w:sz w:val="24"/>
          <w:szCs w:val="24"/>
          <w:lang w:val="ro-MD"/>
        </w:rPr>
        <w:t>euro</w:t>
      </w:r>
      <w:r w:rsidR="00CE7161"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 xml:space="preserve"> sau 107,8 mil</w:t>
      </w:r>
      <w:r w:rsidR="00CE7161"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 xml:space="preserve"> lei</w:t>
      </w:r>
      <w:r w:rsidRPr="009E5B39">
        <w:rPr>
          <w:rFonts w:asciiTheme="majorHAnsi" w:hAnsiTheme="majorHAnsi" w:cstheme="majorHAnsi"/>
          <w:i/>
          <w:sz w:val="24"/>
          <w:szCs w:val="24"/>
          <w:lang w:val="ro-MD"/>
        </w:rPr>
        <w:t xml:space="preserve">.  </w:t>
      </w:r>
    </w:p>
    <w:p w14:paraId="139D7885" w14:textId="68CB2817" w:rsidR="00732765" w:rsidRPr="009E5B39" w:rsidRDefault="00732765" w:rsidP="00732765">
      <w:pPr>
        <w:pStyle w:val="ListParagraph"/>
        <w:numPr>
          <w:ilvl w:val="0"/>
          <w:numId w:val="92"/>
        </w:numPr>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Nu există o claritate privind drepturile de proprietate asupra a 2 clădiri a</w:t>
      </w:r>
      <w:r w:rsidR="00CE7161" w:rsidRPr="009E5B39">
        <w:rPr>
          <w:rFonts w:asciiTheme="majorHAnsi" w:hAnsiTheme="majorHAnsi" w:cstheme="majorHAnsi"/>
          <w:sz w:val="24"/>
          <w:szCs w:val="24"/>
          <w:lang w:val="ro-MD"/>
        </w:rPr>
        <w:t>le</w:t>
      </w:r>
      <w:r w:rsidRPr="009E5B39">
        <w:rPr>
          <w:rFonts w:asciiTheme="majorHAnsi" w:hAnsiTheme="majorHAnsi" w:cstheme="majorHAnsi"/>
          <w:sz w:val="24"/>
          <w:szCs w:val="24"/>
          <w:lang w:val="ro-MD"/>
        </w:rPr>
        <w:t xml:space="preserve"> instituțiilor de învățământ din str. Columna 94  (Liceul Teoretic </w:t>
      </w:r>
      <w:r w:rsidR="00CE716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Mircea Eliade</w:t>
      </w:r>
      <w:r w:rsidR="00CE716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și bd. Dacia, 53/2 (grădinița de copii nr.181), APL fiind în litigiu cu agenții economici care au înregistrat drepturile de proprietate asupra acestora în condiții dubioase</w:t>
      </w:r>
      <w:r w:rsidR="00EF70C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folosindu-se de existența unor decizii judecătorești neclare. </w:t>
      </w:r>
      <w:r w:rsidRPr="009E5B39">
        <w:rPr>
          <w:rFonts w:asciiTheme="majorHAnsi" w:hAnsiTheme="majorHAnsi" w:cstheme="majorHAnsi"/>
          <w:i/>
          <w:sz w:val="24"/>
          <w:szCs w:val="24"/>
          <w:lang w:val="ro-MD"/>
        </w:rPr>
        <w:t>Descrierea detaliată a litigi</w:t>
      </w:r>
      <w:r w:rsidR="00EF70CC" w:rsidRPr="009E5B39">
        <w:rPr>
          <w:rFonts w:asciiTheme="majorHAnsi" w:hAnsiTheme="majorHAnsi" w:cstheme="majorHAnsi"/>
          <w:i/>
          <w:sz w:val="24"/>
          <w:szCs w:val="24"/>
          <w:lang w:val="ro-MD"/>
        </w:rPr>
        <w:t xml:space="preserve">ilor asupra acestor bunuri </w:t>
      </w:r>
      <w:r w:rsidRPr="009E5B39">
        <w:rPr>
          <w:rFonts w:asciiTheme="majorHAnsi" w:hAnsiTheme="majorHAnsi" w:cstheme="majorHAnsi"/>
          <w:i/>
          <w:sz w:val="24"/>
          <w:szCs w:val="24"/>
          <w:lang w:val="ro-MD"/>
        </w:rPr>
        <w:t>se prezintă în Anexa nr.</w:t>
      </w:r>
      <w:r w:rsidR="008E74DC" w:rsidRPr="009E5B39">
        <w:rPr>
          <w:rFonts w:asciiTheme="majorHAnsi" w:hAnsiTheme="majorHAnsi" w:cstheme="majorHAnsi"/>
          <w:i/>
          <w:sz w:val="24"/>
          <w:szCs w:val="24"/>
          <w:lang w:val="ro-MD"/>
        </w:rPr>
        <w:t xml:space="preserve">15 </w:t>
      </w:r>
      <w:r w:rsidRPr="009E5B39">
        <w:rPr>
          <w:rFonts w:asciiTheme="majorHAnsi" w:hAnsiTheme="majorHAnsi" w:cstheme="majorHAnsi"/>
          <w:i/>
          <w:sz w:val="24"/>
          <w:szCs w:val="24"/>
          <w:lang w:val="ro-MD"/>
        </w:rPr>
        <w:t>la Raport</w:t>
      </w:r>
      <w:r w:rsidR="00CE7161" w:rsidRPr="009E5B39">
        <w:rPr>
          <w:rFonts w:asciiTheme="majorHAnsi" w:hAnsiTheme="majorHAnsi" w:cstheme="majorHAnsi"/>
          <w:i/>
          <w:sz w:val="24"/>
          <w:szCs w:val="24"/>
          <w:lang w:val="ro-MD"/>
        </w:rPr>
        <w:t>ul de audit</w:t>
      </w:r>
      <w:r w:rsidRPr="009E5B39">
        <w:rPr>
          <w:rFonts w:asciiTheme="majorHAnsi" w:hAnsiTheme="majorHAnsi" w:cstheme="majorHAnsi"/>
          <w:i/>
          <w:sz w:val="24"/>
          <w:szCs w:val="24"/>
          <w:lang w:val="ro-MD"/>
        </w:rPr>
        <w:t>.</w:t>
      </w:r>
      <w:r w:rsidRPr="009E5B39">
        <w:rPr>
          <w:rFonts w:asciiTheme="majorHAnsi" w:hAnsiTheme="majorHAnsi" w:cstheme="majorHAnsi"/>
          <w:sz w:val="24"/>
          <w:szCs w:val="24"/>
          <w:lang w:val="ro-MD"/>
        </w:rPr>
        <w:t xml:space="preserve"> </w:t>
      </w:r>
    </w:p>
    <w:p w14:paraId="7099D7AE" w14:textId="1E2B4A0F" w:rsidR="00E37505" w:rsidRPr="009E5B39" w:rsidRDefault="00E37505" w:rsidP="00B25240">
      <w:pPr>
        <w:pStyle w:val="ListParagraph"/>
        <w:numPr>
          <w:ilvl w:val="0"/>
          <w:numId w:val="92"/>
        </w:numPr>
        <w:spacing w:after="0" w:line="276" w:lineRule="auto"/>
        <w:ind w:left="0" w:firstLine="0"/>
        <w:jc w:val="both"/>
        <w:rPr>
          <w:rFonts w:asciiTheme="majorHAnsi" w:hAnsiTheme="majorHAnsi" w:cstheme="majorHAnsi"/>
          <w:b/>
          <w:sz w:val="24"/>
          <w:szCs w:val="24"/>
          <w:lang w:val="ro-MD"/>
        </w:rPr>
      </w:pPr>
      <w:r w:rsidRPr="009E5B39">
        <w:rPr>
          <w:rFonts w:asciiTheme="majorHAnsi" w:hAnsiTheme="majorHAnsi" w:cstheme="majorHAnsi"/>
          <w:b/>
          <w:sz w:val="24"/>
          <w:szCs w:val="24"/>
          <w:lang w:val="ro-MD"/>
        </w:rPr>
        <w:t xml:space="preserve">UAT </w:t>
      </w:r>
      <w:r w:rsidR="00CE7161" w:rsidRPr="009E5B39">
        <w:rPr>
          <w:rFonts w:asciiTheme="majorHAnsi" w:hAnsiTheme="majorHAnsi" w:cstheme="majorHAnsi"/>
          <w:b/>
          <w:sz w:val="24"/>
          <w:szCs w:val="24"/>
          <w:lang w:val="ro-MD"/>
        </w:rPr>
        <w:t xml:space="preserve">mun. </w:t>
      </w:r>
      <w:r w:rsidRPr="009E5B39">
        <w:rPr>
          <w:rFonts w:asciiTheme="majorHAnsi" w:hAnsiTheme="majorHAnsi" w:cstheme="majorHAnsi"/>
          <w:b/>
          <w:sz w:val="24"/>
          <w:szCs w:val="24"/>
          <w:lang w:val="ro-MD"/>
        </w:rPr>
        <w:t xml:space="preserve">Chișinău a fost prejudiciată cu circa </w:t>
      </w:r>
      <w:r w:rsidRPr="009E5B39">
        <w:rPr>
          <w:rFonts w:asciiTheme="majorHAnsi" w:hAnsiTheme="majorHAnsi" w:cstheme="majorHAnsi"/>
          <w:b/>
          <w:bCs/>
          <w:iCs/>
          <w:sz w:val="24"/>
          <w:szCs w:val="24"/>
          <w:lang w:val="ro-MD"/>
        </w:rPr>
        <w:t xml:space="preserve">45.112,2 mii lei (sau 2.200,6 mii </w:t>
      </w:r>
      <w:r w:rsidR="00FB3E2D" w:rsidRPr="009E5B39">
        <w:rPr>
          <w:rFonts w:asciiTheme="majorHAnsi" w:hAnsiTheme="majorHAnsi" w:cstheme="majorHAnsi"/>
          <w:b/>
          <w:bCs/>
          <w:iCs/>
          <w:sz w:val="24"/>
          <w:szCs w:val="24"/>
          <w:lang w:val="ro-MD"/>
        </w:rPr>
        <w:t>e</w:t>
      </w:r>
      <w:r w:rsidRPr="009E5B39">
        <w:rPr>
          <w:rFonts w:asciiTheme="majorHAnsi" w:hAnsiTheme="majorHAnsi" w:cstheme="majorHAnsi"/>
          <w:b/>
          <w:bCs/>
          <w:iCs/>
          <w:sz w:val="24"/>
          <w:szCs w:val="24"/>
          <w:lang w:val="ro-MD"/>
        </w:rPr>
        <w:t>uro</w:t>
      </w:r>
      <w:r w:rsidRPr="009E5B39">
        <w:rPr>
          <w:rFonts w:asciiTheme="majorHAnsi" w:hAnsiTheme="majorHAnsi" w:cstheme="majorHAnsi"/>
          <w:bCs/>
          <w:iCs/>
          <w:sz w:val="24"/>
          <w:szCs w:val="24"/>
          <w:lang w:val="ro-MD"/>
        </w:rPr>
        <w:t xml:space="preserve">) </w:t>
      </w:r>
      <w:r w:rsidR="00CE7161" w:rsidRPr="009E5B39">
        <w:rPr>
          <w:rFonts w:asciiTheme="majorHAnsi" w:hAnsiTheme="majorHAnsi" w:cstheme="majorHAnsi"/>
          <w:bCs/>
          <w:iCs/>
          <w:sz w:val="24"/>
          <w:szCs w:val="24"/>
          <w:lang w:val="ro-MD"/>
        </w:rPr>
        <w:t>în urma</w:t>
      </w:r>
      <w:r w:rsidRPr="009E5B39">
        <w:rPr>
          <w:rFonts w:asciiTheme="majorHAnsi" w:hAnsiTheme="majorHAnsi" w:cstheme="majorHAnsi"/>
          <w:bCs/>
          <w:iCs/>
          <w:sz w:val="24"/>
          <w:szCs w:val="24"/>
          <w:lang w:val="ro-MD"/>
        </w:rPr>
        <w:t xml:space="preserve"> transmiterii în arendă a </w:t>
      </w:r>
      <w:r w:rsidRPr="009E5B39">
        <w:rPr>
          <w:rFonts w:asciiTheme="majorHAnsi" w:hAnsiTheme="majorHAnsi" w:cstheme="majorHAnsi"/>
          <w:b/>
          <w:sz w:val="24"/>
          <w:szCs w:val="24"/>
          <w:lang w:val="ro-MD"/>
        </w:rPr>
        <w:t xml:space="preserve">terenului cu numărul cadastral </w:t>
      </w:r>
      <w:r w:rsidRPr="009E5B39">
        <w:rPr>
          <w:rFonts w:asciiTheme="majorHAnsi" w:hAnsiTheme="majorHAnsi" w:cstheme="majorHAnsi"/>
          <w:b/>
          <w:bCs/>
          <w:iCs/>
          <w:sz w:val="24"/>
          <w:szCs w:val="24"/>
          <w:lang w:val="ro-MD"/>
        </w:rPr>
        <w:t>0100415014</w:t>
      </w:r>
      <w:r w:rsidRPr="009E5B39">
        <w:rPr>
          <w:rFonts w:asciiTheme="majorHAnsi" w:hAnsiTheme="majorHAnsi" w:cstheme="majorHAnsi"/>
          <w:bCs/>
          <w:iCs/>
          <w:sz w:val="24"/>
          <w:szCs w:val="24"/>
          <w:lang w:val="ro-MD"/>
        </w:rPr>
        <w:t xml:space="preserve">, amplasat în </w:t>
      </w:r>
      <w:r w:rsidRPr="009E5B39">
        <w:rPr>
          <w:rFonts w:asciiTheme="majorHAnsi" w:hAnsiTheme="majorHAnsi" w:cstheme="majorHAnsi"/>
          <w:b/>
          <w:bCs/>
          <w:iCs/>
          <w:sz w:val="24"/>
          <w:szCs w:val="24"/>
          <w:lang w:val="ro-MD"/>
        </w:rPr>
        <w:t>str. Carierei nr.5,</w:t>
      </w:r>
      <w:r w:rsidRPr="009E5B39">
        <w:rPr>
          <w:rFonts w:asciiTheme="majorHAnsi" w:hAnsiTheme="majorHAnsi" w:cstheme="majorHAnsi"/>
          <w:bCs/>
          <w:iCs/>
          <w:sz w:val="24"/>
          <w:szCs w:val="24"/>
          <w:lang w:val="ro-MD"/>
        </w:rPr>
        <w:t xml:space="preserve"> cu suprafața totală de 1,07 ha</w:t>
      </w:r>
      <w:r w:rsidR="00CE7161"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care a fost utilizat ca depunere în cadrul unui contract de societate civilă privind construcția unor blocuri locative pentru care arendatorul </w:t>
      </w:r>
      <w:r w:rsidRPr="009E5B39">
        <w:rPr>
          <w:rFonts w:asciiTheme="majorHAnsi" w:hAnsiTheme="majorHAnsi" w:cstheme="majorHAnsi"/>
          <w:sz w:val="24"/>
          <w:szCs w:val="24"/>
          <w:lang w:val="ro-MD"/>
        </w:rPr>
        <w:t xml:space="preserve">SRL </w:t>
      </w:r>
      <w:r w:rsidRPr="009E5B39">
        <w:rPr>
          <w:rFonts w:asciiTheme="majorHAnsi" w:hAnsiTheme="majorHAnsi" w:cstheme="majorHAnsi"/>
          <w:bCs/>
          <w:iCs/>
          <w:sz w:val="24"/>
          <w:szCs w:val="24"/>
          <w:lang w:val="ro-MD"/>
        </w:rPr>
        <w:t xml:space="preserve">„Forscont Exim” a primit </w:t>
      </w:r>
      <w:r w:rsidRPr="009E5B39">
        <w:rPr>
          <w:rFonts w:asciiTheme="majorHAnsi" w:hAnsiTheme="majorHAnsi" w:cstheme="majorHAnsi"/>
          <w:sz w:val="24"/>
          <w:szCs w:val="24"/>
          <w:lang w:val="ro-MD"/>
        </w:rPr>
        <w:t>bunuri imobile cu suprafaț</w:t>
      </w:r>
      <w:r w:rsidR="00CE7161"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totală de 4.956,30 m. Mai mult </w:t>
      </w:r>
      <w:r w:rsidR="00B102D8" w:rsidRPr="009E5B39">
        <w:rPr>
          <w:rFonts w:asciiTheme="majorHAnsi" w:hAnsiTheme="majorHAnsi" w:cstheme="majorHAnsi"/>
          <w:sz w:val="24"/>
          <w:szCs w:val="24"/>
          <w:lang w:val="ro-MD"/>
        </w:rPr>
        <w:t>decât</w:t>
      </w:r>
      <w:r w:rsidRPr="009E5B39">
        <w:rPr>
          <w:rFonts w:asciiTheme="majorHAnsi" w:hAnsiTheme="majorHAnsi" w:cstheme="majorHAnsi"/>
          <w:sz w:val="24"/>
          <w:szCs w:val="24"/>
          <w:lang w:val="ro-MD"/>
        </w:rPr>
        <w:t xml:space="preserve"> at</w:t>
      </w:r>
      <w:r w:rsidR="00B102D8" w:rsidRPr="009E5B39">
        <w:rPr>
          <w:rFonts w:asciiTheme="majorHAnsi" w:hAnsiTheme="majorHAnsi" w:cstheme="majorHAnsi"/>
          <w:sz w:val="24"/>
          <w:szCs w:val="24"/>
          <w:lang w:val="ro-MD"/>
        </w:rPr>
        <w:t>â</w:t>
      </w:r>
      <w:r w:rsidRPr="009E5B39">
        <w:rPr>
          <w:rFonts w:asciiTheme="majorHAnsi" w:hAnsiTheme="majorHAnsi" w:cstheme="majorHAnsi"/>
          <w:sz w:val="24"/>
          <w:szCs w:val="24"/>
          <w:lang w:val="ro-MD"/>
        </w:rPr>
        <w:t xml:space="preserve">t, </w:t>
      </w:r>
      <w:r w:rsidR="00B102D8" w:rsidRPr="009E5B39">
        <w:rPr>
          <w:rFonts w:asciiTheme="majorHAnsi" w:hAnsiTheme="majorHAnsi" w:cstheme="majorHAnsi"/>
          <w:sz w:val="24"/>
          <w:szCs w:val="24"/>
          <w:lang w:val="ro-MD"/>
        </w:rPr>
        <w:t xml:space="preserve">ca </w:t>
      </w:r>
      <w:r w:rsidRPr="009E5B39">
        <w:rPr>
          <w:rFonts w:asciiTheme="majorHAnsi" w:hAnsiTheme="majorHAnsi" w:cstheme="majorHAnsi"/>
          <w:sz w:val="24"/>
          <w:szCs w:val="24"/>
          <w:lang w:val="ro-MD"/>
        </w:rPr>
        <w:t>urmare a litigiului</w:t>
      </w:r>
      <w:r w:rsidR="00B102D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inițiat l</w:t>
      </w:r>
      <w:r w:rsidRPr="009E5B39">
        <w:rPr>
          <w:rFonts w:asciiTheme="majorHAnsi" w:hAnsiTheme="majorHAnsi" w:cstheme="majorHAnsi"/>
          <w:bCs/>
          <w:iCs/>
          <w:sz w:val="24"/>
          <w:szCs w:val="24"/>
          <w:lang w:val="ro-MD"/>
        </w:rPr>
        <w:t>a 21.01.2015 de către Oficiul teritorial Chișinău al Cancelariei de Stat, privind anularea Decizi</w:t>
      </w:r>
      <w:r w:rsidR="00B102D8" w:rsidRPr="009E5B39">
        <w:rPr>
          <w:rFonts w:asciiTheme="majorHAnsi" w:hAnsiTheme="majorHAnsi" w:cstheme="majorHAnsi"/>
          <w:bCs/>
          <w:iCs/>
          <w:sz w:val="24"/>
          <w:szCs w:val="24"/>
          <w:lang w:val="ro-MD"/>
        </w:rPr>
        <w:t>ei</w:t>
      </w:r>
      <w:r w:rsidRPr="009E5B39">
        <w:rPr>
          <w:rFonts w:asciiTheme="majorHAnsi" w:hAnsiTheme="majorHAnsi" w:cstheme="majorHAnsi"/>
          <w:bCs/>
          <w:iCs/>
          <w:sz w:val="24"/>
          <w:szCs w:val="24"/>
          <w:lang w:val="ro-MD"/>
        </w:rPr>
        <w:t xml:space="preserve"> CMC nr. 6/30-10 din 02.10.2014 de dare în arendă a terenului respectiv, care</w:t>
      </w:r>
      <w:r w:rsidR="00B102D8"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prin hotăr</w:t>
      </w:r>
      <w:r w:rsidR="00B102D8" w:rsidRPr="009E5B39">
        <w:rPr>
          <w:rFonts w:asciiTheme="majorHAnsi" w:hAnsiTheme="majorHAnsi" w:cstheme="majorHAnsi"/>
          <w:bCs/>
          <w:iCs/>
          <w:sz w:val="24"/>
          <w:szCs w:val="24"/>
          <w:lang w:val="ro-MD"/>
        </w:rPr>
        <w:t>â</w:t>
      </w:r>
      <w:r w:rsidRPr="009E5B39">
        <w:rPr>
          <w:rFonts w:asciiTheme="majorHAnsi" w:hAnsiTheme="majorHAnsi" w:cstheme="majorHAnsi"/>
          <w:bCs/>
          <w:iCs/>
          <w:sz w:val="24"/>
          <w:szCs w:val="24"/>
          <w:lang w:val="ro-MD"/>
        </w:rPr>
        <w:t>rile instanțelor de judecată</w:t>
      </w:r>
      <w:r w:rsidR="00B102D8"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au rămas definitive și irevocabile la 23.12.2020, SRL „Forscont Exim” a înstrăinat și cele </w:t>
      </w:r>
      <w:r w:rsidRPr="009E5B39">
        <w:rPr>
          <w:rFonts w:asciiTheme="majorHAnsi" w:hAnsiTheme="majorHAnsi" w:cstheme="majorHAnsi"/>
          <w:sz w:val="24"/>
          <w:szCs w:val="24"/>
          <w:lang w:val="ro-MD"/>
        </w:rPr>
        <w:t>10 apartamente cu suprafața totală de 417,9 m</w:t>
      </w:r>
      <w:r w:rsidR="00B102D8"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cu valoare</w:t>
      </w:r>
      <w:r w:rsidR="00B102D8"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 xml:space="preserve"> de </w:t>
      </w:r>
      <w:r w:rsidRPr="009E5B39">
        <w:rPr>
          <w:rFonts w:asciiTheme="majorHAnsi" w:hAnsiTheme="majorHAnsi" w:cstheme="majorHAnsi"/>
          <w:b/>
          <w:sz w:val="24"/>
          <w:szCs w:val="24"/>
          <w:lang w:val="ro-MD"/>
        </w:rPr>
        <w:t>185,6 mii euro</w:t>
      </w:r>
      <w:r w:rsidRPr="009E5B39">
        <w:rPr>
          <w:rFonts w:asciiTheme="majorHAnsi" w:hAnsiTheme="majorHAnsi" w:cstheme="majorHAnsi"/>
          <w:sz w:val="24"/>
          <w:szCs w:val="24"/>
          <w:lang w:val="ro-MD"/>
        </w:rPr>
        <w:t xml:space="preserve">, sau circa </w:t>
      </w:r>
      <w:r w:rsidRPr="009E5B39">
        <w:rPr>
          <w:rFonts w:asciiTheme="majorHAnsi" w:hAnsiTheme="majorHAnsi" w:cstheme="majorHAnsi"/>
          <w:b/>
          <w:sz w:val="24"/>
          <w:szCs w:val="24"/>
          <w:lang w:val="ro-MD"/>
        </w:rPr>
        <w:t>3,8 mil</w:t>
      </w:r>
      <w:r w:rsidR="00B102D8"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Style w:val="FootnoteReference"/>
          <w:rFonts w:asciiTheme="majorHAnsi" w:hAnsiTheme="majorHAnsi" w:cstheme="majorHAnsi"/>
          <w:sz w:val="24"/>
          <w:szCs w:val="24"/>
          <w:lang w:val="ro-MD"/>
        </w:rPr>
        <w:footnoteReference w:id="189"/>
      </w:r>
      <w:r w:rsidR="00B102D8" w:rsidRPr="009E5B39">
        <w:rPr>
          <w:rFonts w:asciiTheme="majorHAnsi" w:hAnsiTheme="majorHAnsi" w:cstheme="majorHAnsi"/>
          <w:b/>
          <w:sz w:val="24"/>
          <w:szCs w:val="24"/>
          <w:lang w:val="ro-MD"/>
        </w:rPr>
        <w:t xml:space="preserve">, </w:t>
      </w:r>
      <w:r w:rsidRPr="009E5B39">
        <w:rPr>
          <w:rFonts w:asciiTheme="majorHAnsi" w:hAnsiTheme="majorHAnsi" w:cstheme="majorHAnsi"/>
          <w:b/>
          <w:sz w:val="24"/>
          <w:szCs w:val="24"/>
          <w:lang w:val="ro-MD"/>
        </w:rPr>
        <w:t xml:space="preserve">care trebuiau transmise în proprietatea mun. Chișinău conform deciziei indicate. </w:t>
      </w:r>
    </w:p>
    <w:p w14:paraId="58F40EDE" w14:textId="7DC4EAF3" w:rsidR="00E37505" w:rsidRPr="009E5B39" w:rsidRDefault="00E37505" w:rsidP="00E37505">
      <w:pPr>
        <w:spacing w:after="0" w:line="276" w:lineRule="auto"/>
        <w:ind w:firstLine="567"/>
        <w:jc w:val="both"/>
        <w:rPr>
          <w:rFonts w:asciiTheme="majorHAnsi" w:hAnsiTheme="majorHAnsi" w:cstheme="majorHAnsi"/>
          <w:i/>
          <w:sz w:val="24"/>
          <w:szCs w:val="24"/>
          <w:lang w:val="ro-MD"/>
        </w:rPr>
      </w:pPr>
      <w:r w:rsidRPr="009E5B39">
        <w:rPr>
          <w:rFonts w:asciiTheme="majorHAnsi" w:hAnsiTheme="majorHAnsi" w:cstheme="majorHAnsi"/>
          <w:bCs/>
          <w:iCs/>
          <w:sz w:val="24"/>
          <w:szCs w:val="24"/>
          <w:lang w:val="ro-MD"/>
        </w:rPr>
        <w:t>De menționat că Primăria mun. Chișinău, DGAURF și DGLCA</w:t>
      </w:r>
      <w:r w:rsidR="00B102D8"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până în prezent, nu au executat cerința nr. 2.1.7. din </w:t>
      </w:r>
      <w:r w:rsidR="009C69A2" w:rsidRPr="009E5B39">
        <w:rPr>
          <w:rFonts w:asciiTheme="majorHAnsi" w:hAnsiTheme="majorHAnsi" w:cstheme="majorHAnsi"/>
          <w:bCs/>
          <w:iCs/>
          <w:sz w:val="24"/>
          <w:szCs w:val="24"/>
          <w:lang w:val="ro-MD"/>
        </w:rPr>
        <w:t>HCC</w:t>
      </w:r>
      <w:r w:rsidRPr="009E5B39">
        <w:rPr>
          <w:rFonts w:asciiTheme="majorHAnsi" w:hAnsiTheme="majorHAnsi" w:cstheme="majorHAnsi"/>
          <w:bCs/>
          <w:iCs/>
          <w:sz w:val="24"/>
          <w:szCs w:val="24"/>
          <w:lang w:val="ro-MD"/>
        </w:rPr>
        <w:t xml:space="preserve"> nr. 2 din 13.02.2018</w:t>
      </w:r>
      <w:r w:rsidRPr="009E5B39">
        <w:rPr>
          <w:rStyle w:val="FootnoteReference"/>
          <w:rFonts w:asciiTheme="majorHAnsi" w:hAnsiTheme="majorHAnsi" w:cstheme="majorHAnsi"/>
          <w:bCs/>
          <w:iCs/>
          <w:sz w:val="24"/>
          <w:szCs w:val="24"/>
          <w:lang w:val="ro-MD"/>
        </w:rPr>
        <w:footnoteReference w:id="190"/>
      </w:r>
      <w:r w:rsidRPr="009E5B39">
        <w:rPr>
          <w:rFonts w:asciiTheme="majorHAnsi" w:hAnsiTheme="majorHAnsi" w:cstheme="majorHAnsi"/>
          <w:bCs/>
          <w:iCs/>
          <w:sz w:val="24"/>
          <w:szCs w:val="24"/>
          <w:lang w:val="ro-MD"/>
        </w:rPr>
        <w:t>, potrivit căreia</w:t>
      </w:r>
      <w:r w:rsidR="00B102D8"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autoritățile publice locale din mun. Chișinău, în termen de </w:t>
      </w:r>
      <w:r w:rsidRPr="009E5B39">
        <w:rPr>
          <w:rFonts w:asciiTheme="majorHAnsi" w:hAnsiTheme="majorHAnsi" w:cstheme="majorHAnsi"/>
          <w:sz w:val="24"/>
          <w:szCs w:val="24"/>
          <w:lang w:val="ro-MD" w:eastAsia="ru-RU"/>
        </w:rPr>
        <w:t xml:space="preserve">12 luni, urmau să </w:t>
      </w:r>
      <w:r w:rsidRPr="009E5B39">
        <w:rPr>
          <w:rFonts w:asciiTheme="majorHAnsi" w:hAnsiTheme="majorHAnsi" w:cstheme="majorHAnsi"/>
          <w:sz w:val="24"/>
          <w:szCs w:val="24"/>
          <w:lang w:val="ro-MD"/>
        </w:rPr>
        <w:t>revizuiască contractel</w:t>
      </w:r>
      <w:r w:rsidR="00B102D8"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de dare în arendă a terenurilor pentru efectuarea construcțiilor (cu excepția celor acordate în baza licitațiilor publice), examinând posibilitatea subrogării în drepturi și obligațiuni a arendatorului</w:t>
      </w:r>
      <w:r w:rsidR="00B102D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care a transmis terenul unui investitor în baza contractului de societate civilă. Astfel, după 05.08.2020</w:t>
      </w:r>
      <w:r w:rsidR="00B102D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APL </w:t>
      </w:r>
      <w:r w:rsidR="00FB3E2D"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mun. Chișinău era obligat</w:t>
      </w:r>
      <w:r w:rsidR="00B102D8"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să subroge pe SRL „Forscont Exim” în contractul privind constituirea unei societăți civile pentru construcția unui complex imobiliar, încheiat cu </w:t>
      </w:r>
      <w:r w:rsidRPr="009E5B39">
        <w:rPr>
          <w:rFonts w:asciiTheme="majorHAnsi" w:hAnsiTheme="majorHAnsi" w:cstheme="majorHAnsi"/>
          <w:bCs/>
          <w:iCs/>
          <w:sz w:val="24"/>
          <w:szCs w:val="24"/>
          <w:lang w:val="ro-MD"/>
        </w:rPr>
        <w:t>SRL „Lagmar Impex”</w:t>
      </w:r>
      <w:r w:rsidRPr="009E5B39">
        <w:rPr>
          <w:rFonts w:asciiTheme="majorHAnsi" w:hAnsiTheme="majorHAnsi" w:cstheme="majorHAnsi"/>
          <w:sz w:val="24"/>
          <w:szCs w:val="24"/>
          <w:lang w:val="ro-MD"/>
        </w:rPr>
        <w:t xml:space="preserve">, însă n-a întreprins nicio acțiune în acest sens, </w:t>
      </w:r>
      <w:r w:rsidRPr="009E5B39">
        <w:rPr>
          <w:rFonts w:asciiTheme="majorHAnsi" w:hAnsiTheme="majorHAnsi" w:cstheme="majorHAnsi"/>
          <w:bCs/>
          <w:iCs/>
          <w:sz w:val="24"/>
          <w:szCs w:val="24"/>
          <w:lang w:val="ro-MD"/>
        </w:rPr>
        <w:t>prin ce bugetului mun. Chișinău i</w:t>
      </w:r>
      <w:r w:rsidR="00B102D8" w:rsidRPr="009E5B39">
        <w:rPr>
          <w:rFonts w:asciiTheme="majorHAnsi" w:hAnsiTheme="majorHAnsi" w:cstheme="majorHAnsi"/>
          <w:bCs/>
          <w:iCs/>
          <w:sz w:val="24"/>
          <w:szCs w:val="24"/>
          <w:lang w:val="ro-MD"/>
        </w:rPr>
        <w:t xml:space="preserve"> s</w:t>
      </w:r>
      <w:r w:rsidRPr="009E5B39">
        <w:rPr>
          <w:rFonts w:asciiTheme="majorHAnsi" w:hAnsiTheme="majorHAnsi" w:cstheme="majorHAnsi"/>
          <w:bCs/>
          <w:iCs/>
          <w:sz w:val="24"/>
          <w:szCs w:val="24"/>
          <w:lang w:val="ro-MD"/>
        </w:rPr>
        <w:t xml:space="preserve">-a adus un prejudiciu de cel puțin </w:t>
      </w:r>
      <w:r w:rsidRPr="009E5B39">
        <w:rPr>
          <w:rFonts w:asciiTheme="majorHAnsi" w:hAnsiTheme="majorHAnsi" w:cstheme="majorHAnsi"/>
          <w:b/>
          <w:sz w:val="24"/>
          <w:szCs w:val="24"/>
          <w:lang w:val="ro-MD"/>
        </w:rPr>
        <w:t>2,2 mil</w:t>
      </w:r>
      <w:r w:rsidR="00B102D8"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euro</w:t>
      </w:r>
      <w:r w:rsidRPr="009E5B39">
        <w:rPr>
          <w:rFonts w:asciiTheme="majorHAnsi" w:hAnsiTheme="majorHAnsi" w:cstheme="majorHAnsi"/>
          <w:sz w:val="24"/>
          <w:szCs w:val="24"/>
          <w:lang w:val="ro-MD"/>
        </w:rPr>
        <w:t xml:space="preserve">, sau </w:t>
      </w:r>
      <w:r w:rsidRPr="009E5B39">
        <w:rPr>
          <w:rFonts w:asciiTheme="majorHAnsi" w:hAnsiTheme="majorHAnsi" w:cstheme="majorHAnsi"/>
          <w:b/>
          <w:sz w:val="24"/>
          <w:szCs w:val="24"/>
          <w:lang w:val="ro-MD"/>
        </w:rPr>
        <w:t>45,11 mil</w:t>
      </w:r>
      <w:r w:rsidR="00B102D8"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w:t>
      </w:r>
      <w:r w:rsidR="000A66E1"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Detalii suplimentare la acest subiect sunt expuse în Anexa nr.16 la Raportul de audit.</w:t>
      </w:r>
      <w:r w:rsidR="00B368F7" w:rsidRPr="009E5B39">
        <w:rPr>
          <w:rFonts w:asciiTheme="majorHAnsi" w:hAnsiTheme="majorHAnsi" w:cstheme="majorHAnsi"/>
          <w:i/>
          <w:sz w:val="24"/>
          <w:szCs w:val="24"/>
          <w:lang w:val="ro-MD"/>
        </w:rPr>
        <w:t>)</w:t>
      </w:r>
      <w:r w:rsidRPr="009E5B39">
        <w:rPr>
          <w:rFonts w:asciiTheme="majorHAnsi" w:hAnsiTheme="majorHAnsi" w:cstheme="majorHAnsi"/>
          <w:bCs/>
          <w:i/>
          <w:iCs/>
          <w:sz w:val="24"/>
          <w:szCs w:val="24"/>
          <w:lang w:val="ro-MD"/>
        </w:rPr>
        <w:t xml:space="preserve"> </w:t>
      </w:r>
    </w:p>
    <w:p w14:paraId="25EB40C7" w14:textId="4CA15BFE" w:rsidR="00E37505" w:rsidRPr="009E5B39" w:rsidRDefault="00E37505" w:rsidP="00B25240">
      <w:pPr>
        <w:pStyle w:val="ListParagraph"/>
        <w:numPr>
          <w:ilvl w:val="0"/>
          <w:numId w:val="92"/>
        </w:numPr>
        <w:tabs>
          <w:tab w:val="left" w:pos="0"/>
        </w:tabs>
        <w:spacing w:after="0" w:line="276" w:lineRule="auto"/>
        <w:ind w:left="0" w:firstLine="0"/>
        <w:jc w:val="both"/>
        <w:rPr>
          <w:rFonts w:asciiTheme="majorHAnsi" w:hAnsiTheme="majorHAnsi" w:cstheme="majorHAnsi"/>
          <w:b/>
          <w:sz w:val="24"/>
          <w:szCs w:val="24"/>
          <w:lang w:val="ro-MD"/>
        </w:rPr>
      </w:pPr>
      <w:r w:rsidRPr="009E5B39">
        <w:rPr>
          <w:rFonts w:asciiTheme="majorHAnsi" w:hAnsiTheme="majorHAnsi" w:cstheme="majorHAnsi"/>
          <w:bCs/>
          <w:iCs/>
          <w:sz w:val="24"/>
          <w:szCs w:val="24"/>
          <w:lang w:val="ro-MD"/>
        </w:rPr>
        <w:t>CMC și PMC nu a</w:t>
      </w:r>
      <w:r w:rsidR="0004314A" w:rsidRPr="009E5B39">
        <w:rPr>
          <w:rFonts w:asciiTheme="majorHAnsi" w:hAnsiTheme="majorHAnsi" w:cstheme="majorHAnsi"/>
          <w:bCs/>
          <w:iCs/>
          <w:sz w:val="24"/>
          <w:szCs w:val="24"/>
          <w:lang w:val="ro-MD"/>
        </w:rPr>
        <w:t>u</w:t>
      </w:r>
      <w:r w:rsidRPr="009E5B39">
        <w:rPr>
          <w:rFonts w:asciiTheme="majorHAnsi" w:hAnsiTheme="majorHAnsi" w:cstheme="majorHAnsi"/>
          <w:bCs/>
          <w:iCs/>
          <w:sz w:val="24"/>
          <w:szCs w:val="24"/>
          <w:lang w:val="ro-MD"/>
        </w:rPr>
        <w:t xml:space="preserve"> asigurat monitorizarea și controlul riguros a</w:t>
      </w:r>
      <w:r w:rsidR="0004314A" w:rsidRPr="009E5B39">
        <w:rPr>
          <w:rFonts w:asciiTheme="majorHAnsi" w:hAnsiTheme="majorHAnsi" w:cstheme="majorHAnsi"/>
          <w:bCs/>
          <w:iCs/>
          <w:sz w:val="24"/>
          <w:szCs w:val="24"/>
          <w:lang w:val="ro-MD"/>
        </w:rPr>
        <w:t>supra</w:t>
      </w:r>
      <w:r w:rsidRPr="009E5B39">
        <w:rPr>
          <w:rFonts w:asciiTheme="majorHAnsi" w:hAnsiTheme="majorHAnsi" w:cstheme="majorHAnsi"/>
          <w:bCs/>
          <w:iCs/>
          <w:sz w:val="24"/>
          <w:szCs w:val="24"/>
          <w:lang w:val="ro-MD"/>
        </w:rPr>
        <w:t xml:space="preserve"> respectării clauzelor contractuale de către antreprenorii cărora le-au fost transmise terenuri în baza a 18 decizii ale CMC, pentru construcția blocurilor de locuit, cu condiția de a transmite la balanța municipalității un anumit număr de apartamente</w:t>
      </w:r>
      <w:r w:rsidRPr="009E5B39">
        <w:rPr>
          <w:rStyle w:val="FootnoteReference"/>
          <w:rFonts w:asciiTheme="majorHAnsi" w:hAnsiTheme="majorHAnsi" w:cstheme="majorHAnsi"/>
          <w:bCs/>
          <w:sz w:val="24"/>
          <w:szCs w:val="24"/>
          <w:lang w:val="ro-MD"/>
        </w:rPr>
        <w:footnoteReference w:id="191"/>
      </w:r>
      <w:r w:rsidRPr="009E5B39">
        <w:rPr>
          <w:rFonts w:asciiTheme="majorHAnsi" w:hAnsiTheme="majorHAnsi" w:cstheme="majorHAnsi"/>
          <w:bCs/>
          <w:sz w:val="24"/>
          <w:szCs w:val="24"/>
          <w:lang w:val="ro-MD"/>
        </w:rPr>
        <w:t>,</w:t>
      </w:r>
      <w:r w:rsidRPr="009E5B39">
        <w:rPr>
          <w:rFonts w:asciiTheme="majorHAnsi" w:hAnsiTheme="majorHAnsi" w:cstheme="majorHAnsi"/>
          <w:bCs/>
          <w:iCs/>
          <w:sz w:val="24"/>
          <w:szCs w:val="24"/>
          <w:lang w:val="ro-MD"/>
        </w:rPr>
        <w:t xml:space="preserve"> a</w:t>
      </w:r>
      <w:r w:rsidR="000A66E1" w:rsidRPr="009E5B39">
        <w:rPr>
          <w:rFonts w:asciiTheme="majorHAnsi" w:hAnsiTheme="majorHAnsi" w:cstheme="majorHAnsi"/>
          <w:bCs/>
          <w:iCs/>
          <w:sz w:val="24"/>
          <w:szCs w:val="24"/>
          <w:lang w:val="ro-MD"/>
        </w:rPr>
        <w:t>supra</w:t>
      </w:r>
      <w:r w:rsidRPr="009E5B39">
        <w:rPr>
          <w:rFonts w:asciiTheme="majorHAnsi" w:hAnsiTheme="majorHAnsi" w:cstheme="majorHAnsi"/>
          <w:bCs/>
          <w:iCs/>
          <w:sz w:val="24"/>
          <w:szCs w:val="24"/>
          <w:lang w:val="ro-MD"/>
        </w:rPr>
        <w:t xml:space="preserve"> respectării de către aceștia a condițiilor expuse în actele permisive, precum și necontabilizarea creanțelor acestora. </w:t>
      </w:r>
      <w:r w:rsidR="000A66E1" w:rsidRPr="009E5B39">
        <w:rPr>
          <w:rFonts w:asciiTheme="majorHAnsi" w:hAnsiTheme="majorHAnsi" w:cstheme="majorHAnsi"/>
          <w:bCs/>
          <w:iCs/>
          <w:sz w:val="24"/>
          <w:szCs w:val="24"/>
          <w:lang w:val="ro-MD"/>
        </w:rPr>
        <w:t>C</w:t>
      </w:r>
      <w:r w:rsidRPr="009E5B39">
        <w:rPr>
          <w:rFonts w:asciiTheme="majorHAnsi" w:hAnsiTheme="majorHAnsi" w:cstheme="majorHAnsi"/>
          <w:bCs/>
          <w:iCs/>
          <w:sz w:val="24"/>
          <w:szCs w:val="24"/>
          <w:lang w:val="ro-MD"/>
        </w:rPr>
        <w:t>ele menționate duc la construcția blocurilor locative cu abateri de la condițiile expuse în actele permisive (fiind ridicate mai multe nivel</w:t>
      </w:r>
      <w:r w:rsidR="000A66E1" w:rsidRPr="009E5B39">
        <w:rPr>
          <w:rFonts w:asciiTheme="majorHAnsi" w:hAnsiTheme="majorHAnsi" w:cstheme="majorHAnsi"/>
          <w:bCs/>
          <w:iCs/>
          <w:sz w:val="24"/>
          <w:szCs w:val="24"/>
          <w:lang w:val="ro-MD"/>
        </w:rPr>
        <w:t>uri</w:t>
      </w:r>
      <w:r w:rsidRPr="009E5B39">
        <w:rPr>
          <w:rFonts w:asciiTheme="majorHAnsi" w:hAnsiTheme="majorHAnsi" w:cstheme="majorHAnsi"/>
          <w:bCs/>
          <w:iCs/>
          <w:sz w:val="24"/>
          <w:szCs w:val="24"/>
          <w:lang w:val="ro-MD"/>
        </w:rPr>
        <w:t>), precum și la prejudicierea bugetului în urma pierderii atât a terenurilor</w:t>
      </w:r>
      <w:r w:rsidR="000A66E1"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cât și a apartamentelor care urmau a fi transmise municipalității.</w:t>
      </w:r>
      <w:r w:rsidRPr="009E5B39">
        <w:rPr>
          <w:rFonts w:asciiTheme="majorHAnsi" w:hAnsiTheme="majorHAnsi" w:cstheme="majorHAnsi"/>
          <w:b/>
          <w:bCs/>
          <w:iCs/>
          <w:sz w:val="24"/>
          <w:szCs w:val="24"/>
          <w:lang w:val="ro-MD"/>
        </w:rPr>
        <w:t xml:space="preserve"> </w:t>
      </w:r>
      <w:r w:rsidRPr="009E5B39">
        <w:rPr>
          <w:rFonts w:asciiTheme="majorHAnsi" w:hAnsiTheme="majorHAnsi" w:cstheme="majorHAnsi"/>
          <w:i/>
          <w:sz w:val="24"/>
          <w:szCs w:val="24"/>
          <w:lang w:val="ro-MD"/>
        </w:rPr>
        <w:t>(</w:t>
      </w:r>
      <w:r w:rsidR="000A66E1" w:rsidRPr="009E5B39">
        <w:rPr>
          <w:rFonts w:asciiTheme="majorHAnsi" w:hAnsiTheme="majorHAnsi" w:cstheme="majorHAnsi"/>
          <w:i/>
          <w:sz w:val="24"/>
          <w:szCs w:val="24"/>
          <w:lang w:val="ro-MD"/>
        </w:rPr>
        <w:t>D</w:t>
      </w:r>
      <w:r w:rsidRPr="009E5B39">
        <w:rPr>
          <w:rFonts w:asciiTheme="majorHAnsi" w:hAnsiTheme="majorHAnsi" w:cstheme="majorHAnsi"/>
          <w:i/>
          <w:sz w:val="24"/>
          <w:szCs w:val="24"/>
          <w:lang w:val="ro-MD"/>
        </w:rPr>
        <w:t>etalii suplimentare la acest subiect sunt expuse în Anexa nr.16 la Rapor</w:t>
      </w:r>
      <w:r w:rsidR="00B368F7" w:rsidRPr="009E5B39">
        <w:rPr>
          <w:rFonts w:asciiTheme="majorHAnsi" w:hAnsiTheme="majorHAnsi" w:cstheme="majorHAnsi"/>
          <w:i/>
          <w:sz w:val="24"/>
          <w:szCs w:val="24"/>
          <w:lang w:val="ro-MD"/>
        </w:rPr>
        <w:t>tul</w:t>
      </w:r>
      <w:r w:rsidRPr="009E5B39">
        <w:rPr>
          <w:rFonts w:asciiTheme="majorHAnsi" w:hAnsiTheme="majorHAnsi" w:cstheme="majorHAnsi"/>
          <w:i/>
          <w:sz w:val="24"/>
          <w:szCs w:val="24"/>
          <w:lang w:val="ro-MD"/>
        </w:rPr>
        <w:t xml:space="preserve"> de audit.</w:t>
      </w:r>
      <w:r w:rsidR="00B368F7" w:rsidRPr="009E5B39">
        <w:rPr>
          <w:rFonts w:asciiTheme="majorHAnsi" w:hAnsiTheme="majorHAnsi" w:cstheme="majorHAnsi"/>
          <w:i/>
          <w:sz w:val="24"/>
          <w:szCs w:val="24"/>
          <w:lang w:val="ro-MD"/>
        </w:rPr>
        <w:t>)</w:t>
      </w:r>
    </w:p>
    <w:p w14:paraId="4D20DBDF" w14:textId="09434FD1" w:rsidR="00E37505" w:rsidRPr="009E5B39" w:rsidRDefault="00E37505" w:rsidP="00B25240">
      <w:pPr>
        <w:pStyle w:val="ListParagraph"/>
        <w:numPr>
          <w:ilvl w:val="0"/>
          <w:numId w:val="92"/>
        </w:numPr>
        <w:tabs>
          <w:tab w:val="left" w:pos="0"/>
        </w:tabs>
        <w:spacing w:after="0" w:line="276" w:lineRule="auto"/>
        <w:ind w:left="0" w:firstLine="0"/>
        <w:jc w:val="both"/>
        <w:rPr>
          <w:rFonts w:asciiTheme="majorHAnsi" w:hAnsiTheme="majorHAnsi" w:cstheme="majorHAnsi"/>
          <w:b/>
          <w:sz w:val="24"/>
          <w:szCs w:val="24"/>
          <w:lang w:val="ro-MD"/>
        </w:rPr>
      </w:pPr>
      <w:r w:rsidRPr="009E5B39">
        <w:rPr>
          <w:rFonts w:asciiTheme="majorHAnsi" w:hAnsiTheme="majorHAnsi" w:cstheme="majorHAnsi"/>
          <w:sz w:val="24"/>
          <w:szCs w:val="24"/>
          <w:lang w:val="ro-MD"/>
        </w:rPr>
        <w:t xml:space="preserve">PMC, prin nerespectarea mai multor prevederi legale, nu a combătut construcția ilegală amplasată pe terenul din domeniul public cu destinația „pentru exploatarea ulterioară a parcării auto”,  </w:t>
      </w:r>
      <w:r w:rsidRPr="009E5B39">
        <w:rPr>
          <w:rFonts w:asciiTheme="majorHAnsi" w:hAnsiTheme="majorHAnsi" w:cstheme="majorHAnsi"/>
          <w:b/>
          <w:sz w:val="24"/>
          <w:szCs w:val="24"/>
          <w:lang w:val="ro-MD"/>
        </w:rPr>
        <w:t>nr. cad. 0100311031</w:t>
      </w:r>
      <w:r w:rsidR="00B368F7"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cu suprafața de 0,4259 ha</w:t>
      </w:r>
      <w:r w:rsidR="00201A57" w:rsidRPr="009E5B39">
        <w:rPr>
          <w:rFonts w:asciiTheme="majorHAnsi" w:hAnsiTheme="majorHAnsi" w:cstheme="majorHAnsi"/>
          <w:sz w:val="24"/>
          <w:szCs w:val="24"/>
          <w:lang w:val="ro-MD"/>
        </w:rPr>
        <w:t>, t</w:t>
      </w:r>
      <w:r w:rsidRPr="009E5B39">
        <w:rPr>
          <w:rFonts w:asciiTheme="majorHAnsi" w:hAnsiTheme="majorHAnsi" w:cstheme="majorHAnsi"/>
          <w:sz w:val="24"/>
          <w:szCs w:val="24"/>
          <w:lang w:val="ro-MD"/>
        </w:rPr>
        <w:t>olerând existența relațiilor funciare cu persoane intermediare în privința terenului în cauză, ceea ce a favorizat însușirea ilegală de către acestea a unor venituri de 100,0 mii euro, prin înscenarea înstrăinării terenului ca propriu, acesta</w:t>
      </w:r>
      <w:r w:rsidR="00201A5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 fapt</w:t>
      </w:r>
      <w:r w:rsidR="00201A5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fiind proprietate municipală. Astfel, dacă PMC ar fi vândut din start terenul, prin licitație sau concurs conform legislației în vigoare, ar fi putut încasa venituri în bugetul municipal de circa </w:t>
      </w:r>
      <w:r w:rsidRPr="009E5B39">
        <w:rPr>
          <w:rFonts w:asciiTheme="majorHAnsi" w:hAnsiTheme="majorHAnsi" w:cstheme="majorHAnsi"/>
          <w:b/>
          <w:sz w:val="24"/>
          <w:szCs w:val="24"/>
          <w:lang w:val="ro-MD"/>
        </w:rPr>
        <w:t>425,9 mii euro, sau 8,73 mil lei</w:t>
      </w:r>
      <w:r w:rsidRPr="009E5B39">
        <w:rPr>
          <w:rStyle w:val="FootnoteReference"/>
          <w:rFonts w:asciiTheme="majorHAnsi" w:hAnsiTheme="majorHAnsi" w:cstheme="majorHAnsi"/>
          <w:b/>
          <w:sz w:val="24"/>
          <w:szCs w:val="24"/>
          <w:lang w:val="ro-MD"/>
        </w:rPr>
        <w:footnoteReference w:id="192"/>
      </w:r>
      <w:r w:rsidRPr="009E5B39">
        <w:rPr>
          <w:rFonts w:asciiTheme="majorHAnsi" w:hAnsiTheme="majorHAnsi" w:cstheme="majorHAnsi"/>
          <w:b/>
          <w:sz w:val="24"/>
          <w:szCs w:val="24"/>
          <w:lang w:val="ro-MD"/>
        </w:rPr>
        <w:t>.</w:t>
      </w:r>
      <w:r w:rsidRPr="009E5B39">
        <w:rPr>
          <w:rFonts w:asciiTheme="majorHAnsi" w:eastAsia="Times New Roman" w:hAnsiTheme="majorHAnsi" w:cstheme="majorHAnsi"/>
          <w:sz w:val="24"/>
          <w:szCs w:val="24"/>
          <w:lang w:val="ro-MD"/>
        </w:rPr>
        <w:t xml:space="preserve"> </w:t>
      </w:r>
      <w:r w:rsidRPr="009E5B39">
        <w:rPr>
          <w:rFonts w:asciiTheme="majorHAnsi" w:hAnsiTheme="majorHAnsi" w:cstheme="majorHAnsi"/>
          <w:sz w:val="24"/>
          <w:szCs w:val="24"/>
          <w:lang w:val="ro-MD"/>
        </w:rPr>
        <w:t xml:space="preserve">APL a mun. Chișinău nu a întreprins nicio acțiune pentru a recupera pagubele provocate de Î.I. „Sîrbu Taivi” și </w:t>
      </w:r>
      <w:r w:rsidR="000A3958" w:rsidRPr="009E5B39">
        <w:rPr>
          <w:rFonts w:asciiTheme="majorHAnsi" w:hAnsiTheme="majorHAnsi" w:cstheme="majorHAnsi"/>
          <w:sz w:val="24"/>
          <w:szCs w:val="24"/>
          <w:lang w:val="ro-MD"/>
        </w:rPr>
        <w:t>SRL „Basconslux”</w:t>
      </w:r>
      <w:r w:rsidRPr="009E5B39">
        <w:rPr>
          <w:rFonts w:asciiTheme="majorHAnsi" w:hAnsiTheme="majorHAnsi" w:cstheme="majorHAnsi"/>
          <w:sz w:val="24"/>
          <w:szCs w:val="24"/>
          <w:lang w:val="ro-MD"/>
        </w:rPr>
        <w:t>. Din contra, deși la 09.06.2020 o persoană fizică s-a adresat în instanța de judecată privind anularea Deciziei CMC nr.10/32-5 din 09/12/2014 și a contractului de arendă nr.6612/2015 din 26/01/2015</w:t>
      </w:r>
      <w:r w:rsidR="00886E8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PMC a solicitat respingerea acestei cereri ca nefondată și depusă tardiv.</w:t>
      </w:r>
      <w:r w:rsidRPr="009E5B39">
        <w:rPr>
          <w:rFonts w:asciiTheme="majorHAnsi" w:hAnsiTheme="majorHAnsi" w:cstheme="majorHAnsi"/>
          <w:i/>
          <w:sz w:val="24"/>
          <w:szCs w:val="24"/>
          <w:lang w:val="ro-MD"/>
        </w:rPr>
        <w:t xml:space="preserve"> (</w:t>
      </w:r>
      <w:r w:rsidR="00D2582D" w:rsidRPr="009E5B39">
        <w:rPr>
          <w:rFonts w:asciiTheme="majorHAnsi" w:hAnsiTheme="majorHAnsi" w:cstheme="majorHAnsi"/>
          <w:i/>
          <w:sz w:val="24"/>
          <w:szCs w:val="24"/>
          <w:lang w:val="ro-MD"/>
        </w:rPr>
        <w:t>D</w:t>
      </w:r>
      <w:r w:rsidRPr="009E5B39">
        <w:rPr>
          <w:rFonts w:asciiTheme="majorHAnsi" w:hAnsiTheme="majorHAnsi" w:cstheme="majorHAnsi"/>
          <w:i/>
          <w:sz w:val="24"/>
          <w:szCs w:val="24"/>
          <w:lang w:val="ro-MD"/>
        </w:rPr>
        <w:t>etalii suplimentare la acest subiect sunt expuse în Anexa nr.16 la prezentul Raport de audit.</w:t>
      </w:r>
      <w:r w:rsidR="00D2582D" w:rsidRPr="009E5B39">
        <w:rPr>
          <w:rFonts w:asciiTheme="majorHAnsi" w:hAnsiTheme="majorHAnsi" w:cstheme="majorHAnsi"/>
          <w:i/>
          <w:sz w:val="24"/>
          <w:szCs w:val="24"/>
          <w:lang w:val="ro-MD"/>
        </w:rPr>
        <w:t>)</w:t>
      </w:r>
    </w:p>
    <w:p w14:paraId="10B14B4C" w14:textId="1A12D997" w:rsidR="00E37505" w:rsidRPr="009E5B39" w:rsidRDefault="00E37505" w:rsidP="003C5073">
      <w:pPr>
        <w:pStyle w:val="ListParagraph"/>
        <w:numPr>
          <w:ilvl w:val="0"/>
          <w:numId w:val="92"/>
        </w:numPr>
        <w:tabs>
          <w:tab w:val="left" w:pos="0"/>
        </w:tabs>
        <w:spacing w:after="0" w:line="276" w:lineRule="auto"/>
        <w:ind w:left="0" w:firstLine="567"/>
        <w:jc w:val="both"/>
        <w:rPr>
          <w:rFonts w:asciiTheme="majorHAnsi" w:hAnsiTheme="majorHAnsi" w:cstheme="majorHAnsi"/>
          <w:b/>
          <w:sz w:val="24"/>
          <w:szCs w:val="24"/>
          <w:lang w:val="ro-MD"/>
        </w:rPr>
      </w:pPr>
      <w:r w:rsidRPr="009E5B39">
        <w:rPr>
          <w:rFonts w:asciiTheme="majorHAnsi" w:hAnsiTheme="majorHAnsi" w:cstheme="majorHAnsi"/>
          <w:bCs/>
          <w:iCs/>
          <w:sz w:val="24"/>
          <w:szCs w:val="24"/>
          <w:lang w:val="ro-MD"/>
        </w:rPr>
        <w:t>Auditul precedent</w:t>
      </w:r>
      <w:r w:rsidRPr="009E5B39">
        <w:rPr>
          <w:rStyle w:val="FootnoteReference"/>
          <w:rFonts w:asciiTheme="majorHAnsi" w:hAnsiTheme="majorHAnsi" w:cstheme="majorHAnsi"/>
          <w:bCs/>
          <w:iCs/>
          <w:sz w:val="24"/>
          <w:szCs w:val="24"/>
          <w:lang w:val="ro-MD"/>
        </w:rPr>
        <w:footnoteReference w:id="193"/>
      </w:r>
      <w:r w:rsidRPr="009E5B39">
        <w:rPr>
          <w:rFonts w:asciiTheme="majorHAnsi" w:hAnsiTheme="majorHAnsi" w:cstheme="majorHAnsi"/>
          <w:bCs/>
          <w:iCs/>
          <w:sz w:val="24"/>
          <w:szCs w:val="24"/>
          <w:lang w:val="ro-MD"/>
        </w:rPr>
        <w:t xml:space="preserve">  a indicat că </w:t>
      </w:r>
      <w:r w:rsidRPr="009E5B39">
        <w:rPr>
          <w:rFonts w:asciiTheme="majorHAnsi" w:hAnsiTheme="majorHAnsi" w:cstheme="majorHAnsi"/>
          <w:sz w:val="24"/>
          <w:szCs w:val="24"/>
          <w:lang w:val="ro-MD"/>
        </w:rPr>
        <w:t>pentru proiectarea și construirea unor blocuri locative pe terenul cu nr</w:t>
      </w:r>
      <w:r w:rsidR="00D2582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cadastral </w:t>
      </w:r>
      <w:r w:rsidRPr="009E5B39">
        <w:rPr>
          <w:rFonts w:asciiTheme="majorHAnsi" w:hAnsiTheme="majorHAnsi" w:cstheme="majorHAnsi"/>
          <w:b/>
          <w:sz w:val="24"/>
          <w:szCs w:val="24"/>
          <w:lang w:val="ro-MD"/>
        </w:rPr>
        <w:t>0100313239</w:t>
      </w:r>
      <w:r w:rsidR="00D2582D" w:rsidRPr="009E5B39">
        <w:rPr>
          <w:rFonts w:asciiTheme="majorHAnsi" w:hAnsiTheme="majorHAnsi" w:cstheme="majorHAnsi"/>
          <w:b/>
          <w:sz w:val="24"/>
          <w:szCs w:val="24"/>
          <w:lang w:val="ro-MD"/>
        </w:rPr>
        <w:t>,</w:t>
      </w:r>
      <w:r w:rsidRPr="009E5B39">
        <w:rPr>
          <w:rFonts w:asciiTheme="majorHAnsi" w:hAnsiTheme="majorHAnsi" w:cstheme="majorHAnsi"/>
          <w:sz w:val="24"/>
          <w:szCs w:val="24"/>
          <w:lang w:val="ro-MD"/>
        </w:rPr>
        <w:t xml:space="preserve"> cu suprafața de 0,77 ha</w:t>
      </w:r>
      <w:r w:rsidR="00D2582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 pe</w:t>
      </w:r>
      <w:r w:rsidRPr="009E5B39">
        <w:rPr>
          <w:rFonts w:asciiTheme="majorHAnsi" w:hAnsiTheme="majorHAnsi" w:cstheme="majorHAnsi"/>
          <w:b/>
          <w:sz w:val="24"/>
          <w:szCs w:val="24"/>
          <w:lang w:val="ro-MD"/>
        </w:rPr>
        <w:t xml:space="preserve"> bd. Mircea cel Bătrân </w:t>
      </w:r>
      <w:r w:rsidRPr="009E5B39">
        <w:rPr>
          <w:rFonts w:asciiTheme="majorHAnsi" w:hAnsiTheme="majorHAnsi" w:cstheme="majorHAnsi"/>
          <w:sz w:val="24"/>
          <w:szCs w:val="24"/>
          <w:lang w:val="ro-MD"/>
        </w:rPr>
        <w:t>au fost eliberate CSM documente permisive în construcție (CUP nr. 93/17 din 16.02.2017 și AC nr.303-c/18 din 14.06.2018) în baza deciziei CMC nr.11/53 din 23.12.2014, pe o perioadă de trei ani. Totuși</w:t>
      </w:r>
      <w:r w:rsidR="0089762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contractul de arendă nr.6773/2016 din 29.11.2016  a fost încheiat cu CSM pe un termen de 1 un an, în care nu este indicat nr. cadastral al terenului. Și în RBI nu există nicio mențiune privind înregistrarea dreptului de folosință a</w:t>
      </w:r>
      <w:r w:rsidR="00E71307" w:rsidRPr="009E5B39">
        <w:rPr>
          <w:rFonts w:asciiTheme="majorHAnsi" w:hAnsiTheme="majorHAnsi" w:cstheme="majorHAnsi"/>
          <w:sz w:val="24"/>
          <w:szCs w:val="24"/>
          <w:lang w:val="ro-MD"/>
        </w:rPr>
        <w:t>l</w:t>
      </w:r>
      <w:r w:rsidRPr="009E5B39">
        <w:rPr>
          <w:rFonts w:asciiTheme="majorHAnsi" w:hAnsiTheme="majorHAnsi" w:cstheme="majorHAnsi"/>
          <w:sz w:val="24"/>
          <w:szCs w:val="24"/>
          <w:lang w:val="ro-MD"/>
        </w:rPr>
        <w:t xml:space="preserve"> CSM </w:t>
      </w:r>
      <w:r w:rsidR="00E71307" w:rsidRPr="009E5B39">
        <w:rPr>
          <w:rFonts w:asciiTheme="majorHAnsi" w:hAnsiTheme="majorHAnsi" w:cstheme="majorHAnsi"/>
          <w:sz w:val="24"/>
          <w:szCs w:val="24"/>
          <w:lang w:val="ro-MD"/>
        </w:rPr>
        <w:t>asupra</w:t>
      </w:r>
      <w:r w:rsidRPr="009E5B39">
        <w:rPr>
          <w:rFonts w:asciiTheme="majorHAnsi" w:hAnsiTheme="majorHAnsi" w:cstheme="majorHAnsi"/>
          <w:sz w:val="24"/>
          <w:szCs w:val="24"/>
          <w:lang w:val="ro-MD"/>
        </w:rPr>
        <w:t xml:space="preserve"> acest</w:t>
      </w:r>
      <w:r w:rsidR="00E71307" w:rsidRPr="009E5B39">
        <w:rPr>
          <w:rFonts w:asciiTheme="majorHAnsi" w:hAnsiTheme="majorHAnsi" w:cstheme="majorHAnsi"/>
          <w:sz w:val="24"/>
          <w:szCs w:val="24"/>
          <w:lang w:val="ro-MD"/>
        </w:rPr>
        <w:t>ui</w:t>
      </w:r>
      <w:r w:rsidRPr="009E5B39">
        <w:rPr>
          <w:rFonts w:asciiTheme="majorHAnsi" w:hAnsiTheme="majorHAnsi" w:cstheme="majorHAnsi"/>
          <w:sz w:val="24"/>
          <w:szCs w:val="24"/>
          <w:lang w:val="ro-MD"/>
        </w:rPr>
        <w:t xml:space="preserve"> teren. </w:t>
      </w:r>
    </w:p>
    <w:p w14:paraId="7CA26C43" w14:textId="6E8918D2" w:rsidR="00E37505" w:rsidRPr="009E5B39" w:rsidRDefault="00E37505" w:rsidP="00E37505">
      <w:pPr>
        <w:spacing w:after="0" w:line="276" w:lineRule="auto"/>
        <w:ind w:firstLine="567"/>
        <w:jc w:val="both"/>
        <w:rPr>
          <w:rFonts w:asciiTheme="majorHAnsi" w:hAnsiTheme="majorHAnsi" w:cstheme="majorHAnsi"/>
          <w:b/>
          <w:sz w:val="24"/>
          <w:szCs w:val="24"/>
          <w:lang w:val="ro-MD"/>
        </w:rPr>
      </w:pPr>
      <w:r w:rsidRPr="009E5B39">
        <w:rPr>
          <w:rFonts w:asciiTheme="majorHAnsi" w:hAnsiTheme="majorHAnsi" w:cstheme="majorHAnsi"/>
          <w:sz w:val="24"/>
          <w:szCs w:val="24"/>
          <w:lang w:val="ro-MD"/>
        </w:rPr>
        <w:t>Fără a avea careva drepturi de proprietate asupra terenului</w:t>
      </w:r>
      <w:r w:rsidR="00E71307"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CSM</w:t>
      </w:r>
      <w:r w:rsidR="00E7130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00E71307" w:rsidRPr="009E5B39">
        <w:rPr>
          <w:rFonts w:asciiTheme="majorHAnsi" w:hAnsiTheme="majorHAnsi" w:cstheme="majorHAnsi"/>
          <w:sz w:val="24"/>
          <w:szCs w:val="24"/>
          <w:lang w:val="ro-MD"/>
        </w:rPr>
        <w:t>la</w:t>
      </w:r>
      <w:r w:rsidRPr="009E5B39">
        <w:rPr>
          <w:rFonts w:asciiTheme="majorHAnsi" w:hAnsiTheme="majorHAnsi" w:cstheme="majorHAnsi"/>
          <w:sz w:val="24"/>
          <w:szCs w:val="24"/>
          <w:lang w:val="ro-MD"/>
        </w:rPr>
        <w:t xml:space="preserve"> 16.01.2018</w:t>
      </w:r>
      <w:r w:rsidR="00E7130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 încheiat un contract de societate civilă (nr.3 din 16.01.2018) cu SRL „Basconslux”, prin care acesta contribuie cu terenul în cauză, iar agentul economic - cu mijloace financiare necesare pentru proiectarea, construirea unui complex rezidențial de locuințe și darea în exploatare a imobilului (40% din locuințe vor fi repartizate CSM</w:t>
      </w:r>
      <w:r w:rsidR="00E7130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la preț</w:t>
      </w:r>
      <w:r w:rsidR="00E71307" w:rsidRPr="009E5B39">
        <w:rPr>
          <w:rFonts w:asciiTheme="majorHAnsi" w:hAnsiTheme="majorHAnsi" w:cstheme="majorHAnsi"/>
          <w:sz w:val="24"/>
          <w:szCs w:val="24"/>
          <w:lang w:val="ro-MD"/>
        </w:rPr>
        <w:t>ul</w:t>
      </w:r>
      <w:r w:rsidRPr="009E5B39">
        <w:rPr>
          <w:rFonts w:asciiTheme="majorHAnsi" w:hAnsiTheme="majorHAnsi" w:cstheme="majorHAnsi"/>
          <w:sz w:val="24"/>
          <w:szCs w:val="24"/>
          <w:lang w:val="ro-MD"/>
        </w:rPr>
        <w:t xml:space="preserve"> de 360 euro </w:t>
      </w:r>
      <w:r w:rsidR="00E7130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w:t>
      </w:r>
      <w:r w:rsidRPr="009E5B39">
        <w:rPr>
          <w:rFonts w:asciiTheme="majorHAnsi" w:hAnsiTheme="majorHAnsi" w:cstheme="majorHAnsi"/>
          <w:b/>
          <w:sz w:val="24"/>
          <w:szCs w:val="24"/>
          <w:lang w:val="ro-MD"/>
        </w:rPr>
        <w:t xml:space="preserve"> </w:t>
      </w:r>
    </w:p>
    <w:p w14:paraId="7E2040E2" w14:textId="3C3D2512" w:rsidR="00E37505" w:rsidRPr="009E5B39" w:rsidRDefault="00E37505" w:rsidP="00E37505">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Conform informației primite de la DGAURF, auditul menționează că până în prezent CSM nu a achitat plata </w:t>
      </w:r>
      <w:r w:rsidR="00731A29" w:rsidRPr="009E5B39">
        <w:rPr>
          <w:rFonts w:asciiTheme="majorHAnsi" w:hAnsiTheme="majorHAnsi" w:cstheme="majorHAnsi"/>
          <w:sz w:val="24"/>
          <w:szCs w:val="24"/>
          <w:lang w:val="ro-MD"/>
        </w:rPr>
        <w:t>pentru</w:t>
      </w:r>
      <w:r w:rsidRPr="009E5B39">
        <w:rPr>
          <w:rFonts w:asciiTheme="majorHAnsi" w:hAnsiTheme="majorHAnsi" w:cstheme="majorHAnsi"/>
          <w:sz w:val="24"/>
          <w:szCs w:val="24"/>
          <w:lang w:val="ro-MD"/>
        </w:rPr>
        <w:t xml:space="preserve"> arendă în sumă totală de 1.241,3 mii lei</w:t>
      </w:r>
      <w:r w:rsidR="00731A2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pe perioada 23.12.2014-29.11.2017, conform prevederilor contractului.</w:t>
      </w:r>
    </w:p>
    <w:p w14:paraId="36660DF8" w14:textId="4D238856" w:rsidR="00E37505" w:rsidRPr="009E5B39" w:rsidRDefault="00E37505" w:rsidP="00E37505">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Prezentul audit a constatat că Primăria mun. Chișinău a depus la 13.04.2017 o cerere de chemare în judecată împotriva CSM privind încasarea plăților </w:t>
      </w:r>
      <w:r w:rsidR="00731A29" w:rsidRPr="009E5B39">
        <w:rPr>
          <w:rFonts w:asciiTheme="majorHAnsi" w:hAnsiTheme="majorHAnsi" w:cstheme="majorHAnsi"/>
          <w:sz w:val="24"/>
          <w:szCs w:val="24"/>
          <w:lang w:val="ro-MD"/>
        </w:rPr>
        <w:t>pentru</w:t>
      </w:r>
      <w:r w:rsidRPr="009E5B39">
        <w:rPr>
          <w:rFonts w:asciiTheme="majorHAnsi" w:hAnsiTheme="majorHAnsi" w:cstheme="majorHAnsi"/>
          <w:sz w:val="24"/>
          <w:szCs w:val="24"/>
          <w:lang w:val="ro-MD"/>
        </w:rPr>
        <w:t xml:space="preserve"> arendă de 1,24 mil</w:t>
      </w:r>
      <w:r w:rsidR="00731A2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și </w:t>
      </w:r>
      <w:r w:rsidR="00731A29"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penalități</w:t>
      </w:r>
      <w:r w:rsidR="00731A29" w:rsidRPr="009E5B39">
        <w:rPr>
          <w:rFonts w:asciiTheme="majorHAnsi" w:hAnsiTheme="majorHAnsi" w:cstheme="majorHAnsi"/>
          <w:sz w:val="24"/>
          <w:szCs w:val="24"/>
          <w:lang w:val="ro-MD"/>
        </w:rPr>
        <w:t>lor</w:t>
      </w:r>
      <w:r w:rsidRPr="009E5B39">
        <w:rPr>
          <w:rFonts w:asciiTheme="majorHAnsi" w:hAnsiTheme="majorHAnsi" w:cstheme="majorHAnsi"/>
          <w:sz w:val="24"/>
          <w:szCs w:val="24"/>
          <w:lang w:val="ro-MD"/>
        </w:rPr>
        <w:t xml:space="preserve"> de 25,6 mii lei, însă alte informații privind punerea pe rol a cererii nu a prezentat.  DGAURF a continuat calcularea plăților </w:t>
      </w:r>
      <w:r w:rsidR="00731A29" w:rsidRPr="009E5B39">
        <w:rPr>
          <w:rFonts w:asciiTheme="majorHAnsi" w:hAnsiTheme="majorHAnsi" w:cstheme="majorHAnsi"/>
          <w:sz w:val="24"/>
          <w:szCs w:val="24"/>
          <w:lang w:val="ro-MD"/>
        </w:rPr>
        <w:t>pentru</w:t>
      </w:r>
      <w:r w:rsidRPr="009E5B39">
        <w:rPr>
          <w:rFonts w:asciiTheme="majorHAnsi" w:hAnsiTheme="majorHAnsi" w:cstheme="majorHAnsi"/>
          <w:sz w:val="24"/>
          <w:szCs w:val="24"/>
          <w:lang w:val="ro-MD"/>
        </w:rPr>
        <w:t xml:space="preserve"> arendă în perioada anilor 2018-2020</w:t>
      </w:r>
      <w:r w:rsidR="00731A2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sumă de 150,5 mii lei anual, iar la 31.12.2020 înregistra o creanță a CSM de </w:t>
      </w:r>
      <w:r w:rsidRPr="009E5B39">
        <w:rPr>
          <w:rFonts w:asciiTheme="majorHAnsi" w:hAnsiTheme="majorHAnsi" w:cstheme="majorHAnsi"/>
          <w:b/>
          <w:sz w:val="24"/>
          <w:szCs w:val="24"/>
          <w:lang w:val="ro-MD"/>
        </w:rPr>
        <w:t>1,84 mil</w:t>
      </w:r>
      <w:r w:rsidR="002E65B1"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Dacă PMC ar fi vândut din start terenul, prin licitație sau concurs conform legislației în vigoare, ar fi putut încasa venituri în bugetul municipal </w:t>
      </w:r>
      <w:r w:rsidRPr="009E5B39">
        <w:rPr>
          <w:rFonts w:asciiTheme="majorHAnsi" w:hAnsiTheme="majorHAnsi" w:cstheme="majorHAnsi"/>
          <w:b/>
          <w:i/>
          <w:sz w:val="24"/>
          <w:szCs w:val="24"/>
          <w:lang w:val="ro-MD"/>
        </w:rPr>
        <w:t>de cel puțin 15,4 mil.lei</w:t>
      </w:r>
      <w:r w:rsidRPr="009E5B39">
        <w:rPr>
          <w:rFonts w:asciiTheme="majorHAnsi" w:hAnsiTheme="majorHAnsi" w:cstheme="majorHAnsi"/>
          <w:sz w:val="24"/>
          <w:szCs w:val="24"/>
          <w:lang w:val="ro-MD"/>
        </w:rPr>
        <w:t xml:space="preserve">. </w:t>
      </w:r>
    </w:p>
    <w:p w14:paraId="612D602B" w14:textId="7C2BEC38" w:rsidR="00B25240" w:rsidRPr="009E5B39" w:rsidRDefault="00B25240" w:rsidP="003C5073">
      <w:pPr>
        <w:pStyle w:val="ListParagraph"/>
        <w:numPr>
          <w:ilvl w:val="0"/>
          <w:numId w:val="92"/>
        </w:numPr>
        <w:tabs>
          <w:tab w:val="left" w:pos="0"/>
        </w:tabs>
        <w:spacing w:after="0" w:line="276" w:lineRule="auto"/>
        <w:ind w:left="0" w:firstLine="426"/>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Nu au fost întreprinse măsuri nici pentru eliminarea deficiențelor constatate în relațiile cu</w:t>
      </w:r>
      <w:r w:rsidRPr="009E5B39">
        <w:rPr>
          <w:rFonts w:asciiTheme="majorHAnsi" w:eastAsia="Times New Roman" w:hAnsiTheme="majorHAnsi" w:cstheme="majorHAnsi"/>
          <w:i/>
          <w:sz w:val="24"/>
          <w:szCs w:val="24"/>
          <w:lang w:val="ro-MD" w:eastAsia="ru-RU"/>
        </w:rPr>
        <w:t xml:space="preserve"> </w:t>
      </w:r>
      <w:r w:rsidRPr="009E5B39">
        <w:rPr>
          <w:rFonts w:asciiTheme="majorHAnsi" w:eastAsia="Times New Roman" w:hAnsiTheme="majorHAnsi" w:cstheme="majorHAnsi"/>
          <w:sz w:val="24"/>
          <w:szCs w:val="24"/>
          <w:lang w:val="ro-MD" w:eastAsia="ru-RU"/>
        </w:rPr>
        <w:t>SA ,,Transcon-M”</w:t>
      </w:r>
      <w:r w:rsidRPr="009E5B39">
        <w:rPr>
          <w:rFonts w:asciiTheme="majorHAnsi" w:eastAsia="Times New Roman" w:hAnsiTheme="majorHAnsi" w:cstheme="majorHAnsi"/>
          <w:i/>
          <w:sz w:val="24"/>
          <w:szCs w:val="24"/>
          <w:lang w:val="ro-MD" w:eastAsia="ru-RU"/>
        </w:rPr>
        <w:t xml:space="preserve"> </w:t>
      </w:r>
      <w:r w:rsidRPr="009E5B39">
        <w:rPr>
          <w:rFonts w:asciiTheme="majorHAnsi" w:eastAsia="Times New Roman" w:hAnsiTheme="majorHAnsi" w:cstheme="majorHAnsi"/>
          <w:sz w:val="24"/>
          <w:szCs w:val="24"/>
          <w:lang w:val="ro-MD" w:eastAsia="ru-RU"/>
        </w:rPr>
        <w:t xml:space="preserve">(398,5 mii lei și </w:t>
      </w:r>
      <w:r w:rsidRPr="009E5B39">
        <w:rPr>
          <w:rFonts w:asciiTheme="majorHAnsi" w:eastAsia="Times New Roman" w:hAnsiTheme="majorHAnsi" w:cstheme="majorHAnsi"/>
          <w:sz w:val="24"/>
          <w:szCs w:val="24"/>
          <w:lang w:val="ro-MD"/>
        </w:rPr>
        <w:t xml:space="preserve">3,1 mil.lei), </w:t>
      </w:r>
      <w:r w:rsidRPr="009E5B39">
        <w:rPr>
          <w:rFonts w:asciiTheme="majorHAnsi" w:hAnsiTheme="majorHAnsi" w:cstheme="majorHAnsi"/>
          <w:sz w:val="24"/>
          <w:szCs w:val="24"/>
          <w:lang w:val="ro-MD"/>
        </w:rPr>
        <w:t>SRL „ECO-SPORT (circa 1,02 mil</w:t>
      </w:r>
      <w:r w:rsidR="002E65B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euro, sau 20,91 mil</w:t>
      </w:r>
      <w:r w:rsidR="002E65B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„Chișinău Real Estate Holding” SRL </w:t>
      </w:r>
      <w:r w:rsidRPr="009E5B39">
        <w:rPr>
          <w:rFonts w:asciiTheme="majorHAnsi" w:eastAsia="Times New Roman" w:hAnsiTheme="majorHAnsi" w:cstheme="majorHAnsi"/>
          <w:sz w:val="24"/>
          <w:szCs w:val="24"/>
          <w:lang w:val="ro-MD" w:eastAsia="ru-RU"/>
        </w:rPr>
        <w:t>(circa 1,27 mil</w:t>
      </w:r>
      <w:r w:rsidR="002E65B1"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euro, sau 26,08 mil</w:t>
      </w:r>
      <w:r w:rsidR="002E65B1"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lei),  </w:t>
      </w:r>
      <w:r w:rsidRPr="009E5B39">
        <w:rPr>
          <w:rFonts w:asciiTheme="majorHAnsi" w:eastAsia="Times New Roman" w:hAnsiTheme="majorHAnsi" w:cstheme="majorHAnsi"/>
          <w:sz w:val="24"/>
          <w:szCs w:val="24"/>
          <w:lang w:val="ro-MD"/>
        </w:rPr>
        <w:t>SRL „Iralina” (</w:t>
      </w:r>
      <w:r w:rsidRPr="009E5B39">
        <w:rPr>
          <w:rFonts w:asciiTheme="majorHAnsi" w:eastAsia="Times New Roman" w:hAnsiTheme="majorHAnsi" w:cstheme="majorHAnsi"/>
          <w:sz w:val="24"/>
          <w:szCs w:val="24"/>
          <w:lang w:val="ro-MD" w:eastAsia="ru-RU"/>
        </w:rPr>
        <w:t>37,3 mii lei). (Pentru detalii vezi Anexa nr.16 la Raportul de audit</w:t>
      </w:r>
      <w:r w:rsidR="002E65B1"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w:t>
      </w:r>
    </w:p>
    <w:p w14:paraId="0432C448" w14:textId="1CDC4457" w:rsidR="00E37505" w:rsidRPr="009E5B39" w:rsidRDefault="00E54927" w:rsidP="003C5073">
      <w:pPr>
        <w:pStyle w:val="ListParagraph"/>
        <w:numPr>
          <w:ilvl w:val="0"/>
          <w:numId w:val="92"/>
        </w:numPr>
        <w:tabs>
          <w:tab w:val="left" w:pos="0"/>
        </w:tabs>
        <w:spacing w:after="0" w:line="276" w:lineRule="auto"/>
        <w:ind w:left="0" w:firstLine="426"/>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Deși Primăria mun.</w:t>
      </w:r>
      <w:r w:rsidR="00DD30A5"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Chișinău a inițiat mai multe </w:t>
      </w:r>
      <w:r w:rsidR="00E37505" w:rsidRPr="009E5B39">
        <w:rPr>
          <w:rFonts w:asciiTheme="majorHAnsi" w:eastAsia="Times New Roman" w:hAnsiTheme="majorHAnsi" w:cstheme="majorHAnsi"/>
          <w:sz w:val="24"/>
          <w:szCs w:val="24"/>
          <w:lang w:val="ro-MD" w:eastAsia="ru-RU"/>
        </w:rPr>
        <w:t xml:space="preserve">litigii </w:t>
      </w:r>
      <w:r w:rsidR="00DD30A5" w:rsidRPr="009E5B39">
        <w:rPr>
          <w:rFonts w:asciiTheme="majorHAnsi" w:eastAsia="Times New Roman" w:hAnsiTheme="majorHAnsi" w:cstheme="majorHAnsi"/>
          <w:sz w:val="24"/>
          <w:szCs w:val="24"/>
          <w:lang w:val="ro-MD" w:eastAsia="ru-RU"/>
        </w:rPr>
        <w:t xml:space="preserve">judiciare, care continuă până în prezent, </w:t>
      </w:r>
      <w:r w:rsidRPr="009E5B39">
        <w:rPr>
          <w:rFonts w:asciiTheme="majorHAnsi" w:eastAsia="Times New Roman" w:hAnsiTheme="majorHAnsi" w:cstheme="majorHAnsi"/>
          <w:sz w:val="24"/>
          <w:szCs w:val="24"/>
          <w:lang w:val="ro-MD" w:eastAsia="ru-RU"/>
        </w:rPr>
        <w:t>pentru recuperarea drepturilor de proprietate municipal</w:t>
      </w:r>
      <w:r w:rsidR="003C3856" w:rsidRPr="009E5B39">
        <w:rPr>
          <w:rFonts w:asciiTheme="majorHAnsi" w:eastAsia="Times New Roman" w:hAnsiTheme="majorHAnsi" w:cstheme="majorHAnsi"/>
          <w:sz w:val="24"/>
          <w:szCs w:val="24"/>
          <w:lang w:val="ro-MD" w:eastAsia="ru-RU"/>
        </w:rPr>
        <w:t>ă</w:t>
      </w:r>
      <w:r w:rsidRPr="009E5B39">
        <w:rPr>
          <w:rFonts w:asciiTheme="majorHAnsi" w:eastAsia="Times New Roman" w:hAnsiTheme="majorHAnsi" w:cstheme="majorHAnsi"/>
          <w:sz w:val="24"/>
          <w:szCs w:val="24"/>
          <w:lang w:val="ro-MD" w:eastAsia="ru-RU"/>
        </w:rPr>
        <w:t xml:space="preserve"> asupra </w:t>
      </w:r>
      <w:r w:rsidR="004D7D0D" w:rsidRPr="009E5B39">
        <w:rPr>
          <w:rFonts w:asciiTheme="majorHAnsi" w:eastAsia="Times New Roman" w:hAnsiTheme="majorHAnsi" w:cstheme="majorHAnsi"/>
          <w:sz w:val="24"/>
          <w:szCs w:val="24"/>
          <w:lang w:val="ro-MD" w:eastAsia="ru-RU"/>
        </w:rPr>
        <w:t xml:space="preserve">a </w:t>
      </w:r>
      <w:r w:rsidR="000333B0" w:rsidRPr="009E5B39">
        <w:rPr>
          <w:rFonts w:asciiTheme="majorHAnsi" w:eastAsia="Times New Roman" w:hAnsiTheme="majorHAnsi" w:cstheme="majorHAnsi"/>
          <w:sz w:val="24"/>
          <w:szCs w:val="24"/>
          <w:lang w:val="ro-MD" w:eastAsia="ru-RU"/>
        </w:rPr>
        <w:t xml:space="preserve">20 de terenuri cu suprafață totală de 2,7991 ha </w:t>
      </w:r>
      <w:r w:rsidR="00E37505" w:rsidRPr="009E5B39">
        <w:rPr>
          <w:rFonts w:asciiTheme="majorHAnsi" w:eastAsia="Times New Roman" w:hAnsiTheme="majorHAnsi" w:cstheme="majorHAnsi"/>
          <w:sz w:val="24"/>
          <w:szCs w:val="24"/>
          <w:lang w:val="ro-MD" w:eastAsia="ru-RU"/>
        </w:rPr>
        <w:t>înstrăina</w:t>
      </w:r>
      <w:r w:rsidRPr="009E5B39">
        <w:rPr>
          <w:rFonts w:asciiTheme="majorHAnsi" w:eastAsia="Times New Roman" w:hAnsiTheme="majorHAnsi" w:cstheme="majorHAnsi"/>
          <w:sz w:val="24"/>
          <w:szCs w:val="24"/>
          <w:lang w:val="ro-MD" w:eastAsia="ru-RU"/>
        </w:rPr>
        <w:t xml:space="preserve">te </w:t>
      </w:r>
      <w:r w:rsidR="005152A6" w:rsidRPr="009E5B39">
        <w:rPr>
          <w:rFonts w:asciiTheme="majorHAnsi" w:eastAsia="Times New Roman" w:hAnsiTheme="majorHAnsi" w:cstheme="majorHAnsi"/>
          <w:sz w:val="24"/>
          <w:szCs w:val="24"/>
          <w:lang w:val="ro-MD" w:eastAsia="ru-RU"/>
        </w:rPr>
        <w:t xml:space="preserve">în anii 2014-2016 </w:t>
      </w:r>
      <w:r w:rsidR="00E37505" w:rsidRPr="009E5B39">
        <w:rPr>
          <w:rFonts w:asciiTheme="majorHAnsi" w:eastAsia="Times New Roman" w:hAnsiTheme="majorHAnsi" w:cstheme="majorHAnsi"/>
          <w:sz w:val="24"/>
          <w:szCs w:val="24"/>
          <w:lang w:val="ro-MD" w:eastAsia="ru-RU"/>
        </w:rPr>
        <w:t>în baza deciziilor de judecată</w:t>
      </w:r>
      <w:r w:rsidR="00DD30A5" w:rsidRPr="009E5B39">
        <w:rPr>
          <w:rFonts w:asciiTheme="majorHAnsi" w:eastAsia="Times New Roman" w:hAnsiTheme="majorHAnsi" w:cstheme="majorHAnsi"/>
          <w:sz w:val="24"/>
          <w:szCs w:val="24"/>
          <w:lang w:val="ro-MD" w:eastAsia="ru-RU"/>
        </w:rPr>
        <w:t>,</w:t>
      </w:r>
      <w:r w:rsidR="00E37505" w:rsidRPr="009E5B39">
        <w:rPr>
          <w:rFonts w:asciiTheme="majorHAnsi" w:eastAsia="Times New Roman" w:hAnsiTheme="majorHAnsi" w:cstheme="majorHAnsi"/>
          <w:sz w:val="24"/>
          <w:szCs w:val="24"/>
          <w:lang w:val="ro-MD" w:eastAsia="ru-RU"/>
        </w:rPr>
        <w:t xml:space="preserve"> fără acordul </w:t>
      </w:r>
      <w:r w:rsidR="005152A6" w:rsidRPr="009E5B39">
        <w:rPr>
          <w:rFonts w:asciiTheme="majorHAnsi" w:eastAsia="Times New Roman" w:hAnsiTheme="majorHAnsi" w:cstheme="majorHAnsi"/>
          <w:sz w:val="24"/>
          <w:szCs w:val="24"/>
          <w:lang w:val="ro-MD" w:eastAsia="ru-RU"/>
        </w:rPr>
        <w:t>CMC</w:t>
      </w:r>
      <w:r w:rsidR="00E37505" w:rsidRPr="009E5B39">
        <w:rPr>
          <w:rFonts w:asciiTheme="majorHAnsi" w:eastAsia="Times New Roman" w:hAnsiTheme="majorHAnsi" w:cstheme="majorHAnsi"/>
          <w:sz w:val="24"/>
          <w:szCs w:val="24"/>
          <w:lang w:val="ro-MD" w:eastAsia="ru-RU"/>
        </w:rPr>
        <w:t>, până la pronunțarea decizii</w:t>
      </w:r>
      <w:r w:rsidR="005152A6" w:rsidRPr="009E5B39">
        <w:rPr>
          <w:rFonts w:asciiTheme="majorHAnsi" w:eastAsia="Times New Roman" w:hAnsiTheme="majorHAnsi" w:cstheme="majorHAnsi"/>
          <w:sz w:val="24"/>
          <w:szCs w:val="24"/>
          <w:lang w:val="ro-MD" w:eastAsia="ru-RU"/>
        </w:rPr>
        <w:t>lor</w:t>
      </w:r>
      <w:r w:rsidR="00E37505" w:rsidRPr="009E5B39">
        <w:rPr>
          <w:rFonts w:asciiTheme="majorHAnsi" w:eastAsia="Times New Roman" w:hAnsiTheme="majorHAnsi" w:cstheme="majorHAnsi"/>
          <w:sz w:val="24"/>
          <w:szCs w:val="24"/>
          <w:lang w:val="ro-MD" w:eastAsia="ru-RU"/>
        </w:rPr>
        <w:t xml:space="preserve"> definitive, cu terenurile date </w:t>
      </w:r>
      <w:r w:rsidR="005152A6" w:rsidRPr="009E5B39">
        <w:rPr>
          <w:rFonts w:asciiTheme="majorHAnsi" w:eastAsia="Times New Roman" w:hAnsiTheme="majorHAnsi" w:cstheme="majorHAnsi"/>
          <w:sz w:val="24"/>
          <w:szCs w:val="24"/>
          <w:lang w:val="ro-MD" w:eastAsia="ru-RU"/>
        </w:rPr>
        <w:t xml:space="preserve">au fost </w:t>
      </w:r>
      <w:r w:rsidR="00E37505" w:rsidRPr="009E5B39">
        <w:rPr>
          <w:rFonts w:asciiTheme="majorHAnsi" w:eastAsia="Times New Roman" w:hAnsiTheme="majorHAnsi" w:cstheme="majorHAnsi"/>
          <w:sz w:val="24"/>
          <w:szCs w:val="24"/>
          <w:lang w:val="ro-MD" w:eastAsia="ru-RU"/>
        </w:rPr>
        <w:t xml:space="preserve">înfăptuite mai multe tranzacții, ceea ce permite beneficiarilor finali invocarea bunei credințe, deci pierderea de către APL a dreptului de proprietate asupra acestor terenuri. Prejudiciul cauzat poate fi estimat la un preț de piață  de aproximativ </w:t>
      </w:r>
      <w:r w:rsidR="00E37505" w:rsidRPr="009E5B39">
        <w:rPr>
          <w:rFonts w:asciiTheme="majorHAnsi" w:eastAsia="Times New Roman" w:hAnsiTheme="majorHAnsi" w:cstheme="majorHAnsi"/>
          <w:b/>
          <w:sz w:val="24"/>
          <w:szCs w:val="24"/>
          <w:lang w:val="ro-MD" w:eastAsia="ru-RU"/>
        </w:rPr>
        <w:t>5,5 mil. euro</w:t>
      </w:r>
      <w:r w:rsidR="00E37505" w:rsidRPr="009E5B39">
        <w:rPr>
          <w:rFonts w:asciiTheme="majorHAnsi" w:eastAsia="Times New Roman" w:hAnsiTheme="majorHAnsi" w:cstheme="majorHAnsi"/>
          <w:sz w:val="24"/>
          <w:szCs w:val="24"/>
          <w:lang w:val="ro-MD" w:eastAsia="ru-RU"/>
        </w:rPr>
        <w:t xml:space="preserve">, echivalentul a </w:t>
      </w:r>
      <w:r w:rsidR="00E37505" w:rsidRPr="009E5B39">
        <w:rPr>
          <w:rFonts w:asciiTheme="majorHAnsi" w:eastAsia="Times New Roman" w:hAnsiTheme="majorHAnsi" w:cstheme="majorHAnsi"/>
          <w:b/>
          <w:sz w:val="24"/>
          <w:szCs w:val="24"/>
          <w:lang w:val="ro-MD" w:eastAsia="ru-RU"/>
        </w:rPr>
        <w:t>117,2 mil.lei</w:t>
      </w:r>
      <w:r w:rsidR="00E37505" w:rsidRPr="009E5B39">
        <w:rPr>
          <w:rStyle w:val="FootnoteReference"/>
          <w:rFonts w:asciiTheme="majorHAnsi" w:eastAsia="Times New Roman" w:hAnsiTheme="majorHAnsi" w:cstheme="majorHAnsi"/>
          <w:b/>
          <w:sz w:val="24"/>
          <w:szCs w:val="24"/>
          <w:lang w:val="ro-MD" w:eastAsia="ru-RU"/>
        </w:rPr>
        <w:footnoteReference w:id="194"/>
      </w:r>
      <w:r w:rsidR="00E37505" w:rsidRPr="009E5B39">
        <w:rPr>
          <w:rFonts w:asciiTheme="majorHAnsi" w:eastAsia="Times New Roman" w:hAnsiTheme="majorHAnsi" w:cstheme="majorHAnsi"/>
          <w:sz w:val="24"/>
          <w:szCs w:val="24"/>
          <w:lang w:val="ro-MD" w:eastAsia="ru-RU"/>
        </w:rPr>
        <w:t xml:space="preserve">. </w:t>
      </w:r>
      <w:r w:rsidR="00E37505" w:rsidRPr="009E5B39">
        <w:rPr>
          <w:rFonts w:asciiTheme="majorHAnsi" w:hAnsiTheme="majorHAnsi" w:cstheme="majorHAnsi"/>
          <w:i/>
          <w:sz w:val="24"/>
          <w:szCs w:val="24"/>
          <w:lang w:val="ro-MD"/>
        </w:rPr>
        <w:t>(</w:t>
      </w:r>
      <w:r w:rsidR="00BC1DFF" w:rsidRPr="009E5B39">
        <w:rPr>
          <w:rFonts w:asciiTheme="majorHAnsi" w:hAnsiTheme="majorHAnsi" w:cstheme="majorHAnsi"/>
          <w:i/>
          <w:sz w:val="24"/>
          <w:szCs w:val="24"/>
          <w:lang w:val="ro-MD"/>
        </w:rPr>
        <w:t>D</w:t>
      </w:r>
      <w:r w:rsidR="00E37505" w:rsidRPr="009E5B39">
        <w:rPr>
          <w:rFonts w:asciiTheme="majorHAnsi" w:hAnsiTheme="majorHAnsi" w:cstheme="majorHAnsi"/>
          <w:i/>
          <w:sz w:val="24"/>
          <w:szCs w:val="24"/>
          <w:lang w:val="ro-MD"/>
        </w:rPr>
        <w:t>etalii suplimentare la acest subiect sunt expuse în Anexa nr.17 la Raport</w:t>
      </w:r>
      <w:r w:rsidR="00BC1DFF" w:rsidRPr="009E5B39">
        <w:rPr>
          <w:rFonts w:asciiTheme="majorHAnsi" w:hAnsiTheme="majorHAnsi" w:cstheme="majorHAnsi"/>
          <w:i/>
          <w:sz w:val="24"/>
          <w:szCs w:val="24"/>
          <w:lang w:val="ro-MD"/>
        </w:rPr>
        <w:t>ul de audit</w:t>
      </w:r>
      <w:r w:rsidR="00E37505" w:rsidRPr="009E5B39">
        <w:rPr>
          <w:rFonts w:asciiTheme="majorHAnsi" w:hAnsiTheme="majorHAnsi" w:cstheme="majorHAnsi"/>
          <w:i/>
          <w:sz w:val="24"/>
          <w:szCs w:val="24"/>
          <w:lang w:val="ro-MD"/>
        </w:rPr>
        <w:t>)</w:t>
      </w:r>
      <w:r w:rsidR="00DE15A2" w:rsidRPr="009E5B39">
        <w:rPr>
          <w:rFonts w:asciiTheme="majorHAnsi" w:hAnsiTheme="majorHAnsi" w:cstheme="majorHAnsi"/>
          <w:i/>
          <w:sz w:val="24"/>
          <w:szCs w:val="24"/>
          <w:lang w:val="ro-MD"/>
        </w:rPr>
        <w:t>.</w:t>
      </w:r>
    </w:p>
    <w:p w14:paraId="1A20072F" w14:textId="06F8FAC6" w:rsidR="00B25240" w:rsidRPr="009E5B39" w:rsidRDefault="00B25240" w:rsidP="004979F3">
      <w:pPr>
        <w:pStyle w:val="ListParagraph"/>
        <w:numPr>
          <w:ilvl w:val="2"/>
          <w:numId w:val="29"/>
        </w:numPr>
        <w:spacing w:after="0" w:line="276" w:lineRule="auto"/>
        <w:ind w:left="0" w:firstLine="0"/>
        <w:jc w:val="both"/>
        <w:rPr>
          <w:rFonts w:ascii="Calibri Light" w:eastAsia="Calibri" w:hAnsi="Calibri Light" w:cs="Tahoma"/>
          <w:sz w:val="24"/>
          <w:lang w:val="ro-MD"/>
        </w:rPr>
      </w:pPr>
      <w:r w:rsidRPr="009E5B39">
        <w:rPr>
          <w:rFonts w:asciiTheme="majorHAnsi" w:eastAsia="Times New Roman" w:hAnsiTheme="majorHAnsi" w:cstheme="majorHAnsi"/>
          <w:b/>
          <w:i/>
          <w:sz w:val="24"/>
          <w:szCs w:val="24"/>
          <w:lang w:val="ro-MD"/>
        </w:rPr>
        <w:t>APL din mun. Chișinău în continuare nu asigură întocmirea contractelor de folosire a terenurilor proprietate municipală.</w:t>
      </w:r>
      <w:r w:rsidRPr="009E5B39">
        <w:rPr>
          <w:rFonts w:asciiTheme="majorHAnsi" w:eastAsia="Times New Roman" w:hAnsiTheme="majorHAnsi" w:cstheme="majorHAnsi"/>
          <w:sz w:val="24"/>
          <w:szCs w:val="24"/>
          <w:lang w:val="ro-MD"/>
        </w:rPr>
        <w:t xml:space="preserve"> </w:t>
      </w:r>
      <w:r w:rsidRPr="009E5B39">
        <w:rPr>
          <w:rFonts w:asciiTheme="majorHAnsi" w:hAnsiTheme="majorHAnsi" w:cstheme="majorHAnsi"/>
          <w:b/>
          <w:i/>
          <w:sz w:val="24"/>
          <w:szCs w:val="24"/>
          <w:lang w:val="ro-MD"/>
        </w:rPr>
        <w:t xml:space="preserve">În mod regulamentar, de la proprietarii obiectelor privatizate sau ai întreprinderilor și obiectelor private, în cazul în care nu au cumpărat sau nu au arendat terenuri aferente obiectelor ori întreprinderilor menționate, se va încasa anual plata pentru folosirea terenului (stabilită în mod unilateral de CL) de până la 10% din prețul normativ al pământului. APL nu au dat dovadă de responsabilitate </w:t>
      </w:r>
      <w:r w:rsidR="00D82BC5" w:rsidRPr="009E5B39">
        <w:rPr>
          <w:rFonts w:asciiTheme="majorHAnsi" w:hAnsiTheme="majorHAnsi" w:cstheme="majorHAnsi"/>
          <w:b/>
          <w:i/>
          <w:sz w:val="24"/>
          <w:szCs w:val="24"/>
          <w:lang w:val="ro-MD"/>
        </w:rPr>
        <w:t>la</w:t>
      </w:r>
      <w:r w:rsidRPr="009E5B39">
        <w:rPr>
          <w:rFonts w:asciiTheme="majorHAnsi" w:hAnsiTheme="majorHAnsi" w:cstheme="majorHAnsi"/>
          <w:b/>
          <w:i/>
          <w:sz w:val="24"/>
          <w:szCs w:val="24"/>
          <w:lang w:val="ro-MD"/>
        </w:rPr>
        <w:t xml:space="preserve"> evalu</w:t>
      </w:r>
      <w:r w:rsidR="00D82BC5" w:rsidRPr="009E5B39">
        <w:rPr>
          <w:rFonts w:asciiTheme="majorHAnsi" w:hAnsiTheme="majorHAnsi" w:cstheme="majorHAnsi"/>
          <w:b/>
          <w:i/>
          <w:sz w:val="24"/>
          <w:szCs w:val="24"/>
          <w:lang w:val="ro-MD"/>
        </w:rPr>
        <w:t>area</w:t>
      </w:r>
      <w:r w:rsidRPr="009E5B39">
        <w:rPr>
          <w:rFonts w:asciiTheme="majorHAnsi" w:hAnsiTheme="majorHAnsi" w:cstheme="majorHAnsi"/>
          <w:b/>
          <w:i/>
          <w:sz w:val="24"/>
          <w:szCs w:val="24"/>
          <w:lang w:val="ro-MD"/>
        </w:rPr>
        <w:t>, impuner</w:t>
      </w:r>
      <w:r w:rsidR="00D82BC5" w:rsidRPr="009E5B39">
        <w:rPr>
          <w:rFonts w:asciiTheme="majorHAnsi" w:hAnsiTheme="majorHAnsi" w:cstheme="majorHAnsi"/>
          <w:b/>
          <w:i/>
          <w:sz w:val="24"/>
          <w:szCs w:val="24"/>
          <w:lang w:val="ro-MD"/>
        </w:rPr>
        <w:t>ea</w:t>
      </w:r>
      <w:r w:rsidRPr="009E5B39">
        <w:rPr>
          <w:rFonts w:asciiTheme="majorHAnsi" w:hAnsiTheme="majorHAnsi" w:cstheme="majorHAnsi"/>
          <w:b/>
          <w:i/>
          <w:sz w:val="24"/>
          <w:szCs w:val="24"/>
          <w:lang w:val="ro-MD"/>
        </w:rPr>
        <w:t xml:space="preserve"> și colect</w:t>
      </w:r>
      <w:r w:rsidR="00D82BC5" w:rsidRPr="009E5B39">
        <w:rPr>
          <w:rFonts w:asciiTheme="majorHAnsi" w:hAnsiTheme="majorHAnsi" w:cstheme="majorHAnsi"/>
          <w:b/>
          <w:i/>
          <w:sz w:val="24"/>
          <w:szCs w:val="24"/>
          <w:lang w:val="ro-MD"/>
        </w:rPr>
        <w:t xml:space="preserve">area </w:t>
      </w:r>
      <w:r w:rsidRPr="009E5B39">
        <w:rPr>
          <w:rFonts w:asciiTheme="majorHAnsi" w:hAnsiTheme="majorHAnsi" w:cstheme="majorHAnsi"/>
          <w:b/>
          <w:i/>
          <w:sz w:val="24"/>
          <w:szCs w:val="24"/>
          <w:lang w:val="ro-MD"/>
        </w:rPr>
        <w:t xml:space="preserve"> tuturor veniturilor proprii provenite din gestionarea terenurilor proprietate publică.  De exemplu:</w:t>
      </w:r>
    </w:p>
    <w:p w14:paraId="59C061E7" w14:textId="18B92412" w:rsidR="00B25240" w:rsidRPr="009E5B39" w:rsidRDefault="00B25240" w:rsidP="00B25240">
      <w:pPr>
        <w:numPr>
          <w:ilvl w:val="0"/>
          <w:numId w:val="43"/>
        </w:numPr>
        <w:spacing w:after="0" w:line="276" w:lineRule="auto"/>
        <w:ind w:left="0" w:firstLine="0"/>
        <w:contextualSpacing/>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 xml:space="preserve">terenul cu </w:t>
      </w:r>
      <w:r w:rsidRPr="009E5B39">
        <w:rPr>
          <w:rFonts w:asciiTheme="majorHAnsi" w:hAnsiTheme="majorHAnsi" w:cstheme="majorHAnsi"/>
          <w:bCs/>
          <w:sz w:val="24"/>
          <w:szCs w:val="24"/>
          <w:lang w:val="ro-MD"/>
        </w:rPr>
        <w:t>nr.</w:t>
      </w:r>
      <w:r w:rsidRPr="009E5B39">
        <w:rPr>
          <w:rFonts w:asciiTheme="majorHAnsi" w:eastAsia="Times New Roman" w:hAnsiTheme="majorHAnsi" w:cstheme="majorHAnsi"/>
          <w:sz w:val="24"/>
          <w:szCs w:val="24"/>
          <w:lang w:val="ro-MD"/>
        </w:rPr>
        <w:t>0100415.180, cu suprafața de circa 150,0 m</w:t>
      </w:r>
      <w:r w:rsidR="00D82BC5" w:rsidRPr="009E5B39">
        <w:rPr>
          <w:rFonts w:asciiTheme="majorHAnsi" w:eastAsia="Times New Roman" w:hAnsiTheme="majorHAnsi" w:cstheme="majorHAnsi"/>
          <w:sz w:val="24"/>
          <w:szCs w:val="24"/>
          <w:vertAlign w:val="superscript"/>
          <w:lang w:val="ro-MD"/>
        </w:rPr>
        <w:t>2</w:t>
      </w:r>
      <w:r w:rsidRPr="009E5B39">
        <w:rPr>
          <w:rFonts w:asciiTheme="majorHAnsi" w:eastAsia="Times New Roman" w:hAnsiTheme="majorHAnsi" w:cstheme="majorHAnsi"/>
          <w:sz w:val="24"/>
          <w:szCs w:val="24"/>
          <w:lang w:val="ro-MD"/>
        </w:rPr>
        <w:t xml:space="preserve"> se folosește ilegal de către proprietarii terenului din str. Carierei nr. 32 (nr. cad. 0100415.179);</w:t>
      </w:r>
    </w:p>
    <w:p w14:paraId="4478ADDD" w14:textId="493673C7" w:rsidR="00B25240" w:rsidRPr="009E5B39" w:rsidRDefault="00B25240" w:rsidP="00B25240">
      <w:pPr>
        <w:numPr>
          <w:ilvl w:val="0"/>
          <w:numId w:val="43"/>
        </w:numPr>
        <w:spacing w:after="0" w:line="276" w:lineRule="auto"/>
        <w:ind w:left="0" w:firstLine="0"/>
        <w:contextualSpacing/>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terenul cu suprafața de 176 m</w:t>
      </w:r>
      <w:r w:rsidR="00D82BC5" w:rsidRPr="009E5B39">
        <w:rPr>
          <w:rFonts w:asciiTheme="majorHAnsi" w:eastAsia="Times New Roman" w:hAnsiTheme="majorHAnsi" w:cstheme="majorHAnsi"/>
          <w:sz w:val="24"/>
          <w:szCs w:val="24"/>
          <w:vertAlign w:val="superscript"/>
          <w:lang w:val="ro-MD"/>
        </w:rPr>
        <w:t>2</w:t>
      </w:r>
      <w:r w:rsidRPr="009E5B39">
        <w:rPr>
          <w:rFonts w:asciiTheme="majorHAnsi" w:eastAsia="Times New Roman" w:hAnsiTheme="majorHAnsi" w:cstheme="majorHAnsi"/>
          <w:sz w:val="24"/>
          <w:szCs w:val="24"/>
          <w:lang w:val="ro-MD"/>
        </w:rPr>
        <w:t xml:space="preserve"> se folosește ilegal de </w:t>
      </w:r>
      <w:r w:rsidR="00D82BC5" w:rsidRPr="009E5B39">
        <w:rPr>
          <w:rFonts w:asciiTheme="majorHAnsi" w:eastAsia="Times New Roman" w:hAnsiTheme="majorHAnsi" w:cstheme="majorHAnsi"/>
          <w:sz w:val="24"/>
          <w:szCs w:val="24"/>
          <w:lang w:val="ro-MD"/>
        </w:rPr>
        <w:t xml:space="preserve">către </w:t>
      </w:r>
      <w:r w:rsidRPr="009E5B39">
        <w:rPr>
          <w:rFonts w:asciiTheme="majorHAnsi" w:eastAsia="Times New Roman" w:hAnsiTheme="majorHAnsi" w:cstheme="majorHAnsi"/>
          <w:sz w:val="24"/>
          <w:szCs w:val="24"/>
          <w:lang w:val="ro-MD"/>
        </w:rPr>
        <w:t>proprietarii terenului din str. Carierei</w:t>
      </w:r>
      <w:r w:rsidR="00D82BC5"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cu numărul cadastral 0100415.022</w:t>
      </w:r>
      <w:r w:rsidR="00DD30A5" w:rsidRPr="009E5B39">
        <w:rPr>
          <w:rFonts w:asciiTheme="majorHAnsi" w:eastAsia="Times New Roman" w:hAnsiTheme="majorHAnsi" w:cstheme="majorHAnsi"/>
          <w:sz w:val="24"/>
          <w:szCs w:val="24"/>
          <w:lang w:val="ro-MD"/>
        </w:rPr>
        <w:t xml:space="preserve"> (</w:t>
      </w:r>
      <w:r w:rsidRPr="009E5B39">
        <w:rPr>
          <w:rFonts w:asciiTheme="majorHAnsi" w:eastAsia="Times New Roman" w:hAnsiTheme="majorHAnsi" w:cstheme="majorHAnsi"/>
          <w:sz w:val="24"/>
          <w:szCs w:val="24"/>
          <w:lang w:val="ro-MD"/>
        </w:rPr>
        <w:t xml:space="preserve">a căror casă nu este înregistrată la </w:t>
      </w:r>
      <w:r w:rsidR="00D82BC5" w:rsidRPr="009E5B39">
        <w:rPr>
          <w:rFonts w:asciiTheme="majorHAnsi" w:eastAsia="Times New Roman" w:hAnsiTheme="majorHAnsi" w:cstheme="majorHAnsi"/>
          <w:sz w:val="24"/>
          <w:szCs w:val="24"/>
          <w:lang w:val="ro-MD"/>
        </w:rPr>
        <w:t>C</w:t>
      </w:r>
      <w:r w:rsidRPr="009E5B39">
        <w:rPr>
          <w:rFonts w:asciiTheme="majorHAnsi" w:eastAsia="Times New Roman" w:hAnsiTheme="majorHAnsi" w:cstheme="majorHAnsi"/>
          <w:sz w:val="24"/>
          <w:szCs w:val="24"/>
          <w:lang w:val="ro-MD"/>
        </w:rPr>
        <w:t>adastru și</w:t>
      </w:r>
      <w:r w:rsidR="00D82BC5"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respectiv</w:t>
      </w:r>
      <w:r w:rsidR="00D82BC5"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impozitată</w:t>
      </w:r>
      <w:r w:rsidR="00DD30A5"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w:t>
      </w:r>
    </w:p>
    <w:p w14:paraId="64B2D40B" w14:textId="66AC8CF0" w:rsidR="00B25240" w:rsidRPr="009E5B39" w:rsidRDefault="00B25240" w:rsidP="00B25240">
      <w:pPr>
        <w:numPr>
          <w:ilvl w:val="0"/>
          <w:numId w:val="43"/>
        </w:numPr>
        <w:spacing w:after="0" w:line="276" w:lineRule="auto"/>
        <w:ind w:left="0" w:firstLine="0"/>
        <w:contextualSpacing/>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terenul de 55,0 m</w:t>
      </w:r>
      <w:r w:rsidR="00D82BC5" w:rsidRPr="009E5B39">
        <w:rPr>
          <w:rFonts w:asciiTheme="majorHAnsi" w:eastAsia="Times New Roman" w:hAnsiTheme="majorHAnsi" w:cstheme="majorHAnsi"/>
          <w:sz w:val="24"/>
          <w:szCs w:val="24"/>
          <w:vertAlign w:val="superscript"/>
          <w:lang w:val="ro-MD"/>
        </w:rPr>
        <w:t>2</w:t>
      </w:r>
      <w:r w:rsidRPr="009E5B39">
        <w:rPr>
          <w:rFonts w:asciiTheme="majorHAnsi" w:eastAsia="Times New Roman" w:hAnsiTheme="majorHAnsi" w:cstheme="majorHAnsi"/>
          <w:sz w:val="24"/>
          <w:szCs w:val="24"/>
          <w:lang w:val="ro-MD"/>
        </w:rPr>
        <w:t xml:space="preserve"> se folosește ilegal de </w:t>
      </w:r>
      <w:r w:rsidR="00D82BC5" w:rsidRPr="009E5B39">
        <w:rPr>
          <w:rFonts w:asciiTheme="majorHAnsi" w:eastAsia="Times New Roman" w:hAnsiTheme="majorHAnsi" w:cstheme="majorHAnsi"/>
          <w:sz w:val="24"/>
          <w:szCs w:val="24"/>
          <w:lang w:val="ro-MD"/>
        </w:rPr>
        <w:t xml:space="preserve">către </w:t>
      </w:r>
      <w:r w:rsidRPr="009E5B39">
        <w:rPr>
          <w:rFonts w:asciiTheme="majorHAnsi" w:eastAsia="Times New Roman" w:hAnsiTheme="majorHAnsi" w:cstheme="majorHAnsi"/>
          <w:sz w:val="24"/>
          <w:szCs w:val="24"/>
          <w:lang w:val="ro-MD"/>
        </w:rPr>
        <w:t>proprietarii terenului din str. Carierei nr.18/A</w:t>
      </w:r>
      <w:r w:rsidR="00D82BC5"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cu numărul cadastral 0100415.028</w:t>
      </w:r>
      <w:r w:rsidR="00D82BC5"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w:t>
      </w:r>
    </w:p>
    <w:p w14:paraId="3B7DA541" w14:textId="04A7BFEA" w:rsidR="00B25240" w:rsidRPr="009E5B39" w:rsidRDefault="00B25240" w:rsidP="00B25240">
      <w:pPr>
        <w:pStyle w:val="ListParagraph"/>
        <w:numPr>
          <w:ilvl w:val="0"/>
          <w:numId w:val="43"/>
        </w:numPr>
        <w:spacing w:after="0" w:line="276" w:lineRule="auto"/>
        <w:ind w:left="0" w:firstLine="0"/>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 xml:space="preserve">terenul cu </w:t>
      </w:r>
      <w:r w:rsidRPr="009E5B39">
        <w:rPr>
          <w:rFonts w:asciiTheme="majorHAnsi" w:hAnsiTheme="majorHAnsi" w:cstheme="majorHAnsi"/>
          <w:bCs/>
          <w:sz w:val="24"/>
          <w:szCs w:val="24"/>
          <w:lang w:val="ro-MD"/>
        </w:rPr>
        <w:t>nr. 0100511196, str. Alba Iulia, 5/2,  supr</w:t>
      </w:r>
      <w:r w:rsidR="00D82BC5"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0,9425 ha; </w:t>
      </w:r>
    </w:p>
    <w:p w14:paraId="5E3980BC" w14:textId="77777777" w:rsidR="00B25240" w:rsidRPr="009E5B39" w:rsidRDefault="00B25240" w:rsidP="00B25240">
      <w:pPr>
        <w:pStyle w:val="ListParagraph"/>
        <w:numPr>
          <w:ilvl w:val="0"/>
          <w:numId w:val="43"/>
        </w:numPr>
        <w:spacing w:after="0" w:line="276" w:lineRule="auto"/>
        <w:ind w:left="0" w:firstLine="0"/>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 xml:space="preserve">terenul cu nr. </w:t>
      </w:r>
      <w:r w:rsidRPr="009E5B39">
        <w:rPr>
          <w:rFonts w:asciiTheme="majorHAnsi" w:hAnsiTheme="majorHAnsi" w:cstheme="majorHAnsi"/>
          <w:bCs/>
          <w:sz w:val="24"/>
          <w:szCs w:val="24"/>
          <w:lang w:val="ro-MD"/>
        </w:rPr>
        <w:t xml:space="preserve">0100114142, bd. Dacia, 53/2, supr. 0.9561 ha; </w:t>
      </w:r>
    </w:p>
    <w:p w14:paraId="5F0C8922" w14:textId="327A16A0" w:rsidR="00B25240" w:rsidRPr="009E5B39" w:rsidRDefault="00B25240" w:rsidP="00B25240">
      <w:pPr>
        <w:pStyle w:val="ListParagraph"/>
        <w:numPr>
          <w:ilvl w:val="0"/>
          <w:numId w:val="43"/>
        </w:numPr>
        <w:spacing w:after="0" w:line="276" w:lineRule="auto"/>
        <w:ind w:left="0" w:firstLine="0"/>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terenul cu nr.</w:t>
      </w:r>
      <w:r w:rsidRPr="009E5B39">
        <w:rPr>
          <w:rFonts w:asciiTheme="majorHAnsi" w:hAnsiTheme="majorHAnsi" w:cstheme="majorHAnsi"/>
          <w:bCs/>
          <w:sz w:val="24"/>
          <w:szCs w:val="24"/>
          <w:lang w:val="ro-MD"/>
        </w:rPr>
        <w:t>0100417107, str. Petru Rareș, 39, supr. 0,8035 ha</w:t>
      </w:r>
      <w:r w:rsidR="00D82BC5" w:rsidRPr="009E5B39">
        <w:rPr>
          <w:rFonts w:asciiTheme="majorHAnsi" w:hAnsiTheme="majorHAnsi" w:cstheme="majorHAnsi"/>
          <w:bCs/>
          <w:sz w:val="24"/>
          <w:szCs w:val="24"/>
          <w:lang w:val="ro-MD"/>
        </w:rPr>
        <w:t>;</w:t>
      </w:r>
    </w:p>
    <w:p w14:paraId="7EF5B936" w14:textId="10C2CED2" w:rsidR="00B25240" w:rsidRPr="009E5B39" w:rsidRDefault="00B25240" w:rsidP="00B25240">
      <w:pPr>
        <w:numPr>
          <w:ilvl w:val="0"/>
          <w:numId w:val="43"/>
        </w:numPr>
        <w:spacing w:after="0" w:line="276" w:lineRule="auto"/>
        <w:ind w:left="0" w:firstLine="0"/>
        <w:contextualSpacing/>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terenul cu suprafața de circa 200,0 m</w:t>
      </w:r>
      <w:r w:rsidR="007E640E" w:rsidRPr="009E5B39">
        <w:rPr>
          <w:rFonts w:asciiTheme="majorHAnsi" w:eastAsia="Times New Roman" w:hAnsiTheme="majorHAnsi" w:cstheme="majorHAnsi"/>
          <w:sz w:val="24"/>
          <w:szCs w:val="24"/>
          <w:vertAlign w:val="superscript"/>
          <w:lang w:val="ro-MD"/>
        </w:rPr>
        <w:t>2</w:t>
      </w:r>
      <w:r w:rsidRPr="009E5B39">
        <w:rPr>
          <w:rFonts w:asciiTheme="majorHAnsi" w:eastAsia="Times New Roman" w:hAnsiTheme="majorHAnsi" w:cstheme="majorHAnsi"/>
          <w:sz w:val="24"/>
          <w:szCs w:val="24"/>
          <w:lang w:val="ro-MD"/>
        </w:rPr>
        <w:t xml:space="preserve"> se folosește ilegal de </w:t>
      </w:r>
      <w:r w:rsidR="007E640E" w:rsidRPr="009E5B39">
        <w:rPr>
          <w:rFonts w:asciiTheme="majorHAnsi" w:eastAsia="Times New Roman" w:hAnsiTheme="majorHAnsi" w:cstheme="majorHAnsi"/>
          <w:sz w:val="24"/>
          <w:szCs w:val="24"/>
          <w:lang w:val="ro-MD"/>
        </w:rPr>
        <w:t xml:space="preserve">către </w:t>
      </w:r>
      <w:r w:rsidRPr="009E5B39">
        <w:rPr>
          <w:rFonts w:asciiTheme="majorHAnsi" w:eastAsia="Times New Roman" w:hAnsiTheme="majorHAnsi" w:cstheme="majorHAnsi"/>
          <w:sz w:val="24"/>
          <w:szCs w:val="24"/>
          <w:lang w:val="ro-MD"/>
        </w:rPr>
        <w:t>proprietarii terenului cu nr. cad. 0100423.046;</w:t>
      </w:r>
    </w:p>
    <w:p w14:paraId="33CF40FB" w14:textId="368A6367" w:rsidR="00B25240" w:rsidRPr="009E5B39" w:rsidRDefault="00B25240" w:rsidP="00B25240">
      <w:pPr>
        <w:numPr>
          <w:ilvl w:val="0"/>
          <w:numId w:val="43"/>
        </w:numPr>
        <w:spacing w:after="0" w:line="276" w:lineRule="auto"/>
        <w:ind w:left="0" w:firstLine="0"/>
        <w:contextualSpacing/>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terenul cu suprafața de circa 2459 m</w:t>
      </w:r>
      <w:r w:rsidR="007E640E" w:rsidRPr="009E5B39">
        <w:rPr>
          <w:rFonts w:asciiTheme="majorHAnsi" w:eastAsia="Times New Roman" w:hAnsiTheme="majorHAnsi" w:cstheme="majorHAnsi"/>
          <w:sz w:val="24"/>
          <w:szCs w:val="24"/>
          <w:vertAlign w:val="superscript"/>
          <w:lang w:val="ro-MD"/>
        </w:rPr>
        <w:t>2</w:t>
      </w:r>
      <w:r w:rsidRPr="009E5B39">
        <w:rPr>
          <w:rFonts w:asciiTheme="majorHAnsi" w:eastAsia="Times New Roman" w:hAnsiTheme="majorHAnsi" w:cstheme="majorHAnsi"/>
          <w:sz w:val="24"/>
          <w:szCs w:val="24"/>
          <w:lang w:val="ro-MD"/>
        </w:rPr>
        <w:t xml:space="preserve"> se folosește ilegal de </w:t>
      </w:r>
      <w:r w:rsidR="007E640E" w:rsidRPr="009E5B39">
        <w:rPr>
          <w:rFonts w:asciiTheme="majorHAnsi" w:eastAsia="Times New Roman" w:hAnsiTheme="majorHAnsi" w:cstheme="majorHAnsi"/>
          <w:sz w:val="24"/>
          <w:szCs w:val="24"/>
          <w:lang w:val="ro-MD"/>
        </w:rPr>
        <w:t xml:space="preserve">către </w:t>
      </w:r>
      <w:r w:rsidRPr="009E5B39">
        <w:rPr>
          <w:rFonts w:asciiTheme="majorHAnsi" w:eastAsia="Times New Roman" w:hAnsiTheme="majorHAnsi" w:cstheme="majorHAnsi"/>
          <w:sz w:val="24"/>
          <w:szCs w:val="24"/>
          <w:lang w:val="ro-MD"/>
        </w:rPr>
        <w:t>proprietarii terenului cu nr. cad. 0100423.014 (SRL Exfactor</w:t>
      </w:r>
      <w:r w:rsidR="007E640E"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Grup);</w:t>
      </w:r>
    </w:p>
    <w:p w14:paraId="30FCBA78" w14:textId="761424E8" w:rsidR="00B25240" w:rsidRPr="009E5B39" w:rsidRDefault="00B25240" w:rsidP="00B25240">
      <w:pPr>
        <w:numPr>
          <w:ilvl w:val="0"/>
          <w:numId w:val="43"/>
        </w:numPr>
        <w:spacing w:after="0" w:line="276" w:lineRule="auto"/>
        <w:ind w:left="0" w:firstLine="0"/>
        <w:contextualSpacing/>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terenul cu nr. cad. 0100415.298, cu suprafața de circa 80,0 m</w:t>
      </w:r>
      <w:r w:rsidR="007E640E" w:rsidRPr="009E5B39">
        <w:rPr>
          <w:rFonts w:asciiTheme="majorHAnsi" w:eastAsia="Times New Roman" w:hAnsiTheme="majorHAnsi" w:cstheme="majorHAnsi"/>
          <w:sz w:val="24"/>
          <w:szCs w:val="24"/>
          <w:vertAlign w:val="superscript"/>
          <w:lang w:val="ro-MD"/>
        </w:rPr>
        <w:t>2</w:t>
      </w:r>
      <w:r w:rsidRPr="009E5B39">
        <w:rPr>
          <w:rFonts w:asciiTheme="majorHAnsi" w:eastAsia="Times New Roman" w:hAnsiTheme="majorHAnsi" w:cstheme="majorHAnsi"/>
          <w:sz w:val="24"/>
          <w:szCs w:val="24"/>
          <w:lang w:val="ro-MD"/>
        </w:rPr>
        <w:t xml:space="preserve"> se folosește ilegal de </w:t>
      </w:r>
      <w:r w:rsidR="007E640E" w:rsidRPr="009E5B39">
        <w:rPr>
          <w:rFonts w:asciiTheme="majorHAnsi" w:eastAsia="Times New Roman" w:hAnsiTheme="majorHAnsi" w:cstheme="majorHAnsi"/>
          <w:sz w:val="24"/>
          <w:szCs w:val="24"/>
          <w:lang w:val="ro-MD"/>
        </w:rPr>
        <w:t xml:space="preserve">către </w:t>
      </w:r>
      <w:r w:rsidRPr="009E5B39">
        <w:rPr>
          <w:rFonts w:asciiTheme="majorHAnsi" w:eastAsia="Times New Roman" w:hAnsiTheme="majorHAnsi" w:cstheme="majorHAnsi"/>
          <w:sz w:val="24"/>
          <w:szCs w:val="24"/>
          <w:lang w:val="ro-MD"/>
        </w:rPr>
        <w:t xml:space="preserve">proprietarii terenului cu nr. cad. 0100415.130; </w:t>
      </w:r>
    </w:p>
    <w:p w14:paraId="6A8A6CE6" w14:textId="00ED8AAA" w:rsidR="00B25240" w:rsidRPr="009E5B39" w:rsidRDefault="00B25240" w:rsidP="00B25240">
      <w:pPr>
        <w:numPr>
          <w:ilvl w:val="0"/>
          <w:numId w:val="43"/>
        </w:numPr>
        <w:spacing w:after="0" w:line="276" w:lineRule="auto"/>
        <w:ind w:left="0" w:firstLine="0"/>
        <w:contextualSpacing/>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pe terenul cu nr. cadastral 0100423.237 și suprafața de 0.314 ha, din sect. Rîșcani</w:t>
      </w:r>
      <w:r w:rsidR="007E640E"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w:t>
      </w:r>
      <w:r w:rsidR="007E640E" w:rsidRPr="009E5B39">
        <w:rPr>
          <w:rFonts w:asciiTheme="majorHAnsi" w:eastAsia="Times New Roman" w:hAnsiTheme="majorHAnsi" w:cstheme="majorHAnsi"/>
          <w:sz w:val="24"/>
          <w:szCs w:val="24"/>
          <w:lang w:val="ro-MD"/>
        </w:rPr>
        <w:t>s-</w:t>
      </w:r>
      <w:r w:rsidRPr="009E5B39">
        <w:rPr>
          <w:rFonts w:asciiTheme="majorHAnsi" w:eastAsia="Times New Roman" w:hAnsiTheme="majorHAnsi" w:cstheme="majorHAnsi"/>
          <w:sz w:val="24"/>
          <w:szCs w:val="24"/>
          <w:lang w:val="ro-MD"/>
        </w:rPr>
        <w:t xml:space="preserve">au </w:t>
      </w:r>
      <w:r w:rsidR="007E640E" w:rsidRPr="009E5B39">
        <w:rPr>
          <w:rFonts w:asciiTheme="majorHAnsi" w:eastAsia="Times New Roman" w:hAnsiTheme="majorHAnsi" w:cstheme="majorHAnsi"/>
          <w:sz w:val="24"/>
          <w:szCs w:val="24"/>
          <w:lang w:val="ro-MD"/>
        </w:rPr>
        <w:t xml:space="preserve"> </w:t>
      </w:r>
      <w:r w:rsidRPr="009E5B39">
        <w:rPr>
          <w:rFonts w:asciiTheme="majorHAnsi" w:eastAsia="Times New Roman" w:hAnsiTheme="majorHAnsi" w:cstheme="majorHAnsi"/>
          <w:sz w:val="24"/>
          <w:szCs w:val="24"/>
          <w:lang w:val="ro-MD"/>
        </w:rPr>
        <w:t>constatat mai multe construcții neautorizate</w:t>
      </w:r>
      <w:r w:rsidR="007E640E"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pentru care nu s-au întreprins măsuri în vederea demolării sau încheierii contractelor de folosire temporară a terenului municipal respectiv, fiind ratate venituri în perioada auditată de </w:t>
      </w:r>
      <w:r w:rsidRPr="009E5B39">
        <w:rPr>
          <w:rFonts w:asciiTheme="majorHAnsi" w:eastAsia="Times New Roman" w:hAnsiTheme="majorHAnsi" w:cstheme="majorHAnsi"/>
          <w:b/>
          <w:sz w:val="24"/>
          <w:szCs w:val="24"/>
          <w:lang w:val="ro-MD"/>
        </w:rPr>
        <w:t>la 24</w:t>
      </w:r>
      <w:r w:rsidR="00787D9F" w:rsidRPr="009E5B39">
        <w:rPr>
          <w:rFonts w:asciiTheme="majorHAnsi" w:eastAsia="Times New Roman" w:hAnsiTheme="majorHAnsi" w:cstheme="majorHAnsi"/>
          <w:b/>
          <w:sz w:val="24"/>
          <w:szCs w:val="24"/>
          <w:lang w:val="ro-MD"/>
        </w:rPr>
        <w:t>,</w:t>
      </w:r>
      <w:r w:rsidRPr="009E5B39">
        <w:rPr>
          <w:rFonts w:asciiTheme="majorHAnsi" w:eastAsia="Times New Roman" w:hAnsiTheme="majorHAnsi" w:cstheme="majorHAnsi"/>
          <w:b/>
          <w:sz w:val="24"/>
          <w:szCs w:val="24"/>
          <w:lang w:val="ro-MD"/>
        </w:rPr>
        <w:t>33 mii lei până la 121</w:t>
      </w:r>
      <w:r w:rsidR="00787D9F" w:rsidRPr="009E5B39">
        <w:rPr>
          <w:rFonts w:asciiTheme="majorHAnsi" w:eastAsia="Times New Roman" w:hAnsiTheme="majorHAnsi" w:cstheme="majorHAnsi"/>
          <w:b/>
          <w:sz w:val="24"/>
          <w:szCs w:val="24"/>
          <w:lang w:val="ro-MD"/>
        </w:rPr>
        <w:t>,</w:t>
      </w:r>
      <w:r w:rsidRPr="009E5B39">
        <w:rPr>
          <w:rFonts w:asciiTheme="majorHAnsi" w:eastAsia="Times New Roman" w:hAnsiTheme="majorHAnsi" w:cstheme="majorHAnsi"/>
          <w:b/>
          <w:sz w:val="24"/>
          <w:szCs w:val="24"/>
          <w:lang w:val="ro-MD"/>
        </w:rPr>
        <w:t>68 mii lei</w:t>
      </w:r>
      <w:r w:rsidRPr="009E5B39">
        <w:rPr>
          <w:rStyle w:val="FootnoteReference"/>
          <w:rFonts w:asciiTheme="majorHAnsi" w:eastAsia="Times New Roman" w:hAnsiTheme="majorHAnsi" w:cstheme="majorHAnsi"/>
          <w:b/>
          <w:sz w:val="24"/>
          <w:szCs w:val="24"/>
          <w:lang w:val="ro-MD"/>
        </w:rPr>
        <w:footnoteReference w:id="195"/>
      </w:r>
      <w:r w:rsidRPr="009E5B39">
        <w:rPr>
          <w:rFonts w:asciiTheme="majorHAnsi" w:eastAsia="Times New Roman" w:hAnsiTheme="majorHAnsi" w:cstheme="majorHAnsi"/>
          <w:b/>
          <w:sz w:val="24"/>
          <w:szCs w:val="24"/>
          <w:lang w:val="ro-MD"/>
        </w:rPr>
        <w:t>.</w:t>
      </w:r>
    </w:p>
    <w:p w14:paraId="5B80B58E" w14:textId="76FDEF6F" w:rsidR="00B25240" w:rsidRPr="009E5B39" w:rsidRDefault="007E640E" w:rsidP="005A7845">
      <w:pPr>
        <w:spacing w:after="0" w:line="276" w:lineRule="auto"/>
        <w:ind w:firstLine="720"/>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O s</w:t>
      </w:r>
      <w:r w:rsidR="00B25240" w:rsidRPr="009E5B39">
        <w:rPr>
          <w:rFonts w:asciiTheme="majorHAnsi" w:eastAsia="Times New Roman" w:hAnsiTheme="majorHAnsi" w:cstheme="majorHAnsi"/>
          <w:sz w:val="24"/>
          <w:szCs w:val="24"/>
          <w:lang w:val="ro-MD"/>
        </w:rPr>
        <w:t xml:space="preserve">ituație similară se atestă și la terenurile aferente garajelor, teraselor de vară, vulcanizărilor și gheretelor de comerț ambulant cu suprafața totală de </w:t>
      </w:r>
      <w:r w:rsidR="00B25240" w:rsidRPr="009E5B39">
        <w:rPr>
          <w:rFonts w:asciiTheme="majorHAnsi" w:eastAsia="Times New Roman" w:hAnsiTheme="majorHAnsi" w:cstheme="majorHAnsi"/>
          <w:b/>
          <w:sz w:val="24"/>
          <w:szCs w:val="24"/>
          <w:lang w:val="ro-MD"/>
        </w:rPr>
        <w:t>7,9352 ha</w:t>
      </w:r>
      <w:r w:rsidR="00B25240" w:rsidRPr="009E5B39">
        <w:rPr>
          <w:rStyle w:val="FootnoteReference"/>
          <w:rFonts w:asciiTheme="majorHAnsi" w:eastAsia="Times New Roman" w:hAnsiTheme="majorHAnsi" w:cstheme="majorHAnsi"/>
          <w:b/>
          <w:sz w:val="24"/>
          <w:szCs w:val="24"/>
          <w:lang w:val="ro-MD"/>
        </w:rPr>
        <w:footnoteReference w:id="196"/>
      </w:r>
      <w:r w:rsidR="00B25240" w:rsidRPr="009E5B39">
        <w:rPr>
          <w:rFonts w:asciiTheme="majorHAnsi" w:eastAsia="Times New Roman" w:hAnsiTheme="majorHAnsi" w:cstheme="majorHAnsi"/>
          <w:b/>
          <w:sz w:val="24"/>
          <w:szCs w:val="24"/>
          <w:lang w:val="ro-MD"/>
        </w:rPr>
        <w:t xml:space="preserve">, </w:t>
      </w:r>
      <w:r w:rsidR="00787D9F" w:rsidRPr="009E5B39">
        <w:rPr>
          <w:rFonts w:asciiTheme="majorHAnsi" w:eastAsia="Times New Roman" w:hAnsiTheme="majorHAnsi" w:cstheme="majorHAnsi"/>
          <w:sz w:val="24"/>
          <w:szCs w:val="24"/>
          <w:lang w:val="ro-MD"/>
        </w:rPr>
        <w:t xml:space="preserve">pentru </w:t>
      </w:r>
      <w:r w:rsidR="00B25240" w:rsidRPr="009E5B39">
        <w:rPr>
          <w:rFonts w:asciiTheme="majorHAnsi" w:eastAsia="Times New Roman" w:hAnsiTheme="majorHAnsi" w:cstheme="majorHAnsi"/>
          <w:sz w:val="24"/>
          <w:szCs w:val="24"/>
          <w:lang w:val="ro-MD"/>
        </w:rPr>
        <w:t>care</w:t>
      </w:r>
      <w:r w:rsidRPr="009E5B39">
        <w:rPr>
          <w:rFonts w:asciiTheme="majorHAnsi" w:eastAsia="Times New Roman" w:hAnsiTheme="majorHAnsi" w:cstheme="majorHAnsi"/>
          <w:sz w:val="24"/>
          <w:szCs w:val="24"/>
          <w:lang w:val="ro-MD"/>
        </w:rPr>
        <w:t>,</w:t>
      </w:r>
      <w:r w:rsidR="00B25240" w:rsidRPr="009E5B39">
        <w:rPr>
          <w:rFonts w:asciiTheme="majorHAnsi" w:eastAsia="Times New Roman" w:hAnsiTheme="majorHAnsi" w:cstheme="majorHAnsi"/>
          <w:sz w:val="24"/>
          <w:szCs w:val="24"/>
          <w:lang w:val="ro-MD"/>
        </w:rPr>
        <w:t xml:space="preserve"> potrivit estimărilor auditului, suma veniturilor </w:t>
      </w:r>
      <w:r w:rsidR="00AD793E" w:rsidRPr="009E5B39">
        <w:rPr>
          <w:rFonts w:asciiTheme="majorHAnsi" w:eastAsia="Times New Roman" w:hAnsiTheme="majorHAnsi" w:cstheme="majorHAnsi"/>
          <w:sz w:val="24"/>
          <w:szCs w:val="24"/>
          <w:lang w:val="ro-MD"/>
        </w:rPr>
        <w:t>neîncasate</w:t>
      </w:r>
      <w:r w:rsidR="00B25240" w:rsidRPr="009E5B39">
        <w:rPr>
          <w:rFonts w:asciiTheme="majorHAnsi" w:eastAsia="Times New Roman" w:hAnsiTheme="majorHAnsi" w:cstheme="majorHAnsi"/>
          <w:sz w:val="24"/>
          <w:szCs w:val="24"/>
          <w:lang w:val="ro-MD"/>
        </w:rPr>
        <w:t xml:space="preserve"> pe anii 2018-2020 constituie cel puțin de la </w:t>
      </w:r>
      <w:r w:rsidR="00B25240" w:rsidRPr="009E5B39">
        <w:rPr>
          <w:rFonts w:asciiTheme="majorHAnsi" w:eastAsia="Times New Roman" w:hAnsiTheme="majorHAnsi" w:cstheme="majorHAnsi"/>
          <w:b/>
          <w:sz w:val="24"/>
          <w:szCs w:val="24"/>
          <w:lang w:val="ro-MD"/>
        </w:rPr>
        <w:t>583,92 mii lei</w:t>
      </w:r>
      <w:r w:rsidR="00B25240" w:rsidRPr="009E5B39">
        <w:rPr>
          <w:rFonts w:asciiTheme="majorHAnsi" w:eastAsia="Times New Roman" w:hAnsiTheme="majorHAnsi" w:cstheme="majorHAnsi"/>
          <w:sz w:val="24"/>
          <w:szCs w:val="24"/>
          <w:lang w:val="ro-MD"/>
        </w:rPr>
        <w:t xml:space="preserve"> (2%) până la </w:t>
      </w:r>
      <w:r w:rsidR="00B25240" w:rsidRPr="009E5B39">
        <w:rPr>
          <w:rFonts w:asciiTheme="majorHAnsi" w:eastAsia="Times New Roman" w:hAnsiTheme="majorHAnsi" w:cstheme="majorHAnsi"/>
          <w:b/>
          <w:sz w:val="24"/>
          <w:szCs w:val="24"/>
          <w:lang w:val="ro-MD"/>
        </w:rPr>
        <w:t>2,92 mil</w:t>
      </w:r>
      <w:r w:rsidR="00787D9F" w:rsidRPr="009E5B39">
        <w:rPr>
          <w:rFonts w:asciiTheme="majorHAnsi" w:eastAsia="Times New Roman" w:hAnsiTheme="majorHAnsi" w:cstheme="majorHAnsi"/>
          <w:b/>
          <w:sz w:val="24"/>
          <w:szCs w:val="24"/>
          <w:lang w:val="ro-MD"/>
        </w:rPr>
        <w:t>.</w:t>
      </w:r>
      <w:r w:rsidR="00B25240" w:rsidRPr="009E5B39">
        <w:rPr>
          <w:rFonts w:asciiTheme="majorHAnsi" w:eastAsia="Times New Roman" w:hAnsiTheme="majorHAnsi" w:cstheme="majorHAnsi"/>
          <w:b/>
          <w:sz w:val="24"/>
          <w:szCs w:val="24"/>
          <w:lang w:val="ro-MD"/>
        </w:rPr>
        <w:t xml:space="preserve"> lei</w:t>
      </w:r>
      <w:r w:rsidR="00B25240" w:rsidRPr="009E5B39">
        <w:rPr>
          <w:rFonts w:asciiTheme="majorHAnsi" w:eastAsia="Times New Roman" w:hAnsiTheme="majorHAnsi" w:cstheme="majorHAnsi"/>
          <w:sz w:val="24"/>
          <w:szCs w:val="24"/>
          <w:lang w:val="ro-MD"/>
        </w:rPr>
        <w:t xml:space="preserve"> (10%).</w:t>
      </w:r>
    </w:p>
    <w:p w14:paraId="682BEA13" w14:textId="0A0A8623" w:rsidR="00A0022F" w:rsidRPr="009E5B39" w:rsidRDefault="00A0022F" w:rsidP="00A0022F">
      <w:pPr>
        <w:pStyle w:val="ListParagraph"/>
        <w:numPr>
          <w:ilvl w:val="2"/>
          <w:numId w:val="29"/>
        </w:numPr>
        <w:spacing w:after="0" w:line="276" w:lineRule="auto"/>
        <w:ind w:left="0" w:firstLine="0"/>
        <w:jc w:val="both"/>
        <w:rPr>
          <w:rFonts w:ascii="Calibri Light" w:eastAsia="Calibri" w:hAnsi="Calibri Light" w:cs="Tahoma"/>
          <w:sz w:val="24"/>
          <w:lang w:val="ro-MD"/>
        </w:rPr>
      </w:pPr>
      <w:r w:rsidRPr="009E5B39">
        <w:rPr>
          <w:rFonts w:asciiTheme="majorHAnsi" w:hAnsiTheme="majorHAnsi" w:cstheme="majorHAnsi"/>
          <w:b/>
          <w:i/>
          <w:sz w:val="24"/>
          <w:szCs w:val="24"/>
          <w:lang w:val="ro-MD"/>
        </w:rPr>
        <w:t>CMC și DGAURF nu au întreprins măsurile necesare</w:t>
      </w:r>
      <w:r w:rsidRPr="009E5B39">
        <w:rPr>
          <w:vertAlign w:val="superscript"/>
          <w:lang w:val="ro-MD"/>
        </w:rPr>
        <w:footnoteReference w:id="197"/>
      </w:r>
      <w:r w:rsidRPr="009E5B39">
        <w:rPr>
          <w:rFonts w:asciiTheme="majorHAnsi" w:hAnsiTheme="majorHAnsi" w:cstheme="majorHAnsi"/>
          <w:b/>
          <w:i/>
          <w:sz w:val="24"/>
          <w:szCs w:val="24"/>
          <w:lang w:val="ro-MD"/>
        </w:rPr>
        <w:t xml:space="preserve"> </w:t>
      </w:r>
      <w:r w:rsidR="00787D9F" w:rsidRPr="009E5B39">
        <w:rPr>
          <w:rFonts w:asciiTheme="majorHAnsi" w:hAnsiTheme="majorHAnsi" w:cstheme="majorHAnsi"/>
          <w:b/>
          <w:i/>
          <w:sz w:val="24"/>
          <w:szCs w:val="24"/>
          <w:lang w:val="ro-MD"/>
        </w:rPr>
        <w:t>pe</w:t>
      </w:r>
      <w:r w:rsidRPr="009E5B39">
        <w:rPr>
          <w:rFonts w:asciiTheme="majorHAnsi" w:hAnsiTheme="majorHAnsi" w:cstheme="majorHAnsi"/>
          <w:b/>
          <w:i/>
          <w:sz w:val="24"/>
          <w:szCs w:val="24"/>
          <w:lang w:val="ro-MD"/>
        </w:rPr>
        <w:t>ntru rezilierea sau prelungirea contractelor expirate de arendă a terenurilor, încas</w:t>
      </w:r>
      <w:r w:rsidR="00600ED4" w:rsidRPr="009E5B39">
        <w:rPr>
          <w:rFonts w:asciiTheme="majorHAnsi" w:hAnsiTheme="majorHAnsi" w:cstheme="majorHAnsi"/>
          <w:b/>
          <w:i/>
          <w:sz w:val="24"/>
          <w:szCs w:val="24"/>
          <w:lang w:val="ro-MD"/>
        </w:rPr>
        <w:t>a</w:t>
      </w:r>
      <w:r w:rsidRPr="009E5B39">
        <w:rPr>
          <w:rFonts w:asciiTheme="majorHAnsi" w:hAnsiTheme="majorHAnsi" w:cstheme="majorHAnsi"/>
          <w:b/>
          <w:i/>
          <w:sz w:val="24"/>
          <w:szCs w:val="24"/>
          <w:lang w:val="ro-MD"/>
        </w:rPr>
        <w:t xml:space="preserve">rea plăților pentru folosința terenurilor, ceea ce determină </w:t>
      </w:r>
      <w:r w:rsidRPr="009E5B39">
        <w:rPr>
          <w:rFonts w:asciiTheme="majorHAnsi" w:hAnsiTheme="majorHAnsi" w:cstheme="majorHAnsi"/>
          <w:b/>
          <w:sz w:val="24"/>
          <w:szCs w:val="24"/>
          <w:lang w:val="ro-MD"/>
        </w:rPr>
        <w:t>neîncasarea veniturilor la bugetul municipal.</w:t>
      </w:r>
    </w:p>
    <w:p w14:paraId="77BFC094" w14:textId="30671EAA" w:rsidR="00A0022F" w:rsidRPr="009E5B39" w:rsidRDefault="00A0022F" w:rsidP="003C5073">
      <w:pPr>
        <w:pStyle w:val="ListParagraph"/>
        <w:numPr>
          <w:ilvl w:val="0"/>
          <w:numId w:val="116"/>
        </w:numPr>
        <w:tabs>
          <w:tab w:val="left" w:pos="0"/>
        </w:tabs>
        <w:spacing w:after="0" w:line="276" w:lineRule="auto"/>
        <w:ind w:left="0" w:firstLine="426"/>
        <w:jc w:val="both"/>
        <w:rPr>
          <w:rFonts w:asciiTheme="majorHAnsi" w:eastAsia="Calibri" w:hAnsiTheme="majorHAnsi" w:cstheme="majorHAnsi"/>
          <w:sz w:val="24"/>
          <w:szCs w:val="24"/>
          <w:lang w:val="ro-MD"/>
        </w:rPr>
      </w:pPr>
      <w:r w:rsidRPr="009E5B39">
        <w:rPr>
          <w:rFonts w:asciiTheme="majorHAnsi" w:eastAsia="Calibri" w:hAnsiTheme="majorHAnsi" w:cstheme="majorHAnsi"/>
          <w:sz w:val="24"/>
          <w:szCs w:val="24"/>
          <w:lang w:val="ro-MD"/>
        </w:rPr>
        <w:t>Conform datelor DGAURF, în anii 2018-2020</w:t>
      </w:r>
      <w:r w:rsidR="00787D9F"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în SI (sistemul informațional) de evidență a contractelor de arendă a terenurilor municipale au fost înregistrate în total</w:t>
      </w:r>
      <w:r w:rsidR="00787D9F"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respectiv</w:t>
      </w:r>
      <w:r w:rsidR="00787D9F" w:rsidRPr="009E5B39">
        <w:rPr>
          <w:rFonts w:asciiTheme="majorHAnsi" w:eastAsia="Calibri" w:hAnsiTheme="majorHAnsi" w:cstheme="majorHAnsi"/>
          <w:sz w:val="24"/>
          <w:szCs w:val="24"/>
          <w:lang w:val="ro-MD"/>
        </w:rPr>
        <w:t>,</w:t>
      </w:r>
      <w:r w:rsidRPr="009E5B39">
        <w:rPr>
          <w:rFonts w:asciiTheme="majorHAnsi" w:eastAsia="Calibri" w:hAnsiTheme="majorHAnsi" w:cstheme="majorHAnsi"/>
          <w:sz w:val="24"/>
          <w:szCs w:val="24"/>
          <w:lang w:val="ro-MD"/>
        </w:rPr>
        <w:t xml:space="preserve"> 1935  contracte, 1963 contracte, 1975 contracte, încheiate în baza deciziilor CMC, din care </w:t>
      </w:r>
      <w:r w:rsidRPr="009E5B39">
        <w:rPr>
          <w:rFonts w:asciiTheme="majorHAnsi" w:hAnsiTheme="majorHAnsi" w:cstheme="majorHAnsi"/>
          <w:sz w:val="24"/>
          <w:szCs w:val="24"/>
          <w:lang w:val="ro-MD"/>
        </w:rPr>
        <w:t>cu termen</w:t>
      </w:r>
      <w:r w:rsidR="00787D9F" w:rsidRPr="009E5B39">
        <w:rPr>
          <w:rFonts w:asciiTheme="majorHAnsi" w:hAnsiTheme="majorHAnsi" w:cstheme="majorHAnsi"/>
          <w:sz w:val="24"/>
          <w:szCs w:val="24"/>
          <w:lang w:val="ro-MD"/>
        </w:rPr>
        <w:t xml:space="preserve">ul </w:t>
      </w:r>
      <w:r w:rsidRPr="009E5B39">
        <w:rPr>
          <w:rFonts w:asciiTheme="majorHAnsi" w:hAnsiTheme="majorHAnsi" w:cstheme="majorHAnsi"/>
          <w:sz w:val="24"/>
          <w:szCs w:val="24"/>
          <w:lang w:val="ro-MD"/>
        </w:rPr>
        <w:t xml:space="preserve"> de valabilitate expirat</w:t>
      </w:r>
      <w:r w:rsidRPr="009E5B39" w:rsidDel="002827DE">
        <w:rPr>
          <w:rFonts w:asciiTheme="majorHAnsi" w:hAnsiTheme="majorHAnsi" w:cstheme="majorHAnsi"/>
          <w:sz w:val="24"/>
          <w:szCs w:val="24"/>
          <w:lang w:val="ro-MD"/>
        </w:rPr>
        <w:t xml:space="preserve"> </w:t>
      </w:r>
      <w:r w:rsidR="001C240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respectiv</w:t>
      </w:r>
      <w:r w:rsidR="001C240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285 contracte, 307 contracte, 345 contracte, însă</w:t>
      </w:r>
      <w:r w:rsidR="001C240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baza acestora</w:t>
      </w:r>
      <w:r w:rsidR="001C240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au fost efectuate plăți în bugetul municipal în suma totală de 74,17 mii lei (</w:t>
      </w:r>
      <w:r w:rsidR="001C2400"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2018), 336,94 mii lei (</w:t>
      </w:r>
      <w:r w:rsidR="001C2400"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2019), 583,49 mii lei (</w:t>
      </w:r>
      <w:r w:rsidR="001C2400"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2020).</w:t>
      </w:r>
      <w:r w:rsidRPr="009E5B39">
        <w:rPr>
          <w:rFonts w:asciiTheme="majorHAnsi" w:eastAsia="Calibri" w:hAnsiTheme="majorHAnsi" w:cstheme="majorHAnsi"/>
          <w:sz w:val="24"/>
          <w:szCs w:val="24"/>
          <w:lang w:val="ro-MD"/>
        </w:rPr>
        <w:t xml:space="preserve"> </w:t>
      </w:r>
      <w:r w:rsidRPr="009E5B39">
        <w:rPr>
          <w:rFonts w:asciiTheme="majorHAnsi" w:hAnsiTheme="majorHAnsi" w:cstheme="majorHAnsi"/>
          <w:sz w:val="24"/>
          <w:szCs w:val="24"/>
          <w:lang w:val="ro-MD"/>
        </w:rPr>
        <w:t>Astfel, agenții economici utilizează în continuare</w:t>
      </w:r>
      <w:r w:rsidR="001C2400" w:rsidRPr="009E5B39">
        <w:rPr>
          <w:rFonts w:asciiTheme="majorHAnsi" w:hAnsiTheme="majorHAnsi" w:cstheme="majorHAnsi"/>
          <w:sz w:val="24"/>
          <w:szCs w:val="24"/>
          <w:lang w:val="ro-MD"/>
        </w:rPr>
        <w:t xml:space="preserve"> terenul</w:t>
      </w:r>
      <w:r w:rsidRPr="009E5B39">
        <w:rPr>
          <w:rFonts w:asciiTheme="majorHAnsi" w:hAnsiTheme="majorHAnsi" w:cstheme="majorHAnsi"/>
          <w:sz w:val="24"/>
          <w:szCs w:val="24"/>
          <w:lang w:val="ro-MD"/>
        </w:rPr>
        <w:t>, și doar o parte din ei achită arenda (</w:t>
      </w:r>
      <w:r w:rsidRPr="009E5B39">
        <w:rPr>
          <w:rFonts w:asciiTheme="majorHAnsi" w:hAnsiTheme="majorHAnsi" w:cstheme="majorHAnsi"/>
          <w:i/>
          <w:sz w:val="24"/>
          <w:szCs w:val="24"/>
          <w:lang w:val="ro-MD"/>
        </w:rPr>
        <w:t>inclusiv datoriile pe</w:t>
      </w:r>
      <w:r w:rsidR="001C2400" w:rsidRPr="009E5B39">
        <w:rPr>
          <w:rFonts w:asciiTheme="majorHAnsi" w:hAnsiTheme="majorHAnsi" w:cstheme="majorHAnsi"/>
          <w:i/>
          <w:sz w:val="24"/>
          <w:szCs w:val="24"/>
          <w:lang w:val="ro-MD"/>
        </w:rPr>
        <w:t>ntru</w:t>
      </w:r>
      <w:r w:rsidRPr="009E5B39">
        <w:rPr>
          <w:rFonts w:asciiTheme="majorHAnsi" w:hAnsiTheme="majorHAnsi" w:cstheme="majorHAnsi"/>
          <w:i/>
          <w:sz w:val="24"/>
          <w:szCs w:val="24"/>
          <w:lang w:val="ro-MD"/>
        </w:rPr>
        <w:t xml:space="preserve"> arendă</w:t>
      </w:r>
      <w:r w:rsidRPr="009E5B39">
        <w:rPr>
          <w:rFonts w:asciiTheme="majorHAnsi" w:hAnsiTheme="majorHAnsi" w:cstheme="majorHAnsi"/>
          <w:sz w:val="24"/>
          <w:szCs w:val="24"/>
          <w:lang w:val="ro-MD"/>
        </w:rPr>
        <w:t>) în baza contractelor expirate, iar cealaltă parte le folosește gratuit</w:t>
      </w:r>
      <w:r w:rsidR="001C240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prin ce se prejudiciază bugetul municipal. </w:t>
      </w:r>
    </w:p>
    <w:p w14:paraId="124BDA44" w14:textId="5D29FD6E" w:rsidR="00A0022F" w:rsidRPr="009E5B39" w:rsidRDefault="00A0022F" w:rsidP="00A0022F">
      <w:pPr>
        <w:tabs>
          <w:tab w:val="left" w:pos="0"/>
        </w:tabs>
        <w:spacing w:after="0" w:line="276" w:lineRule="auto"/>
        <w:jc w:val="both"/>
        <w:rPr>
          <w:rFonts w:asciiTheme="majorHAnsi" w:eastAsia="Calibri" w:hAnsiTheme="majorHAnsi" w:cstheme="majorHAnsi"/>
          <w:sz w:val="24"/>
          <w:szCs w:val="24"/>
          <w:lang w:val="ro-MD"/>
        </w:rPr>
      </w:pPr>
      <w:r w:rsidRPr="009E5B39">
        <w:rPr>
          <w:rFonts w:asciiTheme="majorHAnsi" w:hAnsiTheme="majorHAnsi" w:cstheme="majorHAnsi"/>
          <w:sz w:val="24"/>
          <w:szCs w:val="24"/>
          <w:lang w:val="ro-MD"/>
        </w:rPr>
        <w:tab/>
        <w:t>DGAURF a CMC nu a întreprins măsurile necesare</w:t>
      </w:r>
      <w:r w:rsidR="001C240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prevăzute de art.904 și </w:t>
      </w:r>
      <w:r w:rsidR="001C2400" w:rsidRPr="009E5B39">
        <w:rPr>
          <w:rFonts w:asciiTheme="majorHAnsi" w:hAnsiTheme="majorHAnsi" w:cstheme="majorHAnsi"/>
          <w:sz w:val="24"/>
          <w:szCs w:val="24"/>
          <w:lang w:val="ro-MD"/>
        </w:rPr>
        <w:t>art.</w:t>
      </w:r>
      <w:r w:rsidRPr="009E5B39">
        <w:rPr>
          <w:rFonts w:asciiTheme="majorHAnsi" w:hAnsiTheme="majorHAnsi" w:cstheme="majorHAnsi"/>
          <w:sz w:val="24"/>
          <w:szCs w:val="24"/>
          <w:lang w:val="ro-MD"/>
        </w:rPr>
        <w:t>906 alin.(1) lit.c) din Codul civil</w:t>
      </w:r>
      <w:r w:rsidRPr="009E5B39">
        <w:rPr>
          <w:rFonts w:asciiTheme="majorHAnsi" w:hAnsiTheme="majorHAnsi" w:cstheme="majorHAnsi"/>
          <w:sz w:val="24"/>
          <w:szCs w:val="24"/>
          <w:vertAlign w:val="superscript"/>
          <w:lang w:val="ro-MD"/>
        </w:rPr>
        <w:footnoteReference w:id="198"/>
      </w:r>
      <w:r w:rsidRPr="009E5B39">
        <w:rPr>
          <w:rFonts w:asciiTheme="majorHAnsi" w:hAnsiTheme="majorHAnsi" w:cstheme="majorHAnsi"/>
          <w:sz w:val="24"/>
          <w:szCs w:val="24"/>
          <w:lang w:val="ro-MD"/>
        </w:rPr>
        <w:t xml:space="preserve">, referitor la rezilierea contractelor expirate sau prelungirea lor, precum și </w:t>
      </w:r>
      <w:r w:rsidR="00646A2E" w:rsidRPr="009E5B39">
        <w:rPr>
          <w:rFonts w:asciiTheme="majorHAnsi" w:hAnsiTheme="majorHAnsi" w:cstheme="majorHAnsi"/>
          <w:sz w:val="24"/>
          <w:szCs w:val="24"/>
          <w:lang w:val="ro-MD"/>
        </w:rPr>
        <w:t xml:space="preserve">la </w:t>
      </w:r>
      <w:r w:rsidRPr="009E5B39">
        <w:rPr>
          <w:rFonts w:asciiTheme="majorHAnsi" w:hAnsiTheme="majorHAnsi" w:cstheme="majorHAnsi"/>
          <w:sz w:val="24"/>
          <w:szCs w:val="24"/>
          <w:lang w:val="ro-MD"/>
        </w:rPr>
        <w:t xml:space="preserve">efectuarea schimbărilor necesare </w:t>
      </w:r>
      <w:r w:rsidR="00646A2E" w:rsidRPr="009E5B39">
        <w:rPr>
          <w:rFonts w:asciiTheme="majorHAnsi" w:hAnsiTheme="majorHAnsi" w:cstheme="majorHAnsi"/>
          <w:sz w:val="24"/>
          <w:szCs w:val="24"/>
          <w:lang w:val="ro-MD"/>
        </w:rPr>
        <w:t>în</w:t>
      </w:r>
      <w:r w:rsidRPr="009E5B39">
        <w:rPr>
          <w:rFonts w:asciiTheme="majorHAnsi" w:hAnsiTheme="majorHAnsi" w:cstheme="majorHAnsi"/>
          <w:sz w:val="24"/>
          <w:szCs w:val="24"/>
          <w:lang w:val="ro-MD"/>
        </w:rPr>
        <w:t xml:space="preserve"> informați</w:t>
      </w:r>
      <w:r w:rsidR="00646A2E"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privind evidența contractelor de arendă expirate din cadrul SI.</w:t>
      </w:r>
    </w:p>
    <w:p w14:paraId="030116C8" w14:textId="2EEC5C8C" w:rsidR="00A0022F" w:rsidRPr="009E5B39" w:rsidRDefault="00A0022F" w:rsidP="00A0022F">
      <w:pPr>
        <w:spacing w:after="0" w:line="276" w:lineRule="auto"/>
        <w:ind w:firstLine="720"/>
        <w:contextualSpacing/>
        <w:jc w:val="both"/>
        <w:rPr>
          <w:rFonts w:asciiTheme="majorHAnsi" w:hAnsiTheme="majorHAnsi" w:cstheme="majorHAnsi"/>
          <w:b/>
          <w:sz w:val="24"/>
          <w:szCs w:val="24"/>
          <w:lang w:val="ro-MD"/>
        </w:rPr>
      </w:pPr>
      <w:r w:rsidRPr="009E5B39">
        <w:rPr>
          <w:rFonts w:asciiTheme="majorHAnsi" w:hAnsiTheme="majorHAnsi" w:cstheme="majorHAnsi"/>
          <w:sz w:val="24"/>
          <w:szCs w:val="24"/>
          <w:lang w:val="ro-MD"/>
        </w:rPr>
        <w:t>De asemenea</w:t>
      </w:r>
      <w:r w:rsidR="00646A2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DGAURF nu a asigurat monitorizarea și încasarea integrală a plății pentru folosirea terenurilor, stabilită unilateral de către CMC în baza prevederilor art.10</w:t>
      </w:r>
      <w:r w:rsidRPr="009E5B39">
        <w:rPr>
          <w:rFonts w:asciiTheme="majorHAnsi" w:hAnsiTheme="majorHAnsi" w:cstheme="majorHAnsi"/>
          <w:sz w:val="24"/>
          <w:szCs w:val="24"/>
          <w:vertAlign w:val="superscript"/>
          <w:lang w:val="ro-MD"/>
        </w:rPr>
        <w:t>1</w:t>
      </w:r>
      <w:r w:rsidRPr="009E5B39">
        <w:rPr>
          <w:rFonts w:asciiTheme="majorHAnsi" w:hAnsiTheme="majorHAnsi" w:cstheme="majorHAnsi"/>
          <w:sz w:val="24"/>
          <w:szCs w:val="24"/>
          <w:lang w:val="ro-MD"/>
        </w:rPr>
        <w:t xml:space="preserve"> din Legea nr.1308/1997</w:t>
      </w:r>
      <w:r w:rsidRPr="009E5B39">
        <w:rPr>
          <w:rFonts w:asciiTheme="majorHAnsi" w:hAnsiTheme="majorHAnsi" w:cstheme="majorHAnsi"/>
          <w:sz w:val="24"/>
          <w:szCs w:val="24"/>
          <w:vertAlign w:val="superscript"/>
          <w:lang w:val="ro-MD"/>
        </w:rPr>
        <w:footnoteReference w:id="199"/>
      </w:r>
      <w:r w:rsidR="00F9497C" w:rsidRPr="009E5B39">
        <w:rPr>
          <w:rFonts w:asciiTheme="majorHAnsi" w:hAnsiTheme="majorHAnsi" w:cstheme="majorHAnsi"/>
          <w:sz w:val="24"/>
          <w:szCs w:val="24"/>
          <w:lang w:val="ro-MD"/>
        </w:rPr>
        <w:t>, c</w:t>
      </w:r>
      <w:r w:rsidRPr="009E5B39">
        <w:rPr>
          <w:rFonts w:asciiTheme="majorHAnsi" w:hAnsiTheme="majorHAnsi" w:cstheme="majorHAnsi"/>
          <w:sz w:val="24"/>
          <w:szCs w:val="24"/>
          <w:lang w:val="ro-MD"/>
        </w:rPr>
        <w:t>reanțele înregistrate din an în an fiind în continuă creștere. La situația din 01.01.2018</w:t>
      </w:r>
      <w:r w:rsidR="00646A2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suma creanțelor înregistrate constituie </w:t>
      </w:r>
      <w:r w:rsidRPr="009E5B39">
        <w:rPr>
          <w:rFonts w:asciiTheme="majorHAnsi" w:hAnsiTheme="majorHAnsi" w:cstheme="majorHAnsi"/>
          <w:b/>
          <w:sz w:val="24"/>
          <w:szCs w:val="24"/>
          <w:lang w:val="ro-MD"/>
        </w:rPr>
        <w:t>34,29 mil</w:t>
      </w:r>
      <w:r w:rsidR="00646A2E"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pe când la situația din 01.01.2021 – creanțele înregistrate constituie </w:t>
      </w:r>
      <w:r w:rsidRPr="009E5B39">
        <w:rPr>
          <w:rFonts w:asciiTheme="majorHAnsi" w:hAnsiTheme="majorHAnsi" w:cstheme="majorHAnsi"/>
          <w:b/>
          <w:sz w:val="24"/>
          <w:szCs w:val="24"/>
          <w:lang w:val="ro-MD"/>
        </w:rPr>
        <w:t>45,80 mil</w:t>
      </w:r>
      <w:r w:rsidR="00646A2E"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sau cu 11,51 mil</w:t>
      </w:r>
      <w:r w:rsidR="00646A2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mai mult</w:t>
      </w:r>
      <w:r w:rsidRPr="009E5B39">
        <w:rPr>
          <w:rFonts w:asciiTheme="majorHAnsi" w:hAnsiTheme="majorHAnsi" w:cstheme="majorHAnsi"/>
          <w:sz w:val="24"/>
          <w:szCs w:val="24"/>
          <w:vertAlign w:val="superscript"/>
          <w:lang w:val="ro-MD"/>
        </w:rPr>
        <w:footnoteReference w:id="200"/>
      </w:r>
      <w:r w:rsidRPr="009E5B39">
        <w:rPr>
          <w:rFonts w:asciiTheme="majorHAnsi" w:hAnsiTheme="majorHAnsi" w:cstheme="majorHAnsi"/>
          <w:sz w:val="24"/>
          <w:szCs w:val="24"/>
          <w:lang w:val="ro-MD"/>
        </w:rPr>
        <w:t xml:space="preserve">. </w:t>
      </w:r>
    </w:p>
    <w:p w14:paraId="5BD3B359" w14:textId="49047FA5" w:rsidR="00A0022F" w:rsidRPr="009E5B39" w:rsidRDefault="00A0022F" w:rsidP="00A0022F">
      <w:pPr>
        <w:pStyle w:val="ListParagraph"/>
        <w:numPr>
          <w:ilvl w:val="0"/>
          <w:numId w:val="92"/>
        </w:numPr>
        <w:spacing w:after="0" w:line="276" w:lineRule="auto"/>
        <w:ind w:left="0" w:firstLine="0"/>
        <w:jc w:val="both"/>
        <w:rPr>
          <w:rFonts w:asciiTheme="majorHAnsi" w:hAnsiTheme="majorHAnsi" w:cstheme="majorHAnsi"/>
          <w:b/>
          <w:sz w:val="24"/>
          <w:szCs w:val="24"/>
          <w:lang w:val="ro-MD"/>
        </w:rPr>
      </w:pPr>
      <w:r w:rsidRPr="009E5B39">
        <w:rPr>
          <w:rFonts w:asciiTheme="majorHAnsi" w:hAnsiTheme="majorHAnsi" w:cstheme="majorHAnsi"/>
          <w:b/>
          <w:i/>
          <w:sz w:val="24"/>
          <w:szCs w:val="24"/>
          <w:lang w:val="ro-MD"/>
        </w:rPr>
        <w:t xml:space="preserve">Profitând de lacunele existente în cadrul normativ, CMC </w:t>
      </w:r>
      <w:r w:rsidR="00BF13B5" w:rsidRPr="009E5B39">
        <w:rPr>
          <w:rFonts w:asciiTheme="majorHAnsi" w:hAnsiTheme="majorHAnsi" w:cstheme="majorHAnsi"/>
          <w:b/>
          <w:i/>
          <w:sz w:val="24"/>
          <w:szCs w:val="24"/>
          <w:lang w:val="ro-MD"/>
        </w:rPr>
        <w:t xml:space="preserve">a </w:t>
      </w:r>
      <w:r w:rsidRPr="009E5B39">
        <w:rPr>
          <w:rFonts w:asciiTheme="majorHAnsi" w:hAnsiTheme="majorHAnsi" w:cstheme="majorHAnsi"/>
          <w:b/>
          <w:i/>
          <w:sz w:val="24"/>
          <w:szCs w:val="24"/>
          <w:lang w:val="ro-MD"/>
        </w:rPr>
        <w:t>continu</w:t>
      </w:r>
      <w:r w:rsidR="00BF13B5" w:rsidRPr="009E5B39">
        <w:rPr>
          <w:rFonts w:asciiTheme="majorHAnsi" w:hAnsiTheme="majorHAnsi" w:cstheme="majorHAnsi"/>
          <w:b/>
          <w:i/>
          <w:sz w:val="24"/>
          <w:szCs w:val="24"/>
          <w:lang w:val="ro-MD"/>
        </w:rPr>
        <w:t>at</w:t>
      </w:r>
      <w:r w:rsidRPr="009E5B39">
        <w:rPr>
          <w:rFonts w:asciiTheme="majorHAnsi" w:hAnsiTheme="majorHAnsi" w:cstheme="majorHAnsi"/>
          <w:b/>
          <w:i/>
          <w:sz w:val="24"/>
          <w:szCs w:val="24"/>
          <w:lang w:val="ro-MD"/>
        </w:rPr>
        <w:t xml:space="preserve"> să dea în arendă terenuri pentru proiectarea și construirea unui obiectiv privat (bloc locativ, centru comercial, benzinării, etc.)</w:t>
      </w:r>
      <w:r w:rsidR="00F9497C"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 xml:space="preserve"> cu privatizarea ulterioară a terenului aferent la preț</w:t>
      </w:r>
      <w:r w:rsidR="00F9497C" w:rsidRPr="009E5B39">
        <w:rPr>
          <w:rFonts w:asciiTheme="majorHAnsi" w:hAnsiTheme="majorHAnsi" w:cstheme="majorHAnsi"/>
          <w:b/>
          <w:i/>
          <w:sz w:val="24"/>
          <w:szCs w:val="24"/>
          <w:lang w:val="ro-MD"/>
        </w:rPr>
        <w:t>ul</w:t>
      </w:r>
      <w:r w:rsidRPr="009E5B39">
        <w:rPr>
          <w:rFonts w:asciiTheme="majorHAnsi" w:hAnsiTheme="majorHAnsi" w:cstheme="majorHAnsi"/>
          <w:b/>
          <w:i/>
          <w:sz w:val="24"/>
          <w:szCs w:val="24"/>
          <w:lang w:val="ro-MD"/>
        </w:rPr>
        <w:t xml:space="preserve"> normativ sau cu trecerea acestuia fără plată în proprietatea condominiului, fără a ține cont de faptul că metoda aceasta de realizare a terenurilor contribuie la ratarea semnificativă a veniturilor pasibile încasării în bugetul municipal.</w:t>
      </w:r>
      <w:r w:rsidRPr="009E5B39">
        <w:rPr>
          <w:rFonts w:asciiTheme="majorHAnsi" w:hAnsiTheme="majorHAnsi" w:cstheme="majorHAnsi"/>
          <w:sz w:val="24"/>
          <w:szCs w:val="24"/>
          <w:lang w:val="ro-MD"/>
        </w:rPr>
        <w:t xml:space="preserve"> Vânzarea acestor terenuri</w:t>
      </w:r>
      <w:r w:rsidRPr="009E5B39">
        <w:rPr>
          <w:vertAlign w:val="superscript"/>
          <w:lang w:val="ro-MD"/>
        </w:rPr>
        <w:footnoteReference w:id="201"/>
      </w:r>
      <w:r w:rsidRPr="009E5B39">
        <w:rPr>
          <w:rFonts w:asciiTheme="majorHAnsi" w:hAnsiTheme="majorHAnsi" w:cstheme="majorHAnsi"/>
          <w:sz w:val="24"/>
          <w:szCs w:val="24"/>
          <w:lang w:val="ro-MD"/>
        </w:rPr>
        <w:t>, în anul 2020, la prețul normativ ar fi putut aduce în bugetul municipal mijloace financiare în cuantum de circa 19,02</w:t>
      </w:r>
      <w:r w:rsidR="00E868D4"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mil</w:t>
      </w:r>
      <w:r w:rsidR="00FD32E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r w:rsidRPr="009E5B39">
        <w:rPr>
          <w:vertAlign w:val="superscript"/>
          <w:lang w:val="ro-MD"/>
        </w:rPr>
        <w:footnoteReference w:id="202"/>
      </w:r>
      <w:r w:rsidRPr="009E5B39">
        <w:rPr>
          <w:rFonts w:asciiTheme="majorHAnsi" w:hAnsiTheme="majorHAnsi" w:cstheme="majorHAnsi"/>
          <w:sz w:val="24"/>
          <w:szCs w:val="24"/>
          <w:lang w:val="ro-MD"/>
        </w:rPr>
        <w:t>, în timp ce prețul de piață al acestor terenuri de 16,36 ha este de peste 300 mil. lei. În viziunea auditului</w:t>
      </w:r>
      <w:r w:rsidR="00FD32E8"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aceasta </w:t>
      </w:r>
      <w:r w:rsidRPr="009E5B39">
        <w:rPr>
          <w:rFonts w:asciiTheme="majorHAnsi" w:hAnsiTheme="majorHAnsi" w:cstheme="majorHAnsi"/>
          <w:snapToGrid w:val="0"/>
          <w:sz w:val="24"/>
          <w:szCs w:val="24"/>
          <w:lang w:val="ro-MD"/>
        </w:rPr>
        <w:t>reprezintă o metodă intenționat aplicată de diminuare a prețurilor fără a comite o derogare de la norma legală.</w:t>
      </w:r>
    </w:p>
    <w:p w14:paraId="71975BEB" w14:textId="77777777" w:rsidR="007800D5" w:rsidRPr="009E5B39" w:rsidRDefault="007800D5" w:rsidP="007800D5">
      <w:pPr>
        <w:pStyle w:val="ListParagraph"/>
        <w:numPr>
          <w:ilvl w:val="2"/>
          <w:numId w:val="29"/>
        </w:numPr>
        <w:spacing w:after="0" w:line="276" w:lineRule="auto"/>
        <w:ind w:left="0" w:firstLine="0"/>
        <w:jc w:val="both"/>
        <w:rPr>
          <w:rFonts w:ascii="Calibri Light" w:eastAsia="Calibri" w:hAnsi="Calibri Light" w:cs="Tahoma"/>
          <w:sz w:val="24"/>
          <w:lang w:val="ro-MD"/>
        </w:rPr>
      </w:pPr>
      <w:r w:rsidRPr="009E5B39">
        <w:rPr>
          <w:rFonts w:asciiTheme="majorHAnsi" w:hAnsiTheme="majorHAnsi" w:cstheme="majorHAnsi"/>
          <w:b/>
          <w:i/>
          <w:sz w:val="24"/>
          <w:szCs w:val="24"/>
          <w:lang w:val="ro-MD"/>
        </w:rPr>
        <w:t xml:space="preserve">Delegarea gestiunii serviciilor publice de gospodărie comunale s-a efectuat cu neregularități și fără a asigura ca întreprinderile municipale să dispună de capacitatea necesară prestării acestor servicii.  </w:t>
      </w:r>
    </w:p>
    <w:p w14:paraId="6E209E42" w14:textId="551B40B0" w:rsidR="00030FA0" w:rsidRPr="009E5B39" w:rsidRDefault="00E868D4" w:rsidP="001C0E1A">
      <w:pPr>
        <w:numPr>
          <w:ilvl w:val="0"/>
          <w:numId w:val="60"/>
        </w:numPr>
        <w:tabs>
          <w:tab w:val="left" w:pos="709"/>
        </w:tabs>
        <w:spacing w:after="0" w:line="276" w:lineRule="auto"/>
        <w:ind w:left="0" w:firstLine="0"/>
        <w:contextualSpacing/>
        <w:jc w:val="both"/>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 xml:space="preserve">Contractele de </w:t>
      </w:r>
      <w:r w:rsidR="001C0E1A" w:rsidRPr="009E5B39">
        <w:rPr>
          <w:rFonts w:asciiTheme="majorHAnsi" w:hAnsiTheme="majorHAnsi" w:cstheme="majorHAnsi"/>
          <w:b/>
          <w:i/>
          <w:sz w:val="24"/>
          <w:szCs w:val="24"/>
          <w:lang w:val="ro-MD"/>
        </w:rPr>
        <w:t xml:space="preserve">delegare a </w:t>
      </w:r>
      <w:r w:rsidRPr="009E5B39">
        <w:rPr>
          <w:rFonts w:asciiTheme="majorHAnsi" w:hAnsiTheme="majorHAnsi" w:cstheme="majorHAnsi"/>
          <w:b/>
          <w:i/>
          <w:sz w:val="24"/>
          <w:szCs w:val="24"/>
          <w:lang w:val="ro-MD"/>
        </w:rPr>
        <w:t>gestiun</w:t>
      </w:r>
      <w:r w:rsidR="001C0E1A" w:rsidRPr="009E5B39">
        <w:rPr>
          <w:rFonts w:asciiTheme="majorHAnsi" w:hAnsiTheme="majorHAnsi" w:cstheme="majorHAnsi"/>
          <w:b/>
          <w:i/>
          <w:sz w:val="24"/>
          <w:szCs w:val="24"/>
          <w:lang w:val="ro-MD"/>
        </w:rPr>
        <w:t>ii serviciilor publice comunale</w:t>
      </w:r>
      <w:r w:rsidRPr="009E5B39">
        <w:rPr>
          <w:rFonts w:asciiTheme="majorHAnsi" w:hAnsiTheme="majorHAnsi" w:cstheme="majorHAnsi"/>
          <w:b/>
          <w:i/>
          <w:sz w:val="24"/>
          <w:szCs w:val="24"/>
          <w:lang w:val="ro-MD"/>
        </w:rPr>
        <w:t>, semnate anual</w:t>
      </w:r>
      <w:r w:rsidR="001C0E1A" w:rsidRPr="009E5B39">
        <w:rPr>
          <w:rFonts w:asciiTheme="majorHAnsi" w:hAnsiTheme="majorHAnsi" w:cstheme="majorHAnsi"/>
          <w:b/>
          <w:i/>
          <w:sz w:val="24"/>
          <w:szCs w:val="24"/>
          <w:lang w:val="ro-MD"/>
        </w:rPr>
        <w:t xml:space="preserve"> cu ÎM</w:t>
      </w:r>
      <w:r w:rsidRPr="009E5B39">
        <w:rPr>
          <w:rFonts w:asciiTheme="majorHAnsi" w:hAnsiTheme="majorHAnsi" w:cstheme="majorHAnsi"/>
          <w:b/>
          <w:i/>
          <w:sz w:val="24"/>
          <w:szCs w:val="24"/>
          <w:lang w:val="ro-MD"/>
        </w:rPr>
        <w:t>, nu includ denumirea obiectivului, pentru care sunt alocate mijloace bugetare, volumul lucrării care urmează a fi executată/suprafața care urmează a fi reparată, descrierea exhaustivă a lucrărilor necesare de a fi executate în procesul de întreținere a infrastructurii căilor de comunicație</w:t>
      </w:r>
      <w:r w:rsidRPr="009E5B39">
        <w:rPr>
          <w:rFonts w:asciiTheme="majorHAnsi" w:hAnsiTheme="majorHAnsi" w:cstheme="majorHAnsi"/>
          <w:sz w:val="24"/>
          <w:szCs w:val="24"/>
          <w:lang w:val="ro-MD"/>
        </w:rPr>
        <w:t>,</w:t>
      </w:r>
      <w:r w:rsidRPr="009E5B39">
        <w:rPr>
          <w:rFonts w:asciiTheme="majorHAnsi" w:hAnsiTheme="majorHAnsi" w:cstheme="majorHAnsi"/>
          <w:b/>
          <w:sz w:val="24"/>
          <w:szCs w:val="24"/>
          <w:lang w:val="ro-MD"/>
        </w:rPr>
        <w:t xml:space="preserve"> </w:t>
      </w:r>
      <w:r w:rsidRPr="009E5B39">
        <w:rPr>
          <w:rFonts w:asciiTheme="majorHAnsi" w:hAnsiTheme="majorHAnsi" w:cstheme="majorHAnsi"/>
          <w:b/>
          <w:i/>
          <w:sz w:val="24"/>
          <w:szCs w:val="24"/>
          <w:lang w:val="ro-MD"/>
        </w:rPr>
        <w:t>ceea ce condiționează planificarea volumelor exagerate de lucrări (suprafața străzilor) care urmează a fi executate în perioada de gestiune; executarea lucrărilor de reparație a drumurilor publice c</w:t>
      </w:r>
      <w:r w:rsidR="00FD32E8" w:rsidRPr="009E5B39">
        <w:rPr>
          <w:rFonts w:asciiTheme="majorHAnsi" w:hAnsiTheme="majorHAnsi" w:cstheme="majorHAnsi"/>
          <w:b/>
          <w:i/>
          <w:sz w:val="24"/>
          <w:szCs w:val="24"/>
          <w:lang w:val="ro-MD"/>
        </w:rPr>
        <w:t>ar</w:t>
      </w:r>
      <w:r w:rsidRPr="009E5B39">
        <w:rPr>
          <w:rFonts w:asciiTheme="majorHAnsi" w:hAnsiTheme="majorHAnsi" w:cstheme="majorHAnsi"/>
          <w:b/>
          <w:i/>
          <w:sz w:val="24"/>
          <w:szCs w:val="24"/>
          <w:lang w:val="ro-MD"/>
        </w:rPr>
        <w:t>e nu sunt de competența CMC; executarea lucrărilor de reparați</w:t>
      </w:r>
      <w:r w:rsidR="00FD32E8" w:rsidRPr="009E5B39">
        <w:rPr>
          <w:rFonts w:asciiTheme="majorHAnsi" w:hAnsiTheme="majorHAnsi" w:cstheme="majorHAnsi"/>
          <w:b/>
          <w:i/>
          <w:sz w:val="24"/>
          <w:szCs w:val="24"/>
          <w:lang w:val="ro-MD"/>
        </w:rPr>
        <w:t>e</w:t>
      </w:r>
      <w:r w:rsidRPr="009E5B39">
        <w:rPr>
          <w:rFonts w:asciiTheme="majorHAnsi" w:hAnsiTheme="majorHAnsi" w:cstheme="majorHAnsi"/>
          <w:b/>
          <w:i/>
          <w:sz w:val="24"/>
          <w:szCs w:val="24"/>
          <w:lang w:val="ro-MD"/>
        </w:rPr>
        <w:t xml:space="preserve"> capital</w:t>
      </w:r>
      <w:r w:rsidR="00FD32E8" w:rsidRPr="009E5B39">
        <w:rPr>
          <w:rFonts w:asciiTheme="majorHAnsi" w:hAnsiTheme="majorHAnsi" w:cstheme="majorHAnsi"/>
          <w:b/>
          <w:i/>
          <w:sz w:val="24"/>
          <w:szCs w:val="24"/>
          <w:lang w:val="ro-MD"/>
        </w:rPr>
        <w:t>ă</w:t>
      </w:r>
      <w:r w:rsidRPr="009E5B39">
        <w:rPr>
          <w:rFonts w:asciiTheme="majorHAnsi" w:hAnsiTheme="majorHAnsi" w:cstheme="majorHAnsi"/>
          <w:b/>
          <w:i/>
          <w:sz w:val="24"/>
          <w:szCs w:val="24"/>
          <w:lang w:val="ro-MD"/>
        </w:rPr>
        <w:t xml:space="preserve"> a drumurilor publice din municipiu, raportate ca reparații curente etc</w:t>
      </w:r>
      <w:r w:rsidRPr="009E5B39">
        <w:rPr>
          <w:rFonts w:asciiTheme="majorHAnsi" w:hAnsiTheme="majorHAnsi" w:cstheme="majorHAnsi"/>
          <w:i/>
          <w:sz w:val="24"/>
          <w:szCs w:val="24"/>
          <w:lang w:val="ro-MD"/>
        </w:rPr>
        <w:t>.</w:t>
      </w:r>
      <w:r w:rsidR="00FD32E8"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w:t>
      </w:r>
      <w:r w:rsidRPr="009E5B39">
        <w:rPr>
          <w:rFonts w:asciiTheme="majorHAnsi" w:hAnsiTheme="majorHAnsi" w:cstheme="majorHAnsi"/>
          <w:b/>
          <w:i/>
          <w:sz w:val="24"/>
          <w:szCs w:val="24"/>
          <w:lang w:val="ro-MD"/>
        </w:rPr>
        <w:t>pentru care decide autoritatea executivă a mun. Chișinău</w:t>
      </w:r>
      <w:r w:rsidR="00101B6D" w:rsidRPr="009E5B39">
        <w:rPr>
          <w:rFonts w:asciiTheme="majorHAnsi" w:hAnsiTheme="majorHAnsi" w:cstheme="majorHAnsi"/>
          <w:b/>
          <w:i/>
          <w:sz w:val="24"/>
          <w:szCs w:val="24"/>
          <w:lang w:val="ro-MD"/>
        </w:rPr>
        <w:t>, i</w:t>
      </w:r>
      <w:r w:rsidRPr="009E5B39">
        <w:rPr>
          <w:rFonts w:asciiTheme="majorHAnsi" w:hAnsiTheme="majorHAnsi" w:cstheme="majorHAnsi"/>
          <w:b/>
          <w:i/>
          <w:sz w:val="24"/>
          <w:szCs w:val="24"/>
          <w:lang w:val="ro-MD"/>
        </w:rPr>
        <w:t>ar DGTPCC nu asigură argumentarea calculelor incluse în devizul anual de cheltuieli pentru exploatarea și reparația infrastructurii, care ar sta la baza planificării alocațiilor bugetare și a lucrărilor/serviciilor delegate</w:t>
      </w:r>
      <w:r w:rsidRPr="009E5B39">
        <w:rPr>
          <w:rFonts w:asciiTheme="majorHAnsi" w:hAnsiTheme="majorHAnsi" w:cstheme="majorHAnsi"/>
          <w:b/>
          <w:sz w:val="24"/>
          <w:szCs w:val="24"/>
          <w:lang w:val="ro-MD"/>
        </w:rPr>
        <w:t xml:space="preserve">. </w:t>
      </w:r>
    </w:p>
    <w:p w14:paraId="37CF5AE4" w14:textId="7885AA93" w:rsidR="00E868D4" w:rsidRPr="009E5B39" w:rsidRDefault="00030FA0" w:rsidP="00030FA0">
      <w:pPr>
        <w:tabs>
          <w:tab w:val="left" w:pos="709"/>
        </w:tabs>
        <w:spacing w:after="0" w:line="276" w:lineRule="auto"/>
        <w:contextualSpacing/>
        <w:jc w:val="both"/>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ab/>
      </w:r>
      <w:r w:rsidR="00E868D4" w:rsidRPr="009E5B39">
        <w:rPr>
          <w:rFonts w:asciiTheme="majorHAnsi" w:hAnsiTheme="majorHAnsi" w:cstheme="majorHAnsi"/>
          <w:sz w:val="24"/>
          <w:szCs w:val="24"/>
          <w:lang w:val="ro-MD"/>
        </w:rPr>
        <w:t xml:space="preserve">Începând cu anul 2018, CMC a decis delegarea dreptului de gestiune a serviciului public de întreținere și reabilitare a infrastructurii căilor de comunicație din mun. Chișinău </w:t>
      </w:r>
      <w:r w:rsidR="00101B6D" w:rsidRPr="009E5B39">
        <w:rPr>
          <w:rFonts w:asciiTheme="majorHAnsi" w:hAnsiTheme="majorHAnsi" w:cstheme="majorHAnsi"/>
          <w:sz w:val="24"/>
          <w:szCs w:val="24"/>
          <w:lang w:val="ro-MD"/>
        </w:rPr>
        <w:t xml:space="preserve">către </w:t>
      </w:r>
      <w:r w:rsidR="00E868D4" w:rsidRPr="009E5B39">
        <w:rPr>
          <w:rFonts w:asciiTheme="majorHAnsi" w:hAnsiTheme="majorHAnsi" w:cstheme="majorHAnsi"/>
          <w:sz w:val="24"/>
          <w:szCs w:val="24"/>
          <w:lang w:val="ro-MD"/>
        </w:rPr>
        <w:t xml:space="preserve">ÎM Regia </w:t>
      </w:r>
      <w:r w:rsidR="00101B6D" w:rsidRPr="009E5B39">
        <w:rPr>
          <w:rFonts w:asciiTheme="majorHAnsi" w:hAnsiTheme="majorHAnsi" w:cstheme="majorHAnsi"/>
          <w:sz w:val="24"/>
          <w:szCs w:val="24"/>
          <w:lang w:val="ro-MD"/>
        </w:rPr>
        <w:t xml:space="preserve">de </w:t>
      </w:r>
      <w:r w:rsidR="00E868D4" w:rsidRPr="009E5B39">
        <w:rPr>
          <w:rFonts w:asciiTheme="majorHAnsi" w:hAnsiTheme="majorHAnsi" w:cstheme="majorHAnsi"/>
          <w:sz w:val="24"/>
          <w:szCs w:val="24"/>
          <w:lang w:val="ro-MD"/>
        </w:rPr>
        <w:t>exploatare a drumurilor și podurilor „E</w:t>
      </w:r>
      <w:r w:rsidR="003B7B77" w:rsidRPr="009E5B39">
        <w:rPr>
          <w:rFonts w:asciiTheme="majorHAnsi" w:hAnsiTheme="majorHAnsi" w:cstheme="majorHAnsi"/>
          <w:sz w:val="24"/>
          <w:szCs w:val="24"/>
          <w:lang w:val="ro-MD"/>
        </w:rPr>
        <w:t>x</w:t>
      </w:r>
      <w:r w:rsidR="00E868D4" w:rsidRPr="009E5B39">
        <w:rPr>
          <w:rFonts w:asciiTheme="majorHAnsi" w:hAnsiTheme="majorHAnsi" w:cstheme="majorHAnsi"/>
          <w:sz w:val="24"/>
          <w:szCs w:val="24"/>
          <w:lang w:val="ro-MD"/>
        </w:rPr>
        <w:t>D</w:t>
      </w:r>
      <w:r w:rsidR="003B7B77" w:rsidRPr="009E5B39">
        <w:rPr>
          <w:rFonts w:asciiTheme="majorHAnsi" w:hAnsiTheme="majorHAnsi" w:cstheme="majorHAnsi"/>
          <w:sz w:val="24"/>
          <w:szCs w:val="24"/>
          <w:lang w:val="ro-MD"/>
        </w:rPr>
        <w:t>rupo</w:t>
      </w:r>
      <w:r w:rsidR="00E868D4" w:rsidRPr="009E5B39">
        <w:rPr>
          <w:rFonts w:asciiTheme="majorHAnsi" w:hAnsiTheme="majorHAnsi" w:cstheme="majorHAnsi"/>
          <w:sz w:val="24"/>
          <w:szCs w:val="24"/>
          <w:lang w:val="ro-MD"/>
        </w:rPr>
        <w:t xml:space="preserve">” (în continuare – ÎM Regia </w:t>
      </w:r>
      <w:r w:rsidR="00375A8D" w:rsidRPr="009E5B39">
        <w:rPr>
          <w:rFonts w:asciiTheme="majorHAnsi" w:hAnsiTheme="majorHAnsi" w:cstheme="majorHAnsi"/>
          <w:sz w:val="24"/>
          <w:szCs w:val="24"/>
          <w:lang w:val="ro-MD"/>
        </w:rPr>
        <w:t>„</w:t>
      </w:r>
      <w:r w:rsidR="00E868D4" w:rsidRPr="009E5B39">
        <w:rPr>
          <w:rFonts w:asciiTheme="majorHAnsi" w:hAnsiTheme="majorHAnsi" w:cstheme="majorHAnsi"/>
          <w:sz w:val="24"/>
          <w:szCs w:val="24"/>
          <w:lang w:val="ro-MD"/>
        </w:rPr>
        <w:t>ExDrupo”). La delegarea dreptului de gestiune a serviciului public menționat</w:t>
      </w:r>
      <w:r w:rsidR="00101B6D" w:rsidRPr="009E5B39">
        <w:rPr>
          <w:rFonts w:asciiTheme="majorHAnsi" w:hAnsiTheme="majorHAnsi" w:cstheme="majorHAnsi"/>
          <w:sz w:val="24"/>
          <w:szCs w:val="24"/>
          <w:lang w:val="ro-MD"/>
        </w:rPr>
        <w:t>,</w:t>
      </w:r>
      <w:r w:rsidR="00E868D4" w:rsidRPr="009E5B39">
        <w:rPr>
          <w:rFonts w:asciiTheme="majorHAnsi" w:hAnsiTheme="majorHAnsi" w:cstheme="majorHAnsi"/>
          <w:sz w:val="24"/>
          <w:szCs w:val="24"/>
          <w:lang w:val="ro-MD"/>
        </w:rPr>
        <w:t xml:space="preserve"> CMC nu a ținut cont de: </w:t>
      </w:r>
      <w:r w:rsidR="00E868D4" w:rsidRPr="009E5B39">
        <w:rPr>
          <w:rFonts w:asciiTheme="majorHAnsi" w:hAnsiTheme="majorHAnsi" w:cstheme="majorHAnsi"/>
          <w:b/>
          <w:i/>
          <w:sz w:val="24"/>
          <w:szCs w:val="24"/>
          <w:lang w:val="ro-MD"/>
        </w:rPr>
        <w:t>1)</w:t>
      </w:r>
      <w:r w:rsidR="00E868D4" w:rsidRPr="009E5B39">
        <w:rPr>
          <w:rFonts w:asciiTheme="majorHAnsi" w:hAnsiTheme="majorHAnsi" w:cstheme="majorHAnsi"/>
          <w:sz w:val="24"/>
          <w:szCs w:val="24"/>
          <w:lang w:val="ro-MD"/>
        </w:rPr>
        <w:t xml:space="preserve"> posibilitatea ÎM Regia „ExDrupo” de a presta serviciile/lucrările delegate pentru toată infrastructura drumurilor din mun. Chișinău, ceea ce cauzează prestarea serviciului de reparație a infrastructurii căilor de comunicații la un nivel scăzut. Potrivit planului anual de acțiuni, în anul 2018 a</w:t>
      </w:r>
      <w:r w:rsidR="0017280C" w:rsidRPr="009E5B39">
        <w:rPr>
          <w:rFonts w:asciiTheme="majorHAnsi" w:hAnsiTheme="majorHAnsi" w:cstheme="majorHAnsi"/>
          <w:sz w:val="24"/>
          <w:szCs w:val="24"/>
          <w:lang w:val="ro-MD"/>
        </w:rPr>
        <w:t>u</w:t>
      </w:r>
      <w:r w:rsidR="00E868D4" w:rsidRPr="009E5B39">
        <w:rPr>
          <w:rFonts w:asciiTheme="majorHAnsi" w:hAnsiTheme="majorHAnsi" w:cstheme="majorHAnsi"/>
          <w:sz w:val="24"/>
          <w:szCs w:val="24"/>
          <w:lang w:val="ro-MD"/>
        </w:rPr>
        <w:t xml:space="preserve"> fost aprobat</w:t>
      </w:r>
      <w:r w:rsidR="0017280C" w:rsidRPr="009E5B39">
        <w:rPr>
          <w:rFonts w:asciiTheme="majorHAnsi" w:hAnsiTheme="majorHAnsi" w:cstheme="majorHAnsi"/>
          <w:sz w:val="24"/>
          <w:szCs w:val="24"/>
          <w:lang w:val="ro-MD"/>
        </w:rPr>
        <w:t xml:space="preserve">e </w:t>
      </w:r>
      <w:r w:rsidR="00E868D4" w:rsidRPr="009E5B39">
        <w:rPr>
          <w:rFonts w:asciiTheme="majorHAnsi" w:hAnsiTheme="majorHAnsi" w:cstheme="majorHAnsi"/>
          <w:sz w:val="24"/>
          <w:szCs w:val="24"/>
          <w:lang w:val="ro-MD"/>
        </w:rPr>
        <w:t xml:space="preserve"> pentru reparație drumuri publice cu suprafața totală de 823172 </w:t>
      </w:r>
      <w:r w:rsidR="0017280C" w:rsidRPr="009E5B39">
        <w:rPr>
          <w:rFonts w:asciiTheme="majorHAnsi" w:hAnsiTheme="majorHAnsi" w:cstheme="majorHAnsi"/>
          <w:sz w:val="24"/>
          <w:szCs w:val="24"/>
          <w:lang w:val="ro-MD"/>
        </w:rPr>
        <w:t>m</w:t>
      </w:r>
      <w:r w:rsidR="0017280C" w:rsidRPr="009E5B39">
        <w:rPr>
          <w:rFonts w:asciiTheme="majorHAnsi" w:hAnsiTheme="majorHAnsi" w:cstheme="majorHAnsi"/>
          <w:sz w:val="24"/>
          <w:szCs w:val="24"/>
          <w:vertAlign w:val="superscript"/>
          <w:lang w:val="ro-MD"/>
        </w:rPr>
        <w:t>2</w:t>
      </w:r>
      <w:r w:rsidR="00E868D4" w:rsidRPr="009E5B39">
        <w:rPr>
          <w:rFonts w:asciiTheme="majorHAnsi" w:hAnsiTheme="majorHAnsi" w:cstheme="majorHAnsi"/>
          <w:sz w:val="24"/>
          <w:szCs w:val="24"/>
          <w:lang w:val="ro-MD"/>
        </w:rPr>
        <w:t xml:space="preserve">, </w:t>
      </w:r>
      <w:r w:rsidR="0017280C" w:rsidRPr="009E5B39">
        <w:rPr>
          <w:rFonts w:asciiTheme="majorHAnsi" w:hAnsiTheme="majorHAnsi" w:cstheme="majorHAnsi"/>
          <w:sz w:val="24"/>
          <w:szCs w:val="24"/>
          <w:lang w:val="ro-MD"/>
        </w:rPr>
        <w:t xml:space="preserve">dar </w:t>
      </w:r>
      <w:r w:rsidR="00E868D4" w:rsidRPr="009E5B39">
        <w:rPr>
          <w:rFonts w:asciiTheme="majorHAnsi" w:hAnsiTheme="majorHAnsi" w:cstheme="majorHAnsi"/>
          <w:sz w:val="24"/>
          <w:szCs w:val="24"/>
          <w:lang w:val="ro-MD"/>
        </w:rPr>
        <w:t xml:space="preserve"> </w:t>
      </w:r>
      <w:r w:rsidR="0017280C" w:rsidRPr="009E5B39">
        <w:rPr>
          <w:rFonts w:asciiTheme="majorHAnsi" w:hAnsiTheme="majorHAnsi" w:cstheme="majorHAnsi"/>
          <w:sz w:val="24"/>
          <w:szCs w:val="24"/>
          <w:lang w:val="ro-MD"/>
        </w:rPr>
        <w:t>s-</w:t>
      </w:r>
      <w:r w:rsidR="00E868D4" w:rsidRPr="009E5B39">
        <w:rPr>
          <w:rFonts w:asciiTheme="majorHAnsi" w:hAnsiTheme="majorHAnsi" w:cstheme="majorHAnsi"/>
          <w:sz w:val="24"/>
          <w:szCs w:val="24"/>
          <w:lang w:val="ro-MD"/>
        </w:rPr>
        <w:t xml:space="preserve">au executat lucrări de reparație la 227065 </w:t>
      </w:r>
      <w:r w:rsidR="0017280C" w:rsidRPr="009E5B39">
        <w:rPr>
          <w:rFonts w:asciiTheme="majorHAnsi" w:hAnsiTheme="majorHAnsi" w:cstheme="majorHAnsi"/>
          <w:sz w:val="24"/>
          <w:szCs w:val="24"/>
          <w:lang w:val="ro-MD"/>
        </w:rPr>
        <w:t>m</w:t>
      </w:r>
      <w:r w:rsidR="0017280C" w:rsidRPr="009E5B39">
        <w:rPr>
          <w:rFonts w:asciiTheme="majorHAnsi" w:hAnsiTheme="majorHAnsi" w:cstheme="majorHAnsi"/>
          <w:sz w:val="24"/>
          <w:szCs w:val="24"/>
          <w:vertAlign w:val="superscript"/>
          <w:lang w:val="ro-MD"/>
        </w:rPr>
        <w:t>2</w:t>
      </w:r>
      <w:r w:rsidR="00E868D4" w:rsidRPr="009E5B39">
        <w:rPr>
          <w:rFonts w:asciiTheme="majorHAnsi" w:hAnsiTheme="majorHAnsi" w:cstheme="majorHAnsi"/>
          <w:sz w:val="24"/>
          <w:szCs w:val="24"/>
          <w:lang w:val="ro-MD"/>
        </w:rPr>
        <w:t xml:space="preserve">, sau </w:t>
      </w:r>
      <w:r w:rsidR="0017280C" w:rsidRPr="009E5B39">
        <w:rPr>
          <w:rFonts w:asciiTheme="majorHAnsi" w:hAnsiTheme="majorHAnsi" w:cstheme="majorHAnsi"/>
          <w:sz w:val="24"/>
          <w:szCs w:val="24"/>
          <w:lang w:val="ro-MD"/>
        </w:rPr>
        <w:t xml:space="preserve">la </w:t>
      </w:r>
      <w:r w:rsidR="00E868D4" w:rsidRPr="009E5B39">
        <w:rPr>
          <w:rFonts w:asciiTheme="majorHAnsi" w:hAnsiTheme="majorHAnsi" w:cstheme="majorHAnsi"/>
          <w:sz w:val="24"/>
          <w:szCs w:val="24"/>
          <w:lang w:val="ro-MD"/>
        </w:rPr>
        <w:t>27,6% din suprafața planificată. În anul 2019 s-au realizat lucrări în volum de 38,8% (248941 m</w:t>
      </w:r>
      <w:r w:rsidR="00E868D4" w:rsidRPr="009E5B39">
        <w:rPr>
          <w:rFonts w:asciiTheme="majorHAnsi" w:hAnsiTheme="majorHAnsi" w:cstheme="majorHAnsi"/>
          <w:sz w:val="24"/>
          <w:szCs w:val="24"/>
          <w:vertAlign w:val="superscript"/>
          <w:lang w:val="ro-MD"/>
        </w:rPr>
        <w:t>2</w:t>
      </w:r>
      <w:r w:rsidR="00E868D4" w:rsidRPr="009E5B39">
        <w:rPr>
          <w:rFonts w:asciiTheme="majorHAnsi" w:hAnsiTheme="majorHAnsi" w:cstheme="majorHAnsi"/>
          <w:sz w:val="24"/>
          <w:szCs w:val="24"/>
          <w:lang w:val="ro-MD"/>
        </w:rPr>
        <w:t>) din cel planificat (641900 m</w:t>
      </w:r>
      <w:r w:rsidR="00E868D4" w:rsidRPr="009E5B39">
        <w:rPr>
          <w:rFonts w:asciiTheme="majorHAnsi" w:hAnsiTheme="majorHAnsi" w:cstheme="majorHAnsi"/>
          <w:sz w:val="24"/>
          <w:szCs w:val="24"/>
          <w:vertAlign w:val="superscript"/>
          <w:lang w:val="ro-MD"/>
        </w:rPr>
        <w:t>2</w:t>
      </w:r>
      <w:r w:rsidR="00E868D4" w:rsidRPr="009E5B39">
        <w:rPr>
          <w:rFonts w:asciiTheme="majorHAnsi" w:hAnsiTheme="majorHAnsi" w:cstheme="majorHAnsi"/>
          <w:sz w:val="24"/>
          <w:szCs w:val="24"/>
          <w:lang w:val="ro-MD"/>
        </w:rPr>
        <w:t xml:space="preserve">). Aceeași situație se repetă și în anul 2020. </w:t>
      </w:r>
      <w:r w:rsidR="00E868D4" w:rsidRPr="009E5B39">
        <w:rPr>
          <w:rFonts w:asciiTheme="majorHAnsi" w:hAnsiTheme="majorHAnsi" w:cstheme="majorHAnsi"/>
          <w:b/>
          <w:i/>
          <w:sz w:val="24"/>
          <w:szCs w:val="24"/>
          <w:lang w:val="ro-MD"/>
        </w:rPr>
        <w:t>2)</w:t>
      </w:r>
      <w:r w:rsidR="00E868D4" w:rsidRPr="009E5B39">
        <w:rPr>
          <w:rFonts w:asciiTheme="majorHAnsi" w:hAnsiTheme="majorHAnsi" w:cstheme="majorHAnsi"/>
          <w:sz w:val="24"/>
          <w:szCs w:val="24"/>
          <w:lang w:val="ro-MD"/>
        </w:rPr>
        <w:t xml:space="preserve"> ÎM, nefiind dotată cu tehnică suficientă, contractează servicii de reparație și întreținere a drumurilor publice, precum și de locațiune a unor utilaje și tehnică de la entități terțe. Astfel, în perioada 2018-2020, ÎM Regia „ExDrupo” a contractat servicii de reparație a drumurilor publice în sumă totală de circa </w:t>
      </w:r>
      <w:r w:rsidR="00E868D4" w:rsidRPr="009E5B39">
        <w:rPr>
          <w:rFonts w:asciiTheme="majorHAnsi" w:hAnsiTheme="majorHAnsi" w:cstheme="majorHAnsi"/>
          <w:b/>
          <w:i/>
          <w:sz w:val="24"/>
          <w:szCs w:val="24"/>
          <w:lang w:val="ro-MD"/>
        </w:rPr>
        <w:t>42,14 mil</w:t>
      </w:r>
      <w:r w:rsidR="0017280C" w:rsidRPr="009E5B39">
        <w:rPr>
          <w:rFonts w:asciiTheme="majorHAnsi" w:hAnsiTheme="majorHAnsi" w:cstheme="majorHAnsi"/>
          <w:b/>
          <w:i/>
          <w:sz w:val="24"/>
          <w:szCs w:val="24"/>
          <w:lang w:val="ro-MD"/>
        </w:rPr>
        <w:t>.</w:t>
      </w:r>
      <w:r w:rsidR="00E868D4" w:rsidRPr="009E5B39">
        <w:rPr>
          <w:rFonts w:asciiTheme="majorHAnsi" w:hAnsiTheme="majorHAnsi" w:cstheme="majorHAnsi"/>
          <w:b/>
          <w:i/>
          <w:sz w:val="24"/>
          <w:szCs w:val="24"/>
          <w:lang w:val="ro-MD"/>
        </w:rPr>
        <w:t xml:space="preserve"> lei</w:t>
      </w:r>
      <w:r w:rsidR="00E868D4" w:rsidRPr="009E5B39">
        <w:rPr>
          <w:rFonts w:asciiTheme="majorHAnsi" w:hAnsiTheme="majorHAnsi" w:cstheme="majorHAnsi"/>
          <w:sz w:val="24"/>
          <w:szCs w:val="24"/>
          <w:lang w:val="ro-MD"/>
        </w:rPr>
        <w:t xml:space="preserve"> la 9 subantreprenori</w:t>
      </w:r>
      <w:r w:rsidR="00E868D4" w:rsidRPr="009E5B39">
        <w:rPr>
          <w:rFonts w:asciiTheme="majorHAnsi" w:hAnsiTheme="majorHAnsi" w:cstheme="majorHAnsi"/>
          <w:sz w:val="24"/>
          <w:szCs w:val="24"/>
          <w:vertAlign w:val="superscript"/>
          <w:lang w:val="ro-MD"/>
        </w:rPr>
        <w:footnoteReference w:id="203"/>
      </w:r>
      <w:r w:rsidR="00E868D4" w:rsidRPr="009E5B39">
        <w:rPr>
          <w:rFonts w:asciiTheme="majorHAnsi" w:hAnsiTheme="majorHAnsi" w:cstheme="majorHAnsi"/>
          <w:sz w:val="24"/>
          <w:szCs w:val="24"/>
          <w:lang w:val="ro-MD"/>
        </w:rPr>
        <w:t xml:space="preserve">, </w:t>
      </w:r>
      <w:r w:rsidR="0017280C" w:rsidRPr="009E5B39">
        <w:rPr>
          <w:rFonts w:asciiTheme="majorHAnsi" w:hAnsiTheme="majorHAnsi" w:cstheme="majorHAnsi"/>
          <w:sz w:val="24"/>
          <w:szCs w:val="24"/>
          <w:lang w:val="ro-MD"/>
        </w:rPr>
        <w:t xml:space="preserve">precum </w:t>
      </w:r>
      <w:r w:rsidR="00E868D4" w:rsidRPr="009E5B39">
        <w:rPr>
          <w:rFonts w:asciiTheme="majorHAnsi" w:hAnsiTheme="majorHAnsi" w:cstheme="majorHAnsi"/>
          <w:sz w:val="24"/>
          <w:szCs w:val="24"/>
          <w:lang w:val="ro-MD"/>
        </w:rPr>
        <w:t xml:space="preserve">și  servicii de locațiune a tehnicii  în sumă totală </w:t>
      </w:r>
      <w:r w:rsidR="00E868D4" w:rsidRPr="009E5B39">
        <w:rPr>
          <w:rFonts w:asciiTheme="majorHAnsi" w:hAnsiTheme="majorHAnsi" w:cstheme="majorHAnsi"/>
          <w:b/>
          <w:i/>
          <w:sz w:val="24"/>
          <w:szCs w:val="24"/>
          <w:lang w:val="ro-MD"/>
        </w:rPr>
        <w:t>de circa 11,93 mil</w:t>
      </w:r>
      <w:r w:rsidR="0017280C" w:rsidRPr="009E5B39">
        <w:rPr>
          <w:rFonts w:asciiTheme="majorHAnsi" w:hAnsiTheme="majorHAnsi" w:cstheme="majorHAnsi"/>
          <w:b/>
          <w:i/>
          <w:sz w:val="24"/>
          <w:szCs w:val="24"/>
          <w:lang w:val="ro-MD"/>
        </w:rPr>
        <w:t>.</w:t>
      </w:r>
      <w:r w:rsidR="00E868D4" w:rsidRPr="009E5B39">
        <w:rPr>
          <w:rFonts w:asciiTheme="majorHAnsi" w:hAnsiTheme="majorHAnsi" w:cstheme="majorHAnsi"/>
          <w:b/>
          <w:i/>
          <w:sz w:val="24"/>
          <w:szCs w:val="24"/>
          <w:lang w:val="ro-MD"/>
        </w:rPr>
        <w:t xml:space="preserve"> lei (inclusiv TVA).</w:t>
      </w:r>
      <w:r w:rsidR="00E868D4" w:rsidRPr="009E5B39">
        <w:rPr>
          <w:rFonts w:asciiTheme="majorHAnsi" w:hAnsiTheme="majorHAnsi" w:cstheme="majorHAnsi"/>
          <w:sz w:val="24"/>
          <w:szCs w:val="24"/>
          <w:lang w:val="ro-MD"/>
        </w:rPr>
        <w:t xml:space="preserve">  </w:t>
      </w:r>
    </w:p>
    <w:p w14:paraId="28DEB612" w14:textId="43C83BD5" w:rsidR="00E868D4" w:rsidRPr="009E5B39" w:rsidRDefault="00E868D4" w:rsidP="003C5073">
      <w:pPr>
        <w:pStyle w:val="ListParagraph"/>
        <w:numPr>
          <w:ilvl w:val="0"/>
          <w:numId w:val="92"/>
        </w:numPr>
        <w:tabs>
          <w:tab w:val="left" w:pos="709"/>
        </w:tabs>
        <w:spacing w:after="0" w:line="276" w:lineRule="auto"/>
        <w:ind w:left="0" w:firstLine="426"/>
        <w:jc w:val="both"/>
        <w:rPr>
          <w:rFonts w:asciiTheme="majorHAnsi" w:hAnsiTheme="majorHAnsi" w:cstheme="majorHAnsi"/>
          <w:b/>
          <w:i/>
          <w:sz w:val="24"/>
          <w:szCs w:val="24"/>
          <w:lang w:val="ro-MD"/>
        </w:rPr>
      </w:pPr>
      <w:r w:rsidRPr="009E5B39">
        <w:rPr>
          <w:rFonts w:asciiTheme="majorHAnsi" w:hAnsiTheme="majorHAnsi" w:cstheme="majorHAnsi"/>
          <w:sz w:val="24"/>
          <w:szCs w:val="24"/>
          <w:lang w:val="ro-MD"/>
        </w:rPr>
        <w:t xml:space="preserve"> </w:t>
      </w:r>
      <w:r w:rsidRPr="009E5B39">
        <w:rPr>
          <w:rFonts w:asciiTheme="majorHAnsi" w:hAnsiTheme="majorHAnsi" w:cstheme="majorHAnsi"/>
          <w:b/>
          <w:i/>
          <w:sz w:val="24"/>
          <w:szCs w:val="24"/>
          <w:lang w:val="ro-MD"/>
        </w:rPr>
        <w:t xml:space="preserve">AAPL de nivelul I din suburbii nu au asigurat transmiterea în gestiune/administrare ÎM REI </w:t>
      </w:r>
      <w:r w:rsidR="0017280C"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Lumteh</w:t>
      </w:r>
      <w:r w:rsidR="0017280C"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 xml:space="preserve"> a rețelel</w:t>
      </w:r>
      <w:r w:rsidR="0017280C" w:rsidRPr="009E5B39">
        <w:rPr>
          <w:rFonts w:asciiTheme="majorHAnsi" w:hAnsiTheme="majorHAnsi" w:cstheme="majorHAnsi"/>
          <w:b/>
          <w:i/>
          <w:sz w:val="24"/>
          <w:szCs w:val="24"/>
          <w:lang w:val="ro-MD"/>
        </w:rPr>
        <w:t>or</w:t>
      </w:r>
      <w:r w:rsidRPr="009E5B39">
        <w:rPr>
          <w:rFonts w:asciiTheme="majorHAnsi" w:hAnsiTheme="majorHAnsi" w:cstheme="majorHAnsi"/>
          <w:b/>
          <w:i/>
          <w:sz w:val="24"/>
          <w:szCs w:val="24"/>
          <w:lang w:val="ro-MD"/>
        </w:rPr>
        <w:t xml:space="preserve"> de iluminat public din localitățile suburbane, acestea fiind deservite în lipsa unor contracte de gestiune ori de prestări servicii.</w:t>
      </w:r>
      <w:r w:rsidRPr="009E5B39">
        <w:rPr>
          <w:rFonts w:asciiTheme="majorHAnsi" w:hAnsiTheme="majorHAnsi" w:cstheme="majorHAnsi"/>
          <w:sz w:val="24"/>
          <w:szCs w:val="24"/>
          <w:lang w:val="ro-MD"/>
        </w:rPr>
        <w:t xml:space="preserve"> Deși în evidența contabilă a ÎM REI „Lumteh” sunt înregistrate instalațiile de transmisie din 17 UAT de nivelul I din suburbii,  în valoare totală de </w:t>
      </w:r>
      <w:r w:rsidRPr="009E5B39">
        <w:rPr>
          <w:rFonts w:asciiTheme="majorHAnsi" w:hAnsiTheme="majorHAnsi" w:cstheme="majorHAnsi"/>
          <w:b/>
          <w:sz w:val="24"/>
          <w:szCs w:val="24"/>
          <w:lang w:val="ro-MD"/>
        </w:rPr>
        <w:t>4,1 mil</w:t>
      </w:r>
      <w:r w:rsidR="00CC58D1"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acestea sunt gestionate/administrate în lipsa contractelor de delegare a gestiunii/prestării servicii</w:t>
      </w:r>
      <w:r w:rsidR="0017280C" w:rsidRPr="009E5B39">
        <w:rPr>
          <w:rFonts w:asciiTheme="majorHAnsi" w:hAnsiTheme="majorHAnsi" w:cstheme="majorHAnsi"/>
          <w:sz w:val="24"/>
          <w:szCs w:val="24"/>
          <w:lang w:val="ro-MD"/>
        </w:rPr>
        <w:t>lor</w:t>
      </w:r>
      <w:r w:rsidRPr="009E5B39">
        <w:rPr>
          <w:rFonts w:asciiTheme="majorHAnsi" w:hAnsiTheme="majorHAnsi" w:cstheme="majorHAnsi"/>
          <w:sz w:val="24"/>
          <w:szCs w:val="24"/>
          <w:lang w:val="ro-MD"/>
        </w:rPr>
        <w:t xml:space="preserve"> de întreținere a infrastructurii tehnico-edilitare, semnate cu APL de nivelul I, cu anexarea listei acestora. De menționat faptul că valoarea rețelelor electrice de iluminat din UAT din suburbii, contabilizată de către ÎM REI „Lumteh”, este diminuată esențial, fapt determinat de netransmiterea de către </w:t>
      </w:r>
      <w:r w:rsidR="0017280C" w:rsidRPr="009E5B39">
        <w:rPr>
          <w:rFonts w:asciiTheme="majorHAnsi" w:hAnsiTheme="majorHAnsi" w:cstheme="majorHAnsi"/>
          <w:sz w:val="24"/>
          <w:szCs w:val="24"/>
          <w:lang w:val="ro-MD"/>
        </w:rPr>
        <w:t>P</w:t>
      </w:r>
      <w:r w:rsidRPr="009E5B39">
        <w:rPr>
          <w:rFonts w:asciiTheme="majorHAnsi" w:hAnsiTheme="majorHAnsi" w:cstheme="majorHAnsi"/>
          <w:sz w:val="24"/>
          <w:szCs w:val="24"/>
          <w:lang w:val="ro-MD"/>
        </w:rPr>
        <w:t xml:space="preserve">rimăria mun. Chișinău a valorii rețelelor preluate în proprietate prin deciziile CMC. </w:t>
      </w:r>
      <w:r w:rsidRPr="009E5B39">
        <w:rPr>
          <w:rFonts w:asciiTheme="majorHAnsi" w:hAnsiTheme="majorHAnsi" w:cstheme="majorHAnsi"/>
          <w:i/>
          <w:sz w:val="24"/>
          <w:szCs w:val="24"/>
          <w:lang w:val="ro-MD"/>
        </w:rPr>
        <w:t>De exemplu:</w:t>
      </w:r>
      <w:r w:rsidRPr="009E5B39">
        <w:rPr>
          <w:rFonts w:asciiTheme="majorHAnsi" w:hAnsiTheme="majorHAnsi" w:cstheme="majorHAnsi"/>
          <w:sz w:val="24"/>
          <w:szCs w:val="24"/>
          <w:lang w:val="ro-MD"/>
        </w:rPr>
        <w:t xml:space="preserve"> în evidența contabilă a ÎM REI „Lumteh” la 31.12.2020, valoarea instalațiilor de transmisie din </w:t>
      </w:r>
      <w:r w:rsidRPr="009E5B39">
        <w:rPr>
          <w:rFonts w:asciiTheme="majorHAnsi" w:hAnsiTheme="majorHAnsi" w:cstheme="majorHAnsi"/>
          <w:i/>
          <w:sz w:val="24"/>
          <w:szCs w:val="24"/>
          <w:u w:val="single"/>
          <w:lang w:val="ro-MD"/>
        </w:rPr>
        <w:t xml:space="preserve">or. Durlești </w:t>
      </w:r>
      <w:r w:rsidRPr="009E5B39">
        <w:rPr>
          <w:rFonts w:asciiTheme="majorHAnsi" w:hAnsiTheme="majorHAnsi" w:cstheme="majorHAnsi"/>
          <w:sz w:val="24"/>
          <w:szCs w:val="24"/>
          <w:lang w:val="ro-MD"/>
        </w:rPr>
        <w:t xml:space="preserve">constituie 226,2 mii lei, </w:t>
      </w:r>
      <w:r w:rsidR="0017280C" w:rsidRPr="009E5B39">
        <w:rPr>
          <w:rFonts w:asciiTheme="majorHAnsi" w:hAnsiTheme="majorHAnsi" w:cstheme="majorHAnsi"/>
          <w:sz w:val="24"/>
          <w:szCs w:val="24"/>
          <w:lang w:val="ro-MD"/>
        </w:rPr>
        <w:t>iar</w:t>
      </w:r>
      <w:r w:rsidRPr="009E5B39">
        <w:rPr>
          <w:rFonts w:asciiTheme="majorHAnsi" w:hAnsiTheme="majorHAnsi" w:cstheme="majorHAnsi"/>
          <w:sz w:val="24"/>
          <w:szCs w:val="24"/>
          <w:lang w:val="ro-MD"/>
        </w:rPr>
        <w:t xml:space="preserve"> conform Deciziilor CMC</w:t>
      </w:r>
      <w:r w:rsidRPr="009E5B39">
        <w:rPr>
          <w:vertAlign w:val="superscript"/>
          <w:lang w:val="ro-MD"/>
        </w:rPr>
        <w:footnoteReference w:id="204"/>
      </w:r>
      <w:r w:rsidRPr="009E5B39">
        <w:rPr>
          <w:rFonts w:asciiTheme="majorHAnsi" w:hAnsiTheme="majorHAnsi" w:cstheme="majorHAnsi"/>
          <w:sz w:val="24"/>
          <w:szCs w:val="24"/>
          <w:lang w:val="ro-MD"/>
        </w:rPr>
        <w:t xml:space="preserve">, în anul 2020, CL Durlești </w:t>
      </w:r>
      <w:r w:rsidR="00CC58D1" w:rsidRPr="009E5B39">
        <w:rPr>
          <w:rFonts w:asciiTheme="majorHAnsi" w:hAnsiTheme="majorHAnsi" w:cstheme="majorHAnsi"/>
          <w:sz w:val="24"/>
          <w:szCs w:val="24"/>
          <w:lang w:val="ro-MD"/>
        </w:rPr>
        <w:t xml:space="preserve">urma să predea </w:t>
      </w:r>
      <w:r w:rsidRPr="009E5B39">
        <w:rPr>
          <w:rFonts w:asciiTheme="majorHAnsi" w:hAnsiTheme="majorHAnsi" w:cstheme="majorHAnsi"/>
          <w:sz w:val="24"/>
          <w:szCs w:val="24"/>
          <w:lang w:val="ro-MD"/>
        </w:rPr>
        <w:t xml:space="preserve">instalații de transmisie în sumă totală de 6333,4 mii lei;  </w:t>
      </w:r>
      <w:r w:rsidRPr="009E5B39">
        <w:rPr>
          <w:rFonts w:asciiTheme="majorHAnsi" w:hAnsiTheme="majorHAnsi" w:cstheme="majorHAnsi"/>
          <w:i/>
          <w:sz w:val="24"/>
          <w:szCs w:val="24"/>
          <w:u w:val="single"/>
          <w:lang w:val="ro-MD"/>
        </w:rPr>
        <w:t>or. Codru</w:t>
      </w:r>
      <w:r w:rsidRPr="009E5B39">
        <w:rPr>
          <w:rFonts w:asciiTheme="majorHAnsi" w:hAnsiTheme="majorHAnsi" w:cstheme="majorHAnsi"/>
          <w:sz w:val="24"/>
          <w:szCs w:val="24"/>
          <w:lang w:val="ro-MD"/>
        </w:rPr>
        <w:t xml:space="preserve"> – în evidența contabilă valoarea instalațiilor de transmisie constituie 350,0 mii lei, iar conform Deciziilor CMC</w:t>
      </w:r>
      <w:r w:rsidRPr="009E5B39">
        <w:rPr>
          <w:vertAlign w:val="superscript"/>
          <w:lang w:val="ro-MD"/>
        </w:rPr>
        <w:footnoteReference w:id="205"/>
      </w:r>
      <w:r w:rsidRPr="009E5B39">
        <w:rPr>
          <w:rFonts w:asciiTheme="majorHAnsi" w:hAnsiTheme="majorHAnsi" w:cstheme="majorHAnsi"/>
          <w:sz w:val="24"/>
          <w:szCs w:val="24"/>
          <w:lang w:val="ro-MD"/>
        </w:rPr>
        <w:t xml:space="preserve">, în anul 2019, CL Codru </w:t>
      </w:r>
      <w:r w:rsidR="00CC58D1" w:rsidRPr="009E5B39">
        <w:rPr>
          <w:rFonts w:asciiTheme="majorHAnsi" w:hAnsiTheme="majorHAnsi" w:cstheme="majorHAnsi"/>
          <w:sz w:val="24"/>
          <w:szCs w:val="24"/>
          <w:lang w:val="ro-MD"/>
        </w:rPr>
        <w:t>urma să predea</w:t>
      </w:r>
      <w:r w:rsidRPr="009E5B39">
        <w:rPr>
          <w:rFonts w:asciiTheme="majorHAnsi" w:hAnsiTheme="majorHAnsi" w:cstheme="majorHAnsi"/>
          <w:sz w:val="24"/>
          <w:szCs w:val="24"/>
          <w:lang w:val="ro-MD"/>
        </w:rPr>
        <w:t xml:space="preserve"> instalații de transmisie în sumă totală de 5,23 mil</w:t>
      </w:r>
      <w:r w:rsidR="0017280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p>
    <w:p w14:paraId="136A97F8" w14:textId="0C2103E3" w:rsidR="004E4AFE" w:rsidRPr="009E5B39" w:rsidRDefault="004E4AFE" w:rsidP="003C5073">
      <w:pPr>
        <w:pStyle w:val="ListParagraph"/>
        <w:numPr>
          <w:ilvl w:val="0"/>
          <w:numId w:val="92"/>
        </w:numPr>
        <w:tabs>
          <w:tab w:val="left" w:pos="709"/>
        </w:tabs>
        <w:spacing w:after="0" w:line="276" w:lineRule="auto"/>
        <w:ind w:left="0" w:firstLine="426"/>
        <w:jc w:val="both"/>
        <w:rPr>
          <w:rFonts w:asciiTheme="majorHAnsi" w:hAnsiTheme="majorHAnsi" w:cstheme="majorHAnsi"/>
          <w:i/>
          <w:sz w:val="24"/>
          <w:szCs w:val="24"/>
          <w:lang w:val="ro-MD"/>
        </w:rPr>
      </w:pPr>
      <w:r w:rsidRPr="009E5B39">
        <w:rPr>
          <w:rFonts w:asciiTheme="majorHAnsi" w:hAnsiTheme="majorHAnsi" w:cstheme="majorHAnsi"/>
          <w:b/>
          <w:sz w:val="24"/>
          <w:szCs w:val="24"/>
          <w:lang w:val="ro-MD"/>
        </w:rPr>
        <w:t>Deși CMC aprobă anual unele tarife aplicate de ÎM</w:t>
      </w:r>
      <w:r w:rsidRPr="009E5B39">
        <w:rPr>
          <w:vertAlign w:val="superscript"/>
          <w:lang w:val="ro-MD"/>
        </w:rPr>
        <w:footnoteReference w:id="206"/>
      </w:r>
      <w:r w:rsidRPr="009E5B39">
        <w:rPr>
          <w:rFonts w:asciiTheme="majorHAnsi" w:hAnsiTheme="majorHAnsi" w:cstheme="majorHAnsi"/>
          <w:b/>
          <w:sz w:val="24"/>
          <w:szCs w:val="24"/>
          <w:lang w:val="ro-MD"/>
        </w:rPr>
        <w:t xml:space="preserve">, acestea au aceeași mărime ani de zile și nici nu sunt fundamentate economic. </w:t>
      </w:r>
      <w:r w:rsidRPr="009E5B39">
        <w:rPr>
          <w:rFonts w:asciiTheme="majorHAnsi" w:hAnsiTheme="majorHAnsi" w:cstheme="majorHAnsi"/>
          <w:sz w:val="24"/>
          <w:szCs w:val="24"/>
          <w:lang w:val="ro-MD"/>
        </w:rPr>
        <w:t>Astfel, cu nerespectarea prevederilor cadrului normativ în vigoare</w:t>
      </w:r>
      <w:r w:rsidRPr="009E5B39">
        <w:rPr>
          <w:vertAlign w:val="superscript"/>
          <w:lang w:val="ro-MD"/>
        </w:rPr>
        <w:footnoteReference w:id="207"/>
      </w:r>
      <w:r w:rsidRPr="009E5B39">
        <w:rPr>
          <w:rFonts w:asciiTheme="majorHAnsi" w:hAnsiTheme="majorHAnsi" w:cstheme="majorHAnsi"/>
          <w:sz w:val="24"/>
          <w:szCs w:val="24"/>
          <w:lang w:val="ro-MD"/>
        </w:rPr>
        <w:t>, ÎM</w:t>
      </w:r>
      <w:r w:rsidRPr="009E5B39">
        <w:rPr>
          <w:vertAlign w:val="superscript"/>
          <w:lang w:val="ro-MD"/>
        </w:rPr>
        <w:footnoteReference w:id="208"/>
      </w:r>
      <w:r w:rsidRPr="009E5B39">
        <w:rPr>
          <w:rFonts w:asciiTheme="majorHAnsi" w:hAnsiTheme="majorHAnsi" w:cstheme="majorHAnsi"/>
          <w:sz w:val="24"/>
          <w:szCs w:val="24"/>
          <w:lang w:val="ro-MD"/>
        </w:rPr>
        <w:t xml:space="preserve"> nu țin evidența contabilă separată a cheltuielilor pentru fiecare tip de serviciu și localitate de operare, ceea ce nu oferă posibilitatea de a determina dacă tarifele în vigoare acoperă cheltuielile efective pentru serviciul prestat</w:t>
      </w:r>
      <w:r w:rsidR="001F2C4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sau necesită a fi ajustat</w:t>
      </w:r>
      <w:r w:rsidR="001F2C41"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w:t>
      </w:r>
      <w:r w:rsidRPr="009E5B39">
        <w:rPr>
          <w:rFonts w:asciiTheme="majorHAnsi" w:hAnsiTheme="majorHAnsi" w:cstheme="majorHAnsi"/>
          <w:i/>
          <w:sz w:val="24"/>
          <w:szCs w:val="24"/>
          <w:u w:val="single"/>
          <w:lang w:val="ro-MD"/>
        </w:rPr>
        <w:t>Spre exemplu:</w:t>
      </w:r>
      <w:r w:rsidRPr="009E5B39">
        <w:rPr>
          <w:rFonts w:asciiTheme="majorHAnsi" w:hAnsiTheme="majorHAnsi" w:cstheme="majorHAnsi"/>
          <w:sz w:val="24"/>
          <w:szCs w:val="24"/>
          <w:lang w:val="ro-MD"/>
        </w:rPr>
        <w:t xml:space="preserve"> tarifele pentru deservirea unei unități/lucrări a</w:t>
      </w:r>
      <w:r w:rsidR="00B529B9" w:rsidRPr="009E5B39">
        <w:rPr>
          <w:rFonts w:asciiTheme="majorHAnsi" w:hAnsiTheme="majorHAnsi" w:cstheme="majorHAnsi"/>
          <w:sz w:val="24"/>
          <w:szCs w:val="24"/>
          <w:lang w:val="ro-MD"/>
        </w:rPr>
        <w:t>u</w:t>
      </w:r>
      <w:r w:rsidRPr="009E5B39">
        <w:rPr>
          <w:rFonts w:asciiTheme="majorHAnsi" w:hAnsiTheme="majorHAnsi" w:cstheme="majorHAnsi"/>
          <w:sz w:val="24"/>
          <w:szCs w:val="24"/>
          <w:lang w:val="ro-MD"/>
        </w:rPr>
        <w:t xml:space="preserve"> fost aprobat</w:t>
      </w:r>
      <w:r w:rsidR="00B529B9"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încă în anul 2013 (pentru obiectivele de semafoare) și în </w:t>
      </w:r>
      <w:r w:rsidR="00B529B9"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2015 (pentru un punct de iluminat)</w:t>
      </w:r>
      <w:r w:rsidRPr="009E5B39">
        <w:rPr>
          <w:vertAlign w:val="superscript"/>
          <w:lang w:val="ro-MD"/>
        </w:rPr>
        <w:footnoteReference w:id="209"/>
      </w:r>
      <w:r w:rsidR="00B529B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p>
    <w:p w14:paraId="7B54C1A2" w14:textId="60F6771B" w:rsidR="004E4AFE" w:rsidRPr="009E5B39" w:rsidRDefault="004E4AFE" w:rsidP="003C5073">
      <w:pPr>
        <w:pStyle w:val="ListParagraph"/>
        <w:numPr>
          <w:ilvl w:val="0"/>
          <w:numId w:val="92"/>
        </w:numPr>
        <w:tabs>
          <w:tab w:val="left" w:pos="709"/>
        </w:tabs>
        <w:spacing w:after="0" w:line="276" w:lineRule="auto"/>
        <w:ind w:left="0" w:firstLine="426"/>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 xml:space="preserve">Perceperea neregulamentară de către ÎM DCC a taxei pentru eliberarea permisului de racordare la conducta de gaze naturale a condiționat achitarea dublă de către cetățeni a costului de conectare la rețelele de gaze. </w:t>
      </w:r>
      <w:r w:rsidRPr="009E5B39">
        <w:rPr>
          <w:rFonts w:asciiTheme="majorHAnsi" w:hAnsiTheme="majorHAnsi" w:cstheme="majorHAnsi"/>
          <w:sz w:val="24"/>
          <w:szCs w:val="24"/>
          <w:lang w:val="ro-MD"/>
        </w:rPr>
        <w:t>Cu încălcarea prevederilor art. 6 alin. (2), pct.2) lit. a) din Legea nr. 136 din 17.06.2016 și a</w:t>
      </w:r>
      <w:r w:rsidR="00B529B9" w:rsidRPr="009E5B39">
        <w:rPr>
          <w:rFonts w:asciiTheme="majorHAnsi" w:hAnsiTheme="majorHAnsi" w:cstheme="majorHAnsi"/>
          <w:sz w:val="24"/>
          <w:szCs w:val="24"/>
          <w:lang w:val="ro-MD"/>
        </w:rPr>
        <w:t>le</w:t>
      </w:r>
      <w:r w:rsidRPr="009E5B39">
        <w:rPr>
          <w:rFonts w:asciiTheme="majorHAnsi" w:hAnsiTheme="majorHAnsi" w:cstheme="majorHAnsi"/>
          <w:sz w:val="24"/>
          <w:szCs w:val="24"/>
          <w:lang w:val="ro-MD"/>
        </w:rPr>
        <w:t xml:space="preserve"> Regulamentului privind gazificarea internă a localităților, aprobat prin HG nr.715/16.06.2008</w:t>
      </w:r>
      <w:r w:rsidRPr="009E5B39">
        <w:rPr>
          <w:vertAlign w:val="superscript"/>
          <w:lang w:val="ro-MD"/>
        </w:rPr>
        <w:footnoteReference w:id="210"/>
      </w:r>
      <w:r w:rsidRPr="009E5B39">
        <w:rPr>
          <w:rFonts w:asciiTheme="majorHAnsi" w:hAnsiTheme="majorHAnsi" w:cstheme="majorHAnsi"/>
          <w:sz w:val="24"/>
          <w:szCs w:val="24"/>
          <w:lang w:val="ro-MD"/>
        </w:rPr>
        <w:t xml:space="preserve">, precum și în lipsa deciziei CMC privind perceperea taxei pentru eliberarea </w:t>
      </w:r>
      <w:r w:rsidR="00B529B9" w:rsidRPr="009E5B39">
        <w:rPr>
          <w:rFonts w:asciiTheme="majorHAnsi" w:hAnsiTheme="majorHAnsi" w:cstheme="majorHAnsi"/>
          <w:sz w:val="24"/>
          <w:szCs w:val="24"/>
          <w:lang w:val="ro-MD"/>
        </w:rPr>
        <w:t xml:space="preserve">de către ÎM DCC a </w:t>
      </w:r>
      <w:r w:rsidRPr="009E5B39">
        <w:rPr>
          <w:rFonts w:asciiTheme="majorHAnsi" w:hAnsiTheme="majorHAnsi" w:cstheme="majorHAnsi"/>
          <w:sz w:val="24"/>
          <w:szCs w:val="24"/>
          <w:lang w:val="ro-MD"/>
        </w:rPr>
        <w:t>permisului de racordare la rețelele de gaze naturale, aflate în gestiunea acesteia și transmise la deservire SRL Chișinău Gaz. În perioada 2018-2020</w:t>
      </w:r>
      <w:r w:rsidR="00B529B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ÎM DCC a perceput tax</w:t>
      </w:r>
      <w:r w:rsidR="00B529B9"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pentru eliberarea permisului de racordare la conducta de gaze naturale în cuantum</w:t>
      </w:r>
      <w:r w:rsidR="00B529B9" w:rsidRPr="009E5B39">
        <w:rPr>
          <w:rFonts w:asciiTheme="majorHAnsi" w:hAnsiTheme="majorHAnsi" w:cstheme="majorHAnsi"/>
          <w:sz w:val="24"/>
          <w:szCs w:val="24"/>
          <w:lang w:val="ro-MD"/>
        </w:rPr>
        <w:t>ul</w:t>
      </w:r>
      <w:r w:rsidRPr="009E5B39">
        <w:rPr>
          <w:rFonts w:asciiTheme="majorHAnsi" w:hAnsiTheme="majorHAnsi" w:cstheme="majorHAnsi"/>
          <w:sz w:val="24"/>
          <w:szCs w:val="24"/>
          <w:lang w:val="ro-MD"/>
        </w:rPr>
        <w:t xml:space="preserve"> stabilit de aceasta, înregistrând neregulamentar venituri în sumă de 1,28 mil</w:t>
      </w:r>
      <w:r w:rsidR="00B529B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r w:rsidRPr="009E5B39">
        <w:rPr>
          <w:vertAlign w:val="superscript"/>
          <w:lang w:val="ro-MD"/>
        </w:rPr>
        <w:footnoteReference w:id="211"/>
      </w:r>
      <w:r w:rsidRPr="009E5B39">
        <w:rPr>
          <w:rFonts w:asciiTheme="majorHAnsi" w:hAnsiTheme="majorHAnsi" w:cstheme="majorHAnsi"/>
          <w:sz w:val="24"/>
          <w:szCs w:val="24"/>
          <w:lang w:val="ro-MD"/>
        </w:rPr>
        <w:t xml:space="preserve">. Astfel, cetățenii au achitat dublu pentru dreptul de a se conecta la rețelele de gaze, prima dată </w:t>
      </w:r>
      <w:r w:rsidR="00B529B9"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prin impozitele utilizate la construcția acestor rețele</w:t>
      </w:r>
      <w:r w:rsidR="00B529B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și a doua oară </w:t>
      </w:r>
      <w:r w:rsidR="00B529B9"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prin achitarea plății către ÎM DCC. Mai mult </w:t>
      </w:r>
      <w:r w:rsidR="00B529B9" w:rsidRPr="009E5B39">
        <w:rPr>
          <w:rFonts w:asciiTheme="majorHAnsi" w:hAnsiTheme="majorHAnsi" w:cstheme="majorHAnsi"/>
          <w:sz w:val="24"/>
          <w:szCs w:val="24"/>
          <w:lang w:val="ro-MD"/>
        </w:rPr>
        <w:t>decât</w:t>
      </w:r>
      <w:r w:rsidRPr="009E5B39">
        <w:rPr>
          <w:rFonts w:asciiTheme="majorHAnsi" w:hAnsiTheme="majorHAnsi" w:cstheme="majorHAnsi"/>
          <w:sz w:val="24"/>
          <w:szCs w:val="24"/>
          <w:lang w:val="ro-MD"/>
        </w:rPr>
        <w:t xml:space="preserve"> atât, contrar prevederilor actelor normative</w:t>
      </w:r>
      <w:r w:rsidRPr="009E5B39">
        <w:rPr>
          <w:vertAlign w:val="superscript"/>
          <w:lang w:val="ro-MD"/>
        </w:rPr>
        <w:footnoteReference w:id="212"/>
      </w:r>
      <w:r w:rsidRPr="009E5B39">
        <w:rPr>
          <w:rFonts w:asciiTheme="majorHAnsi" w:hAnsiTheme="majorHAnsi" w:cstheme="majorHAnsi"/>
          <w:sz w:val="24"/>
          <w:szCs w:val="24"/>
          <w:lang w:val="ro-MD"/>
        </w:rPr>
        <w:t xml:space="preserve">, ÎM DCC nu a virat </w:t>
      </w:r>
      <w:r w:rsidR="00B529B9" w:rsidRPr="009E5B39">
        <w:rPr>
          <w:rFonts w:asciiTheme="majorHAnsi" w:hAnsiTheme="majorHAnsi" w:cstheme="majorHAnsi"/>
          <w:sz w:val="24"/>
          <w:szCs w:val="24"/>
          <w:lang w:val="ro-MD"/>
        </w:rPr>
        <w:t xml:space="preserve">în bugetul municipal </w:t>
      </w:r>
      <w:r w:rsidRPr="009E5B39">
        <w:rPr>
          <w:rFonts w:asciiTheme="majorHAnsi" w:hAnsiTheme="majorHAnsi" w:cstheme="majorHAnsi"/>
          <w:sz w:val="24"/>
          <w:szCs w:val="24"/>
          <w:lang w:val="ro-MD"/>
        </w:rPr>
        <w:t xml:space="preserve">veniturile din aplicarea taxei respective. De menționat faptul că ÎM DCC </w:t>
      </w:r>
      <w:r w:rsidR="00B529B9" w:rsidRPr="009E5B39">
        <w:rPr>
          <w:rFonts w:asciiTheme="majorHAnsi" w:hAnsiTheme="majorHAnsi" w:cstheme="majorHAnsi"/>
          <w:sz w:val="24"/>
          <w:szCs w:val="24"/>
          <w:lang w:val="ro-MD"/>
        </w:rPr>
        <w:t xml:space="preserve">până în prezent </w:t>
      </w:r>
      <w:r w:rsidRPr="009E5B39">
        <w:rPr>
          <w:rFonts w:asciiTheme="majorHAnsi" w:hAnsiTheme="majorHAnsi" w:cstheme="majorHAnsi"/>
          <w:sz w:val="24"/>
          <w:szCs w:val="24"/>
          <w:lang w:val="ro-MD"/>
        </w:rPr>
        <w:t>percepe această taxă.</w:t>
      </w:r>
    </w:p>
    <w:p w14:paraId="5963A281" w14:textId="78F4744B" w:rsidR="007D72A4" w:rsidRPr="009E5B39" w:rsidRDefault="007D72A4" w:rsidP="007800D5">
      <w:pPr>
        <w:pStyle w:val="ListParagraph"/>
        <w:numPr>
          <w:ilvl w:val="2"/>
          <w:numId w:val="29"/>
        </w:numPr>
        <w:tabs>
          <w:tab w:val="left" w:pos="709"/>
        </w:tabs>
        <w:spacing w:after="0" w:line="276" w:lineRule="auto"/>
        <w:ind w:left="0" w:firstLine="0"/>
        <w:jc w:val="both"/>
        <w:rPr>
          <w:rFonts w:ascii="Calibri Light" w:eastAsia="Calibri" w:hAnsi="Calibri Light" w:cs="Tahoma"/>
          <w:sz w:val="24"/>
          <w:lang w:val="ro-MD"/>
        </w:rPr>
      </w:pPr>
      <w:r w:rsidRPr="009E5B39">
        <w:rPr>
          <w:rFonts w:asciiTheme="majorHAnsi" w:hAnsiTheme="majorHAnsi" w:cstheme="majorHAnsi"/>
          <w:b/>
          <w:i/>
          <w:sz w:val="24"/>
          <w:szCs w:val="24"/>
          <w:lang w:val="ro-MD"/>
        </w:rPr>
        <w:t>Sunt afectate de neconformități evidența și gestiunea patrimoniului transmis în folosința întreprinderilor municipale.</w:t>
      </w:r>
    </w:p>
    <w:p w14:paraId="48CAD9B6" w14:textId="58DC08BA" w:rsidR="009C1B85" w:rsidRPr="009E5B39" w:rsidRDefault="007D72A4" w:rsidP="009C1B85">
      <w:pPr>
        <w:pStyle w:val="ListParagraph"/>
        <w:spacing w:after="0" w:line="276" w:lineRule="auto"/>
        <w:ind w:left="0"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CMC și Primăria mun. Chișinău</w:t>
      </w:r>
      <w:r w:rsidR="00B529B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până la moment</w:t>
      </w:r>
      <w:r w:rsidR="00B529B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nu au soluționat problemele ce țin de: i) contabilizarea conformă a mijloacelor financiare și a mijloacelor fixe procurate/primite cu titlu</w:t>
      </w:r>
      <w:r w:rsidR="00B529B9"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 gratuit și transmise ÎM ca acțiuni și alte forme de participare în capital în interiorul țării (cod ECO 415); ii) delimitarea între bunurile transmise în gestiune economică (folosință) și bunuri</w:t>
      </w:r>
      <w:r w:rsidR="00B529B9" w:rsidRPr="009E5B39">
        <w:rPr>
          <w:rFonts w:asciiTheme="majorHAnsi" w:hAnsiTheme="majorHAnsi" w:cstheme="majorHAnsi"/>
          <w:sz w:val="24"/>
          <w:szCs w:val="24"/>
          <w:lang w:val="ro-MD"/>
        </w:rPr>
        <w:t xml:space="preserve">le </w:t>
      </w:r>
      <w:r w:rsidRPr="009E5B39">
        <w:rPr>
          <w:rFonts w:asciiTheme="majorHAnsi" w:hAnsiTheme="majorHAnsi" w:cstheme="majorHAnsi"/>
          <w:sz w:val="24"/>
          <w:szCs w:val="24"/>
          <w:lang w:val="ro-MD"/>
        </w:rPr>
        <w:t xml:space="preserve"> transmise în proprietate întreprinderilor municipale; iii) </w:t>
      </w:r>
      <w:r w:rsidR="009C1B85" w:rsidRPr="009E5B39">
        <w:rPr>
          <w:rFonts w:asciiTheme="majorHAnsi" w:hAnsiTheme="majorHAnsi" w:cstheme="majorHAnsi"/>
          <w:sz w:val="24"/>
          <w:szCs w:val="24"/>
          <w:lang w:val="ro-MD"/>
        </w:rPr>
        <w:t>declararea, în Contractele de gestiune a serviciilor publice de gospodărie comunale</w:t>
      </w:r>
      <w:r w:rsidR="004D354E" w:rsidRPr="009E5B39">
        <w:rPr>
          <w:rFonts w:asciiTheme="majorHAnsi" w:hAnsiTheme="majorHAnsi" w:cstheme="majorHAnsi"/>
          <w:sz w:val="24"/>
          <w:szCs w:val="24"/>
          <w:lang w:val="ro-MD"/>
        </w:rPr>
        <w:t>,</w:t>
      </w:r>
      <w:r w:rsidR="009C1B85" w:rsidRPr="009E5B39">
        <w:rPr>
          <w:rFonts w:asciiTheme="majorHAnsi" w:hAnsiTheme="majorHAnsi" w:cstheme="majorHAnsi"/>
          <w:sz w:val="24"/>
          <w:szCs w:val="24"/>
          <w:lang w:val="ro-MD"/>
        </w:rPr>
        <w:t xml:space="preserve"> semnate cu ÎM, a acestora ca autorități contractante, în corespundere cu prevederile Legii nr.131/2015. Toate acestea au </w:t>
      </w:r>
      <w:r w:rsidR="004D354E" w:rsidRPr="009E5B39">
        <w:rPr>
          <w:rFonts w:asciiTheme="majorHAnsi" w:hAnsiTheme="majorHAnsi" w:cstheme="majorHAnsi"/>
          <w:sz w:val="24"/>
          <w:szCs w:val="24"/>
          <w:lang w:val="ro-MD"/>
        </w:rPr>
        <w:t>determinat</w:t>
      </w:r>
      <w:r w:rsidR="009C1B85" w:rsidRPr="009E5B39">
        <w:rPr>
          <w:rFonts w:asciiTheme="majorHAnsi" w:hAnsiTheme="majorHAnsi" w:cstheme="majorHAnsi"/>
          <w:sz w:val="24"/>
          <w:szCs w:val="24"/>
          <w:lang w:val="ro-MD"/>
        </w:rPr>
        <w:t xml:space="preserve"> faptul că Consiliul Concurenței a emis </w:t>
      </w:r>
      <w:r w:rsidR="004D354E" w:rsidRPr="009E5B39">
        <w:rPr>
          <w:rFonts w:asciiTheme="majorHAnsi" w:hAnsiTheme="majorHAnsi" w:cstheme="majorHAnsi"/>
          <w:sz w:val="24"/>
          <w:szCs w:val="24"/>
          <w:lang w:val="ro-MD"/>
        </w:rPr>
        <w:t>D</w:t>
      </w:r>
      <w:r w:rsidR="009C1B85" w:rsidRPr="009E5B39">
        <w:rPr>
          <w:rFonts w:asciiTheme="majorHAnsi" w:hAnsiTheme="majorHAnsi" w:cstheme="majorHAnsi"/>
          <w:sz w:val="24"/>
          <w:szCs w:val="24"/>
          <w:lang w:val="ro-MD"/>
        </w:rPr>
        <w:t xml:space="preserve">ecizia nr.ASO-34/21-28 din 31.05.2022, prin care constată acordarea ajutorului de stat, care urmează a fi restituit de către ÎM Regia „Exdrupo”. </w:t>
      </w:r>
    </w:p>
    <w:p w14:paraId="780D5BEA" w14:textId="37CC25B3" w:rsidR="004E4AFE" w:rsidRPr="009E5B39" w:rsidRDefault="004E4773" w:rsidP="003C5073">
      <w:pPr>
        <w:pStyle w:val="ListParagraph"/>
        <w:numPr>
          <w:ilvl w:val="0"/>
          <w:numId w:val="117"/>
        </w:numPr>
        <w:tabs>
          <w:tab w:val="left" w:pos="0"/>
        </w:tabs>
        <w:spacing w:after="0" w:line="276" w:lineRule="auto"/>
        <w:ind w:left="0" w:firstLine="284"/>
        <w:jc w:val="both"/>
        <w:rPr>
          <w:rFonts w:asciiTheme="majorHAnsi" w:eastAsia="Calibri" w:hAnsiTheme="majorHAnsi" w:cstheme="majorHAnsi"/>
          <w:b/>
          <w:i/>
          <w:sz w:val="24"/>
          <w:szCs w:val="24"/>
          <w:lang w:val="ro-MD"/>
        </w:rPr>
      </w:pPr>
      <w:r w:rsidRPr="009E5B39">
        <w:rPr>
          <w:rFonts w:asciiTheme="majorHAnsi" w:hAnsiTheme="majorHAnsi" w:cstheme="majorHAnsi"/>
          <w:b/>
          <w:sz w:val="24"/>
          <w:szCs w:val="24"/>
          <w:lang w:val="ro-MD"/>
        </w:rPr>
        <w:t xml:space="preserve">Ca urmare a transmiterii de către </w:t>
      </w:r>
      <w:r w:rsidR="004E4AFE" w:rsidRPr="009E5B39">
        <w:rPr>
          <w:rFonts w:asciiTheme="majorHAnsi" w:hAnsiTheme="majorHAnsi" w:cstheme="majorHAnsi"/>
          <w:b/>
          <w:sz w:val="24"/>
          <w:szCs w:val="24"/>
          <w:lang w:val="ro-MD"/>
        </w:rPr>
        <w:t xml:space="preserve">CMC și PMC </w:t>
      </w:r>
      <w:r w:rsidRPr="009E5B39">
        <w:rPr>
          <w:rFonts w:asciiTheme="majorHAnsi" w:hAnsiTheme="majorHAnsi" w:cstheme="majorHAnsi"/>
          <w:b/>
          <w:sz w:val="24"/>
          <w:szCs w:val="24"/>
          <w:lang w:val="ro-MD"/>
        </w:rPr>
        <w:t>la balanța ÎM a patrimoniului public local din domeniul public, care nu aduce plusvaloare economică d</w:t>
      </w:r>
      <w:r w:rsidR="004D354E" w:rsidRPr="009E5B39">
        <w:rPr>
          <w:rFonts w:asciiTheme="majorHAnsi" w:hAnsiTheme="majorHAnsi" w:cstheme="majorHAnsi"/>
          <w:b/>
          <w:sz w:val="24"/>
          <w:szCs w:val="24"/>
          <w:lang w:val="ro-MD"/>
        </w:rPr>
        <w:t>e la</w:t>
      </w:r>
      <w:r w:rsidRPr="009E5B39">
        <w:rPr>
          <w:rFonts w:asciiTheme="majorHAnsi" w:hAnsiTheme="majorHAnsi" w:cstheme="majorHAnsi"/>
          <w:b/>
          <w:sz w:val="24"/>
          <w:szCs w:val="24"/>
          <w:lang w:val="ro-MD"/>
        </w:rPr>
        <w:t xml:space="preserve"> utilizare și care nu poate fi contabilizat de ÎM, acesta nu este inventariat și contabilizat conform. </w:t>
      </w:r>
    </w:p>
    <w:p w14:paraId="338C2216" w14:textId="3460FB4C" w:rsidR="004E4AFE" w:rsidRPr="009E5B39" w:rsidRDefault="00D24F26" w:rsidP="00D24F26">
      <w:pPr>
        <w:pStyle w:val="ListParagraph"/>
        <w:tabs>
          <w:tab w:val="left" w:pos="567"/>
        </w:tabs>
        <w:spacing w:after="0" w:line="276" w:lineRule="auto"/>
        <w:ind w:left="0"/>
        <w:jc w:val="both"/>
        <w:rPr>
          <w:rFonts w:asciiTheme="majorHAnsi" w:hAnsiTheme="majorHAnsi" w:cstheme="majorHAnsi"/>
          <w:bCs/>
          <w:sz w:val="24"/>
          <w:szCs w:val="24"/>
          <w:lang w:val="ro-MD"/>
        </w:rPr>
      </w:pPr>
      <w:r w:rsidRPr="009E5B39">
        <w:rPr>
          <w:rFonts w:asciiTheme="majorHAnsi" w:eastAsia="Times New Roman" w:hAnsiTheme="majorHAnsi" w:cstheme="majorHAnsi"/>
          <w:bCs/>
          <w:iCs/>
          <w:sz w:val="24"/>
          <w:szCs w:val="24"/>
          <w:lang w:val="ro-MD"/>
        </w:rPr>
        <w:tab/>
      </w:r>
      <w:r w:rsidRPr="009E5B39">
        <w:rPr>
          <w:rFonts w:asciiTheme="majorHAnsi" w:eastAsia="Times New Roman" w:hAnsiTheme="majorHAnsi" w:cstheme="majorHAnsi"/>
          <w:bCs/>
          <w:iCs/>
          <w:sz w:val="24"/>
          <w:szCs w:val="24"/>
          <w:lang w:val="ro-MD"/>
        </w:rPr>
        <w:tab/>
      </w:r>
      <w:r w:rsidR="004E4AFE" w:rsidRPr="009E5B39">
        <w:rPr>
          <w:rFonts w:asciiTheme="majorHAnsi" w:eastAsia="Times New Roman" w:hAnsiTheme="majorHAnsi" w:cstheme="majorHAnsi"/>
          <w:bCs/>
          <w:iCs/>
          <w:sz w:val="24"/>
          <w:szCs w:val="24"/>
          <w:lang w:val="ro-MD"/>
        </w:rPr>
        <w:t>Ignorând în totalitate recomandările anterioare ale CCRM</w:t>
      </w:r>
      <w:r w:rsidR="004E4AFE" w:rsidRPr="009E5B39">
        <w:rPr>
          <w:rFonts w:asciiTheme="majorHAnsi" w:eastAsia="Calibri" w:hAnsiTheme="majorHAnsi" w:cstheme="majorHAnsi"/>
          <w:bCs/>
          <w:sz w:val="24"/>
          <w:szCs w:val="24"/>
          <w:vertAlign w:val="superscript"/>
          <w:lang w:val="ro-MD"/>
        </w:rPr>
        <w:footnoteReference w:id="213"/>
      </w:r>
      <w:r w:rsidR="004E4AFE" w:rsidRPr="009E5B39">
        <w:rPr>
          <w:rFonts w:asciiTheme="majorHAnsi" w:eastAsia="Times New Roman" w:hAnsiTheme="majorHAnsi" w:cstheme="majorHAnsi"/>
          <w:bCs/>
          <w:iCs/>
          <w:sz w:val="24"/>
          <w:szCs w:val="24"/>
          <w:lang w:val="ro-MD"/>
        </w:rPr>
        <w:t xml:space="preserve">, </w:t>
      </w:r>
      <w:r w:rsidR="004E4AFE" w:rsidRPr="009E5B39">
        <w:rPr>
          <w:rFonts w:asciiTheme="majorHAnsi" w:eastAsia="Calibri" w:hAnsiTheme="majorHAnsi" w:cstheme="majorHAnsi"/>
          <w:bCs/>
          <w:sz w:val="24"/>
          <w:szCs w:val="24"/>
          <w:lang w:val="ro-MD"/>
        </w:rPr>
        <w:t xml:space="preserve">APL nu a evaluat și </w:t>
      </w:r>
      <w:r w:rsidR="004D354E" w:rsidRPr="009E5B39">
        <w:rPr>
          <w:rFonts w:asciiTheme="majorHAnsi" w:eastAsia="Calibri" w:hAnsiTheme="majorHAnsi" w:cstheme="majorHAnsi"/>
          <w:bCs/>
          <w:sz w:val="24"/>
          <w:szCs w:val="24"/>
          <w:lang w:val="ro-MD"/>
        </w:rPr>
        <w:t xml:space="preserve">nu a </w:t>
      </w:r>
      <w:r w:rsidR="004E4AFE" w:rsidRPr="009E5B39">
        <w:rPr>
          <w:rFonts w:asciiTheme="majorHAnsi" w:eastAsia="Calibri" w:hAnsiTheme="majorHAnsi" w:cstheme="majorHAnsi"/>
          <w:bCs/>
          <w:sz w:val="24"/>
          <w:szCs w:val="24"/>
          <w:lang w:val="ro-MD"/>
        </w:rPr>
        <w:t>contabilizat suprafața și valoarea spațiilor verzi din mun. Chișinău</w:t>
      </w:r>
      <w:r w:rsidR="004D354E" w:rsidRPr="009E5B39">
        <w:rPr>
          <w:rFonts w:asciiTheme="majorHAnsi" w:eastAsia="Calibri" w:hAnsiTheme="majorHAnsi" w:cstheme="majorHAnsi"/>
          <w:bCs/>
          <w:sz w:val="24"/>
          <w:szCs w:val="24"/>
          <w:lang w:val="ro-MD"/>
        </w:rPr>
        <w:t>,</w:t>
      </w:r>
      <w:r w:rsidR="004E4AFE" w:rsidRPr="009E5B39">
        <w:rPr>
          <w:rFonts w:asciiTheme="majorHAnsi" w:eastAsia="Calibri" w:hAnsiTheme="majorHAnsi" w:cstheme="majorHAnsi"/>
          <w:bCs/>
          <w:sz w:val="24"/>
          <w:szCs w:val="24"/>
          <w:lang w:val="ro-MD"/>
        </w:rPr>
        <w:t xml:space="preserve"> mature (cel puțin </w:t>
      </w:r>
      <w:r w:rsidR="004E4AFE" w:rsidRPr="009E5B39">
        <w:rPr>
          <w:rFonts w:asciiTheme="majorHAnsi" w:hAnsiTheme="majorHAnsi" w:cstheme="majorHAnsi"/>
          <w:bCs/>
          <w:sz w:val="24"/>
          <w:szCs w:val="24"/>
          <w:lang w:val="ro-MD"/>
        </w:rPr>
        <w:t xml:space="preserve">3.121,7 mil.lei </w:t>
      </w:r>
      <w:r w:rsidR="004E4AFE" w:rsidRPr="009E5B39">
        <w:rPr>
          <w:rStyle w:val="FootnoteReference"/>
          <w:rFonts w:asciiTheme="majorHAnsi" w:hAnsiTheme="majorHAnsi" w:cstheme="majorHAnsi"/>
          <w:bCs/>
          <w:sz w:val="24"/>
          <w:szCs w:val="24"/>
          <w:lang w:val="ro-MD"/>
        </w:rPr>
        <w:footnoteReference w:id="214"/>
      </w:r>
      <w:r w:rsidR="004E4AFE" w:rsidRPr="009E5B39">
        <w:rPr>
          <w:rFonts w:asciiTheme="majorHAnsi" w:hAnsiTheme="majorHAnsi" w:cstheme="majorHAnsi"/>
          <w:bCs/>
          <w:sz w:val="24"/>
          <w:szCs w:val="24"/>
          <w:lang w:val="ro-MD"/>
        </w:rPr>
        <w:t>) și tinere (5,31 mil.lei</w:t>
      </w:r>
      <w:r w:rsidR="004E4AFE" w:rsidRPr="009E5B39">
        <w:rPr>
          <w:rFonts w:asciiTheme="majorHAnsi" w:eastAsia="Calibri" w:hAnsiTheme="majorHAnsi" w:cstheme="majorHAnsi"/>
          <w:bCs/>
          <w:sz w:val="24"/>
          <w:szCs w:val="24"/>
          <w:lang w:val="ro-MD"/>
        </w:rPr>
        <w:t xml:space="preserve">); a </w:t>
      </w:r>
      <w:r w:rsidR="004E4AFE" w:rsidRPr="009E5B39">
        <w:rPr>
          <w:rFonts w:asciiTheme="majorHAnsi" w:hAnsiTheme="majorHAnsi" w:cstheme="majorHAnsi"/>
          <w:bCs/>
          <w:iCs/>
          <w:sz w:val="24"/>
          <w:szCs w:val="24"/>
          <w:lang w:val="ro-MD"/>
        </w:rPr>
        <w:t>infrastructurii tehnico-edilitare aferente sistemului public de alimentare cu apă și canalizare cu lungime</w:t>
      </w:r>
      <w:r w:rsidR="004D354E" w:rsidRPr="009E5B39">
        <w:rPr>
          <w:rFonts w:asciiTheme="majorHAnsi" w:hAnsiTheme="majorHAnsi" w:cstheme="majorHAnsi"/>
          <w:bCs/>
          <w:iCs/>
          <w:sz w:val="24"/>
          <w:szCs w:val="24"/>
          <w:lang w:val="ro-MD"/>
        </w:rPr>
        <w:t>a</w:t>
      </w:r>
      <w:r w:rsidR="004E4AFE" w:rsidRPr="009E5B39">
        <w:rPr>
          <w:rFonts w:asciiTheme="majorHAnsi" w:hAnsiTheme="majorHAnsi" w:cstheme="majorHAnsi"/>
          <w:bCs/>
          <w:iCs/>
          <w:sz w:val="24"/>
          <w:szCs w:val="24"/>
          <w:lang w:val="ro-MD"/>
        </w:rPr>
        <w:t xml:space="preserve"> de circa 6095 km</w:t>
      </w:r>
      <w:r w:rsidR="004E4AFE" w:rsidRPr="009E5B39">
        <w:rPr>
          <w:rFonts w:asciiTheme="majorHAnsi" w:eastAsia="Calibri" w:hAnsiTheme="majorHAnsi" w:cstheme="majorHAnsi"/>
          <w:bCs/>
          <w:sz w:val="24"/>
          <w:szCs w:val="24"/>
          <w:lang w:val="ro-MD"/>
        </w:rPr>
        <w:t xml:space="preserve"> (circa 2902,02 mil.lei);  a sistemul</w:t>
      </w:r>
      <w:r w:rsidR="004D354E" w:rsidRPr="009E5B39">
        <w:rPr>
          <w:rFonts w:asciiTheme="majorHAnsi" w:eastAsia="Calibri" w:hAnsiTheme="majorHAnsi" w:cstheme="majorHAnsi"/>
          <w:bCs/>
          <w:sz w:val="24"/>
          <w:szCs w:val="24"/>
          <w:lang w:val="ro-MD"/>
        </w:rPr>
        <w:t xml:space="preserve">ui </w:t>
      </w:r>
      <w:r w:rsidR="004E4AFE" w:rsidRPr="009E5B39">
        <w:rPr>
          <w:rFonts w:asciiTheme="majorHAnsi" w:eastAsia="Calibri" w:hAnsiTheme="majorHAnsi" w:cstheme="majorHAnsi"/>
          <w:bCs/>
          <w:sz w:val="24"/>
          <w:szCs w:val="24"/>
          <w:lang w:val="ro-MD"/>
        </w:rPr>
        <w:t xml:space="preserve"> de iluminat și de dirijare a semafoarelor din mun. Chișinău</w:t>
      </w:r>
      <w:r w:rsidR="004D354E" w:rsidRPr="009E5B39">
        <w:rPr>
          <w:rFonts w:asciiTheme="majorHAnsi" w:eastAsia="Calibri" w:hAnsiTheme="majorHAnsi" w:cstheme="majorHAnsi"/>
          <w:bCs/>
          <w:sz w:val="24"/>
          <w:szCs w:val="24"/>
          <w:lang w:val="ro-MD"/>
        </w:rPr>
        <w:t>,</w:t>
      </w:r>
      <w:r w:rsidR="004E4AFE" w:rsidRPr="009E5B39">
        <w:rPr>
          <w:rFonts w:asciiTheme="majorHAnsi" w:eastAsia="Calibri" w:hAnsiTheme="majorHAnsi" w:cstheme="majorHAnsi"/>
          <w:bCs/>
          <w:sz w:val="24"/>
          <w:szCs w:val="24"/>
          <w:lang w:val="ro-MD"/>
        </w:rPr>
        <w:t xml:space="preserve"> aflate la balanța ÎM REI „Lumteh” (125,21 mil.lei); a </w:t>
      </w:r>
      <w:r w:rsidR="004E4AFE" w:rsidRPr="009E5B39">
        <w:rPr>
          <w:rFonts w:asciiTheme="majorHAnsi" w:eastAsia="Times New Roman" w:hAnsiTheme="majorHAnsi" w:cstheme="majorHAnsi"/>
          <w:bCs/>
          <w:sz w:val="24"/>
          <w:szCs w:val="24"/>
          <w:lang w:val="ro-MD" w:eastAsia="ru-RU"/>
        </w:rPr>
        <w:t xml:space="preserve">construcțiilor speciale, ce </w:t>
      </w:r>
      <w:r w:rsidR="004E4AFE" w:rsidRPr="009E5B39">
        <w:rPr>
          <w:rFonts w:asciiTheme="majorHAnsi" w:eastAsia="Times New Roman" w:hAnsiTheme="majorHAnsi" w:cstheme="majorHAnsi"/>
          <w:bCs/>
          <w:iCs/>
          <w:sz w:val="24"/>
          <w:szCs w:val="24"/>
          <w:lang w:val="ro-MD" w:eastAsia="ru-RU"/>
        </w:rPr>
        <w:t xml:space="preserve">constituie </w:t>
      </w:r>
      <w:r w:rsidR="004E4AFE" w:rsidRPr="009E5B39">
        <w:rPr>
          <w:rFonts w:asciiTheme="majorHAnsi" w:eastAsia="Times New Roman" w:hAnsiTheme="majorHAnsi" w:cstheme="majorHAnsi"/>
          <w:bCs/>
          <w:iCs/>
          <w:sz w:val="24"/>
          <w:szCs w:val="24"/>
          <w:lang w:val="ro-MD"/>
        </w:rPr>
        <w:t>patrimoniu municipal din domeniul public</w:t>
      </w:r>
      <w:r w:rsidR="004D354E" w:rsidRPr="009E5B39">
        <w:rPr>
          <w:rFonts w:asciiTheme="majorHAnsi" w:eastAsia="Times New Roman" w:hAnsiTheme="majorHAnsi" w:cstheme="majorHAnsi"/>
          <w:bCs/>
          <w:iCs/>
          <w:sz w:val="24"/>
          <w:szCs w:val="24"/>
          <w:lang w:val="ro-MD"/>
        </w:rPr>
        <w:t xml:space="preserve"> </w:t>
      </w:r>
      <w:r w:rsidR="004E4AFE" w:rsidRPr="009E5B39">
        <w:rPr>
          <w:rFonts w:asciiTheme="majorHAnsi" w:eastAsia="Times New Roman" w:hAnsiTheme="majorHAnsi" w:cstheme="majorHAnsi"/>
          <w:bCs/>
          <w:iCs/>
          <w:sz w:val="24"/>
          <w:szCs w:val="24"/>
          <w:lang w:val="ro-MD"/>
        </w:rPr>
        <w:t xml:space="preserve"> (</w:t>
      </w:r>
      <w:r w:rsidR="004E4AFE" w:rsidRPr="009E5B39">
        <w:rPr>
          <w:rFonts w:asciiTheme="majorHAnsi" w:eastAsia="Calibri" w:hAnsiTheme="majorHAnsi" w:cstheme="majorHAnsi"/>
          <w:bCs/>
          <w:sz w:val="24"/>
          <w:szCs w:val="24"/>
          <w:lang w:val="ro-MD"/>
        </w:rPr>
        <w:t>2094,67 mil.lei</w:t>
      </w:r>
      <w:r w:rsidR="004E4AFE" w:rsidRPr="009E5B39">
        <w:rPr>
          <w:rStyle w:val="FootnoteReference"/>
          <w:rFonts w:asciiTheme="majorHAnsi" w:eastAsia="Calibri" w:hAnsiTheme="majorHAnsi" w:cstheme="majorHAnsi"/>
          <w:bCs/>
          <w:sz w:val="24"/>
          <w:szCs w:val="24"/>
          <w:lang w:val="ro-MD"/>
        </w:rPr>
        <w:footnoteReference w:id="215"/>
      </w:r>
      <w:r w:rsidR="004E4AFE" w:rsidRPr="009E5B39">
        <w:rPr>
          <w:rFonts w:asciiTheme="majorHAnsi" w:eastAsia="Times New Roman" w:hAnsiTheme="majorHAnsi" w:cstheme="majorHAnsi"/>
          <w:bCs/>
          <w:sz w:val="24"/>
          <w:szCs w:val="24"/>
          <w:lang w:val="ro-MD" w:eastAsia="ru-RU"/>
        </w:rPr>
        <w:t>)</w:t>
      </w:r>
      <w:r w:rsidR="004D354E" w:rsidRPr="009E5B39">
        <w:rPr>
          <w:rFonts w:asciiTheme="majorHAnsi" w:eastAsia="Times New Roman" w:hAnsiTheme="majorHAnsi" w:cstheme="majorHAnsi"/>
          <w:bCs/>
          <w:sz w:val="24"/>
          <w:szCs w:val="24"/>
          <w:lang w:val="ro-MD" w:eastAsia="ru-RU"/>
        </w:rPr>
        <w:t xml:space="preserve">, </w:t>
      </w:r>
      <w:r w:rsidR="004E4AFE" w:rsidRPr="009E5B39">
        <w:rPr>
          <w:rFonts w:asciiTheme="majorHAnsi" w:eastAsia="Calibri" w:hAnsiTheme="majorHAnsi" w:cstheme="majorHAnsi"/>
          <w:bCs/>
          <w:sz w:val="24"/>
          <w:szCs w:val="24"/>
          <w:lang w:val="ro-MD"/>
        </w:rPr>
        <w:t xml:space="preserve">aflate la balanța ÎM Regia „Exdrupo” (pasaje subterane, drumuri, poduri, rețele pluviale etc.). De asemenea, </w:t>
      </w:r>
      <w:r w:rsidR="004E4AFE" w:rsidRPr="009E5B39">
        <w:rPr>
          <w:rFonts w:asciiTheme="majorHAnsi" w:hAnsiTheme="majorHAnsi" w:cstheme="majorHAnsi"/>
          <w:bCs/>
          <w:sz w:val="24"/>
          <w:szCs w:val="24"/>
          <w:lang w:val="ro-MD"/>
        </w:rPr>
        <w:t xml:space="preserve">până în prezent nu a fost asigurată transmiterea </w:t>
      </w:r>
      <w:r w:rsidR="004D354E" w:rsidRPr="009E5B39">
        <w:rPr>
          <w:rFonts w:asciiTheme="majorHAnsi" w:hAnsiTheme="majorHAnsi" w:cstheme="majorHAnsi"/>
          <w:bCs/>
          <w:sz w:val="24"/>
          <w:szCs w:val="24"/>
          <w:lang w:val="ro-MD"/>
        </w:rPr>
        <w:t xml:space="preserve">către </w:t>
      </w:r>
      <w:r w:rsidR="004E4AFE" w:rsidRPr="009E5B39">
        <w:rPr>
          <w:rFonts w:asciiTheme="majorHAnsi" w:hAnsiTheme="majorHAnsi" w:cstheme="majorHAnsi"/>
          <w:bCs/>
          <w:sz w:val="24"/>
          <w:szCs w:val="24"/>
          <w:lang w:val="ro-MD"/>
        </w:rPr>
        <w:t>mun. Chișinău a 17 drumuri publice locale de interes raional, prevăzute în Anexa nr.2 la HG nr.1468 din 31.12.2016.</w:t>
      </w:r>
      <w:r w:rsidR="004E4AFE" w:rsidRPr="009E5B39">
        <w:rPr>
          <w:rFonts w:asciiTheme="majorHAnsi" w:hAnsiTheme="majorHAnsi" w:cstheme="majorHAnsi"/>
          <w:bCs/>
          <w:i/>
          <w:sz w:val="24"/>
          <w:szCs w:val="24"/>
          <w:lang w:val="ro-MD"/>
        </w:rPr>
        <w:t xml:space="preserve"> </w:t>
      </w:r>
    </w:p>
    <w:p w14:paraId="2204660F" w14:textId="5A912CF4" w:rsidR="004E4AFE" w:rsidRPr="009E5B39" w:rsidRDefault="004E4AFE" w:rsidP="003C5073">
      <w:pPr>
        <w:pStyle w:val="ListParagraph"/>
        <w:numPr>
          <w:ilvl w:val="0"/>
          <w:numId w:val="117"/>
        </w:numPr>
        <w:tabs>
          <w:tab w:val="left" w:pos="360"/>
        </w:tabs>
        <w:spacing w:after="0" w:line="276" w:lineRule="auto"/>
        <w:ind w:left="0" w:firstLine="426"/>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Raportarea la cheltuieli a alocațiilor pentru crearea spațiilor verzi denaturează semnificativ suprafața și valoarea acestora.</w:t>
      </w:r>
      <w:r w:rsidRPr="009E5B39">
        <w:rPr>
          <w:rFonts w:asciiTheme="majorHAnsi" w:hAnsiTheme="majorHAnsi" w:cstheme="majorHAnsi"/>
          <w:sz w:val="24"/>
          <w:szCs w:val="24"/>
          <w:lang w:val="ro-MD"/>
        </w:rPr>
        <w:t xml:space="preserve"> Potrivit Statutului ÎM AGSV</w:t>
      </w:r>
      <w:r w:rsidR="002862B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suprafața spațiilor verzi gestionate este de 2475 ha. Auditul denotă că  ÎM AGSV nu cunoaște exact care este suprafața reală a spațiilor verzi din mun. Chișinău gestionată, aceasta prezentând diferite date echipelor de audit. Astfel, în misiunea precedentă</w:t>
      </w:r>
      <w:r w:rsidRPr="009E5B39">
        <w:rPr>
          <w:rStyle w:val="FootnoteReference"/>
          <w:rFonts w:asciiTheme="majorHAnsi" w:hAnsiTheme="majorHAnsi" w:cstheme="majorHAnsi"/>
          <w:sz w:val="24"/>
          <w:szCs w:val="24"/>
          <w:lang w:val="ro-MD"/>
        </w:rPr>
        <w:footnoteReference w:id="216"/>
      </w:r>
      <w:r w:rsidRPr="009E5B39">
        <w:rPr>
          <w:rFonts w:asciiTheme="majorHAnsi" w:hAnsiTheme="majorHAnsi" w:cstheme="majorHAnsi"/>
          <w:sz w:val="24"/>
          <w:szCs w:val="24"/>
          <w:lang w:val="ro-MD"/>
        </w:rPr>
        <w:t xml:space="preserve"> a prezentat suprafaț</w:t>
      </w:r>
      <w:r w:rsidR="002862B5"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de 2933,89 ha</w:t>
      </w:r>
      <w:r w:rsidR="002862B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979,53 ha mai mult față de datele prezentate în misiunea </w:t>
      </w:r>
      <w:r w:rsidR="002862B5" w:rsidRPr="009E5B39">
        <w:rPr>
          <w:rFonts w:asciiTheme="majorHAnsi" w:hAnsiTheme="majorHAnsi" w:cstheme="majorHAnsi"/>
          <w:sz w:val="24"/>
          <w:szCs w:val="24"/>
          <w:lang w:val="ro-MD"/>
        </w:rPr>
        <w:t xml:space="preserve">de audit </w:t>
      </w:r>
      <w:r w:rsidRPr="009E5B39">
        <w:rPr>
          <w:rFonts w:asciiTheme="majorHAnsi" w:hAnsiTheme="majorHAnsi" w:cstheme="majorHAnsi"/>
          <w:sz w:val="24"/>
          <w:szCs w:val="24"/>
          <w:lang w:val="ro-MD"/>
        </w:rPr>
        <w:t xml:space="preserve">actuală (1954,36 ha), divergență </w:t>
      </w:r>
      <w:r w:rsidR="002862B5" w:rsidRPr="009E5B39">
        <w:rPr>
          <w:rFonts w:asciiTheme="majorHAnsi" w:hAnsiTheme="majorHAnsi" w:cstheme="majorHAnsi"/>
          <w:sz w:val="24"/>
          <w:szCs w:val="24"/>
          <w:lang w:val="ro-MD"/>
        </w:rPr>
        <w:t>asupra</w:t>
      </w:r>
      <w:r w:rsidRPr="009E5B39">
        <w:rPr>
          <w:rFonts w:asciiTheme="majorHAnsi" w:hAnsiTheme="majorHAnsi" w:cstheme="majorHAnsi"/>
          <w:sz w:val="24"/>
          <w:szCs w:val="24"/>
          <w:lang w:val="ro-MD"/>
        </w:rPr>
        <w:t xml:space="preserve"> c</w:t>
      </w:r>
      <w:r w:rsidR="002862B5" w:rsidRPr="009E5B39">
        <w:rPr>
          <w:rFonts w:asciiTheme="majorHAnsi" w:hAnsiTheme="majorHAnsi" w:cstheme="majorHAnsi"/>
          <w:sz w:val="24"/>
          <w:szCs w:val="24"/>
          <w:lang w:val="ro-MD"/>
        </w:rPr>
        <w:t>ăreia</w:t>
      </w:r>
      <w:r w:rsidRPr="009E5B39">
        <w:rPr>
          <w:rFonts w:asciiTheme="majorHAnsi" w:hAnsiTheme="majorHAnsi" w:cstheme="majorHAnsi"/>
          <w:sz w:val="24"/>
          <w:szCs w:val="24"/>
          <w:lang w:val="ro-MD"/>
        </w:rPr>
        <w:t xml:space="preserve"> ÎM AGSV nu poate da o explicație. </w:t>
      </w:r>
      <w:r w:rsidRPr="009E5B39">
        <w:rPr>
          <w:rFonts w:asciiTheme="majorHAnsi" w:hAnsiTheme="majorHAnsi" w:cstheme="majorHAnsi"/>
          <w:iCs/>
          <w:sz w:val="24"/>
          <w:szCs w:val="24"/>
          <w:lang w:val="ro-MD"/>
        </w:rPr>
        <w:t xml:space="preserve">Prin urmare, echipa de audit are rezerve față de veridicitatea suprafeței spațiilor verzi proprietate publică a UAT </w:t>
      </w:r>
      <w:r w:rsidR="00EC524A" w:rsidRPr="009E5B39">
        <w:rPr>
          <w:rFonts w:asciiTheme="majorHAnsi" w:hAnsiTheme="majorHAnsi" w:cstheme="majorHAnsi"/>
          <w:iCs/>
          <w:sz w:val="24"/>
          <w:szCs w:val="24"/>
          <w:lang w:val="ro-MD"/>
        </w:rPr>
        <w:t>mun.</w:t>
      </w:r>
      <w:r w:rsidR="00D557DB" w:rsidRPr="009E5B39">
        <w:rPr>
          <w:rFonts w:asciiTheme="majorHAnsi" w:hAnsiTheme="majorHAnsi" w:cstheme="majorHAnsi"/>
          <w:iCs/>
          <w:sz w:val="24"/>
          <w:szCs w:val="24"/>
          <w:lang w:val="ro-MD"/>
        </w:rPr>
        <w:t xml:space="preserve"> </w:t>
      </w:r>
      <w:r w:rsidRPr="009E5B39">
        <w:rPr>
          <w:rFonts w:asciiTheme="majorHAnsi" w:hAnsiTheme="majorHAnsi" w:cstheme="majorHAnsi"/>
          <w:iCs/>
          <w:sz w:val="24"/>
          <w:szCs w:val="24"/>
          <w:lang w:val="ro-MD"/>
        </w:rPr>
        <w:t xml:space="preserve">Chișinău. </w:t>
      </w:r>
      <w:r w:rsidR="002862B5" w:rsidRPr="009E5B39">
        <w:rPr>
          <w:rFonts w:asciiTheme="majorHAnsi" w:hAnsiTheme="majorHAnsi" w:cstheme="majorHAnsi"/>
          <w:iCs/>
          <w:sz w:val="24"/>
          <w:szCs w:val="24"/>
          <w:lang w:val="ro-MD"/>
        </w:rPr>
        <w:t>Cu toate</w:t>
      </w:r>
      <w:r w:rsidRPr="009E5B39">
        <w:rPr>
          <w:rFonts w:asciiTheme="majorHAnsi" w:hAnsiTheme="majorHAnsi" w:cstheme="majorHAnsi"/>
          <w:iCs/>
          <w:sz w:val="24"/>
          <w:szCs w:val="24"/>
          <w:lang w:val="ro-MD"/>
        </w:rPr>
        <w:t xml:space="preserve"> că anual din bugetul municipal sunt alocate mijloace pentru întinerirea/plantarea plantațiilor verzi multianuale, acestea sunt trecute direct la cheltuieli fără a fi contabilizate ca plantații multianuale tinere, ceea ce denaturează datele raportate aferente suprafeței și valorii spațiilor verzi din mun. Chișinău. Doar pe parcursul anilor </w:t>
      </w:r>
      <w:r w:rsidRPr="009E5B39">
        <w:rPr>
          <w:rFonts w:asciiTheme="majorHAnsi" w:hAnsiTheme="majorHAnsi" w:cstheme="majorHAnsi"/>
          <w:sz w:val="24"/>
          <w:szCs w:val="24"/>
          <w:lang w:val="ro-MD"/>
        </w:rPr>
        <w:t xml:space="preserve">2018-2020 au fost plantate plante multianuale în valoare de 5,31 mil.lei. Totodată, este </w:t>
      </w:r>
      <w:r w:rsidR="002862B5" w:rsidRPr="009E5B39">
        <w:rPr>
          <w:rFonts w:asciiTheme="majorHAnsi" w:hAnsiTheme="majorHAnsi" w:cstheme="majorHAnsi"/>
          <w:sz w:val="24"/>
          <w:szCs w:val="24"/>
          <w:lang w:val="ro-MD"/>
        </w:rPr>
        <w:t xml:space="preserve">necesar </w:t>
      </w:r>
      <w:r w:rsidRPr="009E5B39">
        <w:rPr>
          <w:rFonts w:asciiTheme="majorHAnsi" w:hAnsiTheme="majorHAnsi" w:cstheme="majorHAnsi"/>
          <w:sz w:val="24"/>
          <w:szCs w:val="24"/>
          <w:lang w:val="ro-MD"/>
        </w:rPr>
        <w:t>de menționat faptul că plantațiile multianuale verzi sunt bunuri publice din domeniu</w:t>
      </w:r>
      <w:r w:rsidR="002862B5" w:rsidRPr="009E5B39">
        <w:rPr>
          <w:rFonts w:asciiTheme="majorHAnsi" w:hAnsiTheme="majorHAnsi" w:cstheme="majorHAnsi"/>
          <w:sz w:val="24"/>
          <w:szCs w:val="24"/>
          <w:lang w:val="ro-MD"/>
        </w:rPr>
        <w:t>l</w:t>
      </w:r>
      <w:r w:rsidRPr="009E5B39">
        <w:rPr>
          <w:rFonts w:asciiTheme="majorHAnsi" w:hAnsiTheme="majorHAnsi" w:cstheme="majorHAnsi"/>
          <w:sz w:val="24"/>
          <w:szCs w:val="24"/>
          <w:lang w:val="ro-MD"/>
        </w:rPr>
        <w:t xml:space="preserve"> public</w:t>
      </w:r>
      <w:r w:rsidR="002862B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se transmit ÎM AGSV doar în gestiune economică pentru prestarea serviciilor aferente, iar evidența acestora urmează a fi ținută de Primăria mun</w:t>
      </w:r>
      <w:r w:rsidR="002862B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Chișinău sau </w:t>
      </w:r>
      <w:r w:rsidR="002862B5" w:rsidRPr="009E5B39">
        <w:rPr>
          <w:rFonts w:asciiTheme="majorHAnsi" w:hAnsiTheme="majorHAnsi" w:cstheme="majorHAnsi"/>
          <w:sz w:val="24"/>
          <w:szCs w:val="24"/>
          <w:lang w:val="ro-MD"/>
        </w:rPr>
        <w:t>de D</w:t>
      </w:r>
      <w:r w:rsidRPr="009E5B39">
        <w:rPr>
          <w:rFonts w:asciiTheme="majorHAnsi" w:hAnsiTheme="majorHAnsi" w:cstheme="majorHAnsi"/>
          <w:sz w:val="24"/>
          <w:szCs w:val="24"/>
          <w:lang w:val="ro-MD"/>
        </w:rPr>
        <w:t xml:space="preserve">irecția responsabilă de gestionarea spațiilor verzi (DGLCA). </w:t>
      </w:r>
      <w:r w:rsidR="00D24F26" w:rsidRPr="009E5B39">
        <w:rPr>
          <w:rFonts w:asciiTheme="majorHAnsi" w:hAnsiTheme="majorHAnsi" w:cstheme="majorHAnsi"/>
          <w:sz w:val="24"/>
          <w:szCs w:val="24"/>
          <w:lang w:val="ro-MD"/>
        </w:rPr>
        <w:t>N</w:t>
      </w:r>
      <w:r w:rsidRPr="009E5B39">
        <w:rPr>
          <w:rFonts w:asciiTheme="majorHAnsi" w:hAnsiTheme="majorHAnsi" w:cstheme="majorHAnsi"/>
          <w:sz w:val="24"/>
          <w:szCs w:val="24"/>
          <w:lang w:val="ro-MD"/>
        </w:rPr>
        <w:t>erespectând prevederile art. 31 alin.(2) și alin.(3) din Legea nr.591 din 23.09.1999</w:t>
      </w:r>
      <w:r w:rsidRPr="009E5B39">
        <w:rPr>
          <w:rStyle w:val="FootnoteReference"/>
          <w:rFonts w:asciiTheme="majorHAnsi" w:hAnsiTheme="majorHAnsi" w:cstheme="majorHAnsi"/>
          <w:sz w:val="24"/>
          <w:szCs w:val="24"/>
          <w:lang w:val="ro-MD"/>
        </w:rPr>
        <w:footnoteReference w:id="217"/>
      </w:r>
      <w:r w:rsidRPr="009E5B39">
        <w:rPr>
          <w:rFonts w:asciiTheme="majorHAnsi" w:hAnsiTheme="majorHAnsi" w:cstheme="majorHAnsi"/>
          <w:sz w:val="24"/>
          <w:szCs w:val="24"/>
          <w:lang w:val="ro-MD"/>
        </w:rPr>
        <w:t xml:space="preserve"> și </w:t>
      </w:r>
      <w:r w:rsidR="002862B5" w:rsidRPr="009E5B39">
        <w:rPr>
          <w:rFonts w:asciiTheme="majorHAnsi" w:hAnsiTheme="majorHAnsi" w:cstheme="majorHAnsi"/>
          <w:sz w:val="24"/>
          <w:szCs w:val="24"/>
          <w:lang w:val="ro-MD"/>
        </w:rPr>
        <w:t>ale</w:t>
      </w:r>
      <w:r w:rsidRPr="009E5B39">
        <w:rPr>
          <w:rFonts w:asciiTheme="majorHAnsi" w:hAnsiTheme="majorHAnsi" w:cstheme="majorHAnsi"/>
          <w:sz w:val="24"/>
          <w:szCs w:val="24"/>
          <w:lang w:val="ro-MD"/>
        </w:rPr>
        <w:t xml:space="preserve"> pct.3.3.34 subpct.3) din Ordinul </w:t>
      </w:r>
      <w:r w:rsidR="002862B5" w:rsidRPr="009E5B39">
        <w:rPr>
          <w:rFonts w:asciiTheme="majorHAnsi" w:hAnsiTheme="majorHAnsi" w:cstheme="majorHAnsi"/>
          <w:sz w:val="24"/>
          <w:szCs w:val="24"/>
          <w:lang w:val="ro-MD"/>
        </w:rPr>
        <w:t>ministrului finanțelor</w:t>
      </w:r>
      <w:r w:rsidRPr="009E5B39">
        <w:rPr>
          <w:rFonts w:asciiTheme="majorHAnsi" w:hAnsiTheme="majorHAnsi" w:cstheme="majorHAnsi"/>
          <w:sz w:val="24"/>
          <w:szCs w:val="24"/>
          <w:lang w:val="ro-MD"/>
        </w:rPr>
        <w:t xml:space="preserve"> nr.216/2015, APL nu ține Registrul local al spațiilor verzi, nu efectuează inventarierea acestora și nu înregistrează în evidența contabilă spațiile verzi/plantațiile multianuale pe categorii/specii. </w:t>
      </w:r>
    </w:p>
    <w:p w14:paraId="1DCC0C8B" w14:textId="0AFE02FD" w:rsidR="004E4AFE" w:rsidRPr="009E5B39" w:rsidRDefault="004E4AFE" w:rsidP="003C5073">
      <w:pPr>
        <w:pStyle w:val="ListParagraph"/>
        <w:numPr>
          <w:ilvl w:val="0"/>
          <w:numId w:val="117"/>
        </w:numPr>
        <w:tabs>
          <w:tab w:val="left" w:pos="360"/>
        </w:tabs>
        <w:spacing w:after="0" w:line="276" w:lineRule="auto"/>
        <w:ind w:left="0" w:firstLine="426"/>
        <w:jc w:val="both"/>
        <w:rPr>
          <w:rFonts w:asciiTheme="majorHAnsi" w:hAnsiTheme="majorHAnsi" w:cstheme="majorHAnsi"/>
          <w:b/>
          <w:sz w:val="24"/>
          <w:szCs w:val="24"/>
          <w:lang w:val="ro-MD"/>
        </w:rPr>
      </w:pPr>
      <w:r w:rsidRPr="009E5B39">
        <w:rPr>
          <w:rFonts w:asciiTheme="majorHAnsi" w:hAnsiTheme="majorHAnsi" w:cstheme="majorHAnsi"/>
          <w:b/>
          <w:sz w:val="24"/>
          <w:szCs w:val="24"/>
          <w:lang w:val="ro-MD"/>
        </w:rPr>
        <w:t xml:space="preserve">APL </w:t>
      </w:r>
      <w:r w:rsidR="00805E5C" w:rsidRPr="009E5B39">
        <w:rPr>
          <w:rFonts w:asciiTheme="majorHAnsi" w:hAnsiTheme="majorHAnsi" w:cstheme="majorHAnsi"/>
          <w:b/>
          <w:sz w:val="24"/>
          <w:szCs w:val="24"/>
          <w:lang w:val="ro-MD"/>
        </w:rPr>
        <w:t xml:space="preserve">a </w:t>
      </w:r>
      <w:r w:rsidRPr="009E5B39">
        <w:rPr>
          <w:rFonts w:asciiTheme="majorHAnsi" w:hAnsiTheme="majorHAnsi" w:cstheme="majorHAnsi"/>
          <w:b/>
          <w:sz w:val="24"/>
          <w:szCs w:val="24"/>
          <w:lang w:val="ro-MD"/>
        </w:rPr>
        <w:t xml:space="preserve">mun. Chișinău nu a întreprins careva măsuri </w:t>
      </w:r>
      <w:r w:rsidR="00805E5C" w:rsidRPr="009E5B39">
        <w:rPr>
          <w:rFonts w:asciiTheme="majorHAnsi" w:hAnsiTheme="majorHAnsi" w:cstheme="majorHAnsi"/>
          <w:b/>
          <w:sz w:val="24"/>
          <w:szCs w:val="24"/>
          <w:lang w:val="ro-MD"/>
        </w:rPr>
        <w:t>pe</w:t>
      </w:r>
      <w:r w:rsidRPr="009E5B39">
        <w:rPr>
          <w:rFonts w:asciiTheme="majorHAnsi" w:hAnsiTheme="majorHAnsi" w:cstheme="majorHAnsi"/>
          <w:b/>
          <w:sz w:val="24"/>
          <w:szCs w:val="24"/>
          <w:lang w:val="ro-MD"/>
        </w:rPr>
        <w:t xml:space="preserve">ntru preluarea la evidență a 526,3 km de rețele de gaze naturale fără proprietar din mun. Chișinău. </w:t>
      </w:r>
      <w:r w:rsidRPr="009E5B39">
        <w:rPr>
          <w:rFonts w:asciiTheme="majorHAnsi" w:hAnsiTheme="majorHAnsi" w:cstheme="majorHAnsi"/>
          <w:sz w:val="24"/>
          <w:szCs w:val="24"/>
          <w:lang w:val="ro-MD"/>
        </w:rPr>
        <w:t>Potrivit prevederilor pct.17 din HG nr.683/18.06.2004</w:t>
      </w:r>
      <w:r w:rsidR="00805E5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Pr="009E5B39">
        <w:rPr>
          <w:rFonts w:asciiTheme="majorHAnsi" w:hAnsiTheme="majorHAnsi" w:cstheme="majorHAnsi"/>
          <w:i/>
          <w:sz w:val="24"/>
          <w:szCs w:val="24"/>
          <w:lang w:val="ro-MD"/>
        </w:rPr>
        <w:t>rețelele și instalațiile de gaze construite cu contribuția bănească a beneficiarilor de investiții, alții decât unitățile de distribuție a</w:t>
      </w:r>
      <w:r w:rsidR="00805E5C" w:rsidRPr="009E5B39">
        <w:rPr>
          <w:rFonts w:asciiTheme="majorHAnsi" w:hAnsiTheme="majorHAnsi" w:cstheme="majorHAnsi"/>
          <w:i/>
          <w:sz w:val="24"/>
          <w:szCs w:val="24"/>
          <w:lang w:val="ro-MD"/>
        </w:rPr>
        <w:t>le</w:t>
      </w:r>
      <w:r w:rsidRPr="009E5B39">
        <w:rPr>
          <w:rFonts w:asciiTheme="majorHAnsi" w:hAnsiTheme="majorHAnsi" w:cstheme="majorHAnsi"/>
          <w:i/>
          <w:sz w:val="24"/>
          <w:szCs w:val="24"/>
          <w:lang w:val="ro-MD"/>
        </w:rPr>
        <w:t xml:space="preserve"> SA </w:t>
      </w:r>
      <w:r w:rsidR="00FB3E2D"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Moldova</w:t>
      </w:r>
      <w:r w:rsidR="00805E5C" w:rsidRPr="009E5B39">
        <w:rPr>
          <w:rFonts w:asciiTheme="majorHAnsi" w:hAnsiTheme="majorHAnsi" w:cstheme="majorHAnsi"/>
          <w:i/>
          <w:sz w:val="24"/>
          <w:szCs w:val="24"/>
          <w:lang w:val="ro-MD"/>
        </w:rPr>
        <w:t>g</w:t>
      </w:r>
      <w:r w:rsidRPr="009E5B39">
        <w:rPr>
          <w:rFonts w:asciiTheme="majorHAnsi" w:hAnsiTheme="majorHAnsi" w:cstheme="majorHAnsi"/>
          <w:i/>
          <w:sz w:val="24"/>
          <w:szCs w:val="24"/>
          <w:lang w:val="ro-MD"/>
        </w:rPr>
        <w:t>az</w:t>
      </w:r>
      <w:r w:rsidR="00FB3E2D"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care actualmente au rămas fără proprietar</w:t>
      </w:r>
      <w:r w:rsidR="00805E5C"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se consideră proprietate a autorității publice locale, în baza deciziilor instanțelor judecătorești.</w:t>
      </w:r>
      <w:r w:rsidRPr="009E5B39">
        <w:rPr>
          <w:rFonts w:asciiTheme="majorHAnsi" w:hAnsiTheme="majorHAnsi" w:cstheme="majorHAnsi"/>
          <w:sz w:val="24"/>
          <w:szCs w:val="24"/>
          <w:lang w:val="ro-MD"/>
        </w:rPr>
        <w:t xml:space="preserve"> Cu nerespectarea prevederilor actelor normative menționate, APL </w:t>
      </w:r>
      <w:r w:rsidR="00805E5C"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 xml:space="preserve">mun. Chișinău nu a asigurat inventarierea și preluarea la evidență a rețelelor de gaze naturale fără stăpân din mun. Chișinău.  Analiza informației preluate de la </w:t>
      </w:r>
      <w:r w:rsidR="00424E9C" w:rsidRPr="009E5B39">
        <w:rPr>
          <w:rFonts w:asciiTheme="majorHAnsi" w:hAnsiTheme="majorHAnsi" w:cstheme="majorHAnsi"/>
          <w:sz w:val="24"/>
          <w:szCs w:val="24"/>
          <w:lang w:val="ro-MD"/>
        </w:rPr>
        <w:t xml:space="preserve">SRL </w:t>
      </w:r>
      <w:r w:rsidR="00FB3E2D" w:rsidRPr="009E5B39">
        <w:rPr>
          <w:rFonts w:asciiTheme="majorHAnsi" w:hAnsiTheme="majorHAnsi" w:cstheme="majorHAnsi"/>
          <w:sz w:val="24"/>
          <w:szCs w:val="24"/>
          <w:lang w:val="ro-MD"/>
        </w:rPr>
        <w:t>„</w:t>
      </w:r>
      <w:r w:rsidR="00424E9C" w:rsidRPr="009E5B39">
        <w:rPr>
          <w:rFonts w:asciiTheme="majorHAnsi" w:hAnsiTheme="majorHAnsi" w:cstheme="majorHAnsi"/>
          <w:sz w:val="24"/>
          <w:szCs w:val="24"/>
          <w:lang w:val="ro-MD"/>
        </w:rPr>
        <w:t>Chișinău</w:t>
      </w:r>
      <w:r w:rsidR="00805E5C" w:rsidRPr="009E5B39">
        <w:rPr>
          <w:rFonts w:asciiTheme="majorHAnsi" w:hAnsiTheme="majorHAnsi" w:cstheme="majorHAnsi"/>
          <w:sz w:val="24"/>
          <w:szCs w:val="24"/>
          <w:lang w:val="ro-MD"/>
        </w:rPr>
        <w:t>g</w:t>
      </w:r>
      <w:r w:rsidRPr="009E5B39">
        <w:rPr>
          <w:rFonts w:asciiTheme="majorHAnsi" w:hAnsiTheme="majorHAnsi" w:cstheme="majorHAnsi"/>
          <w:sz w:val="24"/>
          <w:szCs w:val="24"/>
          <w:lang w:val="ro-MD"/>
        </w:rPr>
        <w:t>az</w:t>
      </w:r>
      <w:r w:rsidR="00FB3E2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denotă că în mun. Chișinău sunt </w:t>
      </w:r>
      <w:r w:rsidRPr="009E5B39">
        <w:rPr>
          <w:rFonts w:asciiTheme="majorHAnsi" w:hAnsiTheme="majorHAnsi" w:cstheme="majorHAnsi"/>
          <w:b/>
          <w:sz w:val="24"/>
          <w:szCs w:val="24"/>
          <w:lang w:val="ro-MD"/>
        </w:rPr>
        <w:t>526,3 km</w:t>
      </w:r>
      <w:r w:rsidRPr="009E5B39">
        <w:rPr>
          <w:rFonts w:asciiTheme="majorHAnsi" w:hAnsiTheme="majorHAnsi" w:cstheme="majorHAnsi"/>
          <w:sz w:val="24"/>
          <w:szCs w:val="24"/>
          <w:lang w:val="ro-MD"/>
        </w:rPr>
        <w:t xml:space="preserve"> rețele de gaze naturale fără proprietar, din care </w:t>
      </w:r>
      <w:r w:rsidRPr="009E5B39">
        <w:rPr>
          <w:rFonts w:asciiTheme="majorHAnsi" w:hAnsiTheme="majorHAnsi" w:cstheme="majorHAnsi"/>
          <w:b/>
          <w:sz w:val="24"/>
          <w:szCs w:val="24"/>
          <w:lang w:val="ro-MD"/>
        </w:rPr>
        <w:t>321 km rețele de gaze naturale</w:t>
      </w:r>
      <w:r w:rsidRPr="009E5B39">
        <w:rPr>
          <w:rFonts w:asciiTheme="majorHAnsi" w:hAnsiTheme="majorHAnsi" w:cstheme="majorHAnsi"/>
          <w:sz w:val="24"/>
          <w:szCs w:val="24"/>
          <w:lang w:val="ro-MD"/>
        </w:rPr>
        <w:t xml:space="preserve"> construite încă în perioada sovietică</w:t>
      </w:r>
      <w:r w:rsidR="00805E5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pentru care lipsesc actele de construcție.</w:t>
      </w:r>
    </w:p>
    <w:p w14:paraId="69D25907" w14:textId="4DC548B3" w:rsidR="00D24F26" w:rsidRPr="009E5B39" w:rsidRDefault="00D24F26" w:rsidP="003C5073">
      <w:pPr>
        <w:pStyle w:val="ListParagraph"/>
        <w:numPr>
          <w:ilvl w:val="0"/>
          <w:numId w:val="117"/>
        </w:numPr>
        <w:tabs>
          <w:tab w:val="left" w:pos="360"/>
        </w:tabs>
        <w:spacing w:after="0" w:line="276" w:lineRule="auto"/>
        <w:ind w:left="0" w:firstLine="426"/>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APL nu au întreprins măsuri privind transmiterea la deservire SRL Chișinău</w:t>
      </w:r>
      <w:r w:rsidR="00424E9C" w:rsidRPr="009E5B39">
        <w:rPr>
          <w:rFonts w:asciiTheme="majorHAnsi" w:hAnsiTheme="majorHAnsi" w:cstheme="majorHAnsi"/>
          <w:sz w:val="24"/>
          <w:szCs w:val="24"/>
          <w:lang w:val="ro-MD"/>
        </w:rPr>
        <w:t>g</w:t>
      </w:r>
      <w:r w:rsidRPr="009E5B39">
        <w:rPr>
          <w:rFonts w:asciiTheme="majorHAnsi" w:hAnsiTheme="majorHAnsi" w:cstheme="majorHAnsi"/>
          <w:sz w:val="24"/>
          <w:szCs w:val="24"/>
          <w:lang w:val="ro-MD"/>
        </w:rPr>
        <w:t xml:space="preserve">az a 22 rețele de gaze reconstruite în perioada </w:t>
      </w:r>
      <w:r w:rsidR="00805E5C" w:rsidRPr="009E5B39">
        <w:rPr>
          <w:rFonts w:asciiTheme="majorHAnsi" w:hAnsiTheme="majorHAnsi" w:cstheme="majorHAnsi"/>
          <w:sz w:val="24"/>
          <w:szCs w:val="24"/>
          <w:lang w:val="ro-MD"/>
        </w:rPr>
        <w:t xml:space="preserve">anilor </w:t>
      </w:r>
      <w:r w:rsidRPr="009E5B39">
        <w:rPr>
          <w:rFonts w:asciiTheme="majorHAnsi" w:hAnsiTheme="majorHAnsi" w:cstheme="majorHAnsi"/>
          <w:sz w:val="24"/>
          <w:szCs w:val="24"/>
          <w:lang w:val="ro-MD"/>
        </w:rPr>
        <w:t>2007-2012</w:t>
      </w:r>
      <w:r w:rsidR="00805E5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valoare de </w:t>
      </w:r>
      <w:r w:rsidRPr="009E5B39">
        <w:rPr>
          <w:rFonts w:asciiTheme="majorHAnsi" w:hAnsiTheme="majorHAnsi" w:cstheme="majorHAnsi"/>
          <w:b/>
          <w:sz w:val="24"/>
          <w:szCs w:val="24"/>
          <w:lang w:val="ro-MD"/>
        </w:rPr>
        <w:t>7,41 mil</w:t>
      </w:r>
      <w:r w:rsidR="00805E5C"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p>
    <w:p w14:paraId="3809E1BA" w14:textId="265DF14B" w:rsidR="004E4AFE" w:rsidRPr="009E5B39" w:rsidRDefault="004E4AFE" w:rsidP="003C5073">
      <w:pPr>
        <w:pStyle w:val="ListParagraph"/>
        <w:numPr>
          <w:ilvl w:val="0"/>
          <w:numId w:val="117"/>
        </w:numPr>
        <w:tabs>
          <w:tab w:val="left" w:pos="360"/>
        </w:tabs>
        <w:spacing w:after="0" w:line="276" w:lineRule="auto"/>
        <w:ind w:left="0" w:firstLine="426"/>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CMC nu a decis finalitatea (casarea/finisarea/etc.) pentru 21 obiective, în valoare totală de </w:t>
      </w:r>
      <w:r w:rsidRPr="009E5B39">
        <w:rPr>
          <w:rFonts w:asciiTheme="majorHAnsi" w:hAnsiTheme="majorHAnsi" w:cstheme="majorHAnsi"/>
          <w:b/>
          <w:sz w:val="24"/>
          <w:szCs w:val="24"/>
          <w:lang w:val="ro-MD"/>
        </w:rPr>
        <w:t>72,73 mil</w:t>
      </w:r>
      <w:r w:rsidR="00805E5C"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(la situația din 31.12.2020), lucrările cărora au fost inițiate în perioada </w:t>
      </w:r>
      <w:r w:rsidR="00805E5C" w:rsidRPr="009E5B39">
        <w:rPr>
          <w:rFonts w:asciiTheme="majorHAnsi" w:hAnsiTheme="majorHAnsi" w:cstheme="majorHAnsi"/>
          <w:sz w:val="24"/>
          <w:szCs w:val="24"/>
          <w:lang w:val="ro-MD"/>
        </w:rPr>
        <w:t xml:space="preserve">anilor </w:t>
      </w:r>
      <w:r w:rsidRPr="009E5B39">
        <w:rPr>
          <w:rFonts w:asciiTheme="majorHAnsi" w:hAnsiTheme="majorHAnsi" w:cstheme="majorHAnsi"/>
          <w:sz w:val="24"/>
          <w:szCs w:val="24"/>
          <w:lang w:val="ro-MD"/>
        </w:rPr>
        <w:t xml:space="preserve">1986 – 2017 și ulterior stopate și nefinisate. Totodată, </w:t>
      </w:r>
      <w:r w:rsidRPr="009E5B39">
        <w:rPr>
          <w:rFonts w:asciiTheme="majorHAnsi" w:hAnsiTheme="majorHAnsi" w:cstheme="majorHAnsi"/>
          <w:b/>
          <w:sz w:val="24"/>
          <w:szCs w:val="24"/>
          <w:lang w:val="ro-MD"/>
        </w:rPr>
        <w:t>ÎM DCC a casat neregulamentar, în anul 2018</w:t>
      </w:r>
      <w:r w:rsidRPr="009E5B39">
        <w:rPr>
          <w:rFonts w:asciiTheme="majorHAnsi" w:hAnsiTheme="majorHAnsi" w:cstheme="majorHAnsi"/>
          <w:sz w:val="24"/>
          <w:szCs w:val="24"/>
          <w:lang w:val="ro-MD"/>
        </w:rPr>
        <w:t>, în baza Dispoziției viceprimarului nr.179-d din 22.03.2018</w:t>
      </w:r>
      <w:r w:rsidR="0087522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Pr="009E5B39">
        <w:rPr>
          <w:rFonts w:asciiTheme="majorHAnsi" w:hAnsiTheme="majorHAnsi" w:cstheme="majorHAnsi"/>
          <w:b/>
          <w:sz w:val="24"/>
          <w:szCs w:val="24"/>
          <w:lang w:val="ro-MD"/>
        </w:rPr>
        <w:t>lucrări nefinalizate în valoare totală de</w:t>
      </w:r>
      <w:r w:rsidRPr="009E5B39">
        <w:rPr>
          <w:rFonts w:asciiTheme="majorHAnsi" w:hAnsiTheme="majorHAnsi" w:cstheme="majorHAnsi"/>
          <w:sz w:val="24"/>
          <w:szCs w:val="24"/>
          <w:lang w:val="ro-MD"/>
        </w:rPr>
        <w:t xml:space="preserve"> </w:t>
      </w:r>
      <w:r w:rsidRPr="009E5B39">
        <w:rPr>
          <w:rFonts w:asciiTheme="majorHAnsi" w:hAnsiTheme="majorHAnsi" w:cstheme="majorHAnsi"/>
          <w:b/>
          <w:sz w:val="24"/>
          <w:szCs w:val="24"/>
          <w:lang w:val="ro-MD"/>
        </w:rPr>
        <w:t xml:space="preserve">124,23 mil. lei, </w:t>
      </w:r>
      <w:r w:rsidRPr="009E5B39">
        <w:rPr>
          <w:rFonts w:asciiTheme="majorHAnsi" w:hAnsiTheme="majorHAnsi" w:cstheme="majorHAnsi"/>
          <w:sz w:val="24"/>
          <w:szCs w:val="24"/>
          <w:lang w:val="ro-MD"/>
        </w:rPr>
        <w:t>din care: lucrări demarate până în anul 1996,</w:t>
      </w:r>
      <w:r w:rsidR="00875227" w:rsidRPr="009E5B39">
        <w:rPr>
          <w:rFonts w:asciiTheme="majorHAnsi" w:hAnsiTheme="majorHAnsi" w:cstheme="majorHAnsi"/>
          <w:sz w:val="24"/>
          <w:szCs w:val="24"/>
          <w:lang w:val="ro-MD"/>
        </w:rPr>
        <w:t xml:space="preserve"> a căror</w:t>
      </w:r>
      <w:r w:rsidRPr="009E5B39">
        <w:rPr>
          <w:rFonts w:asciiTheme="majorHAnsi" w:hAnsiTheme="majorHAnsi" w:cstheme="majorHAnsi"/>
          <w:sz w:val="24"/>
          <w:szCs w:val="24"/>
          <w:lang w:val="ro-MD"/>
        </w:rPr>
        <w:t xml:space="preserve"> </w:t>
      </w:r>
      <w:r w:rsidR="00875227" w:rsidRPr="009E5B39">
        <w:rPr>
          <w:rFonts w:asciiTheme="majorHAnsi" w:hAnsiTheme="majorHAnsi" w:cstheme="majorHAnsi"/>
          <w:sz w:val="24"/>
          <w:szCs w:val="24"/>
          <w:lang w:val="ro-MD"/>
        </w:rPr>
        <w:t xml:space="preserve">necesitate </w:t>
      </w:r>
      <w:r w:rsidRPr="009E5B39">
        <w:rPr>
          <w:rFonts w:asciiTheme="majorHAnsi" w:hAnsiTheme="majorHAnsi" w:cstheme="majorHAnsi"/>
          <w:sz w:val="24"/>
          <w:szCs w:val="24"/>
          <w:lang w:val="ro-MD"/>
        </w:rPr>
        <w:t xml:space="preserve">a decăzut sau din lipsa mijloacelor financiare – în sumă de </w:t>
      </w:r>
      <w:r w:rsidRPr="009E5B39">
        <w:rPr>
          <w:rFonts w:asciiTheme="majorHAnsi" w:hAnsiTheme="majorHAnsi" w:cstheme="majorHAnsi"/>
          <w:b/>
          <w:sz w:val="24"/>
          <w:szCs w:val="24"/>
          <w:lang w:val="ro-MD"/>
        </w:rPr>
        <w:t>107,04 mil lei</w:t>
      </w:r>
      <w:r w:rsidRPr="009E5B39">
        <w:rPr>
          <w:rFonts w:asciiTheme="majorHAnsi" w:hAnsiTheme="majorHAnsi" w:cstheme="majorHAnsi"/>
          <w:sz w:val="24"/>
          <w:szCs w:val="24"/>
          <w:lang w:val="ro-MD"/>
        </w:rPr>
        <w:t xml:space="preserve"> (valoarea reevaluată); valoarea lucrărilor de proiectare, topografice/de ridicare/cadastrale etc. la obiectivele lucrările la care nu au fost demarate – </w:t>
      </w:r>
      <w:r w:rsidRPr="009E5B39">
        <w:rPr>
          <w:rFonts w:asciiTheme="majorHAnsi" w:hAnsiTheme="majorHAnsi" w:cstheme="majorHAnsi"/>
          <w:b/>
          <w:sz w:val="24"/>
          <w:szCs w:val="24"/>
          <w:lang w:val="ro-MD"/>
        </w:rPr>
        <w:t>13,99 mil</w:t>
      </w:r>
      <w:r w:rsidR="00875227"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(în baza Deciziei </w:t>
      </w:r>
      <w:r w:rsidR="00875227" w:rsidRPr="009E5B39">
        <w:rPr>
          <w:rFonts w:asciiTheme="majorHAnsi" w:hAnsiTheme="majorHAnsi" w:cstheme="majorHAnsi"/>
          <w:sz w:val="24"/>
          <w:szCs w:val="24"/>
          <w:lang w:val="ro-MD"/>
        </w:rPr>
        <w:t>P</w:t>
      </w:r>
      <w:r w:rsidRPr="009E5B39">
        <w:rPr>
          <w:rFonts w:asciiTheme="majorHAnsi" w:hAnsiTheme="majorHAnsi" w:cstheme="majorHAnsi"/>
          <w:sz w:val="24"/>
          <w:szCs w:val="24"/>
          <w:lang w:val="ro-MD"/>
        </w:rPr>
        <w:t xml:space="preserve">rimăriei mun. Chișinău nr.11/1 din 15.07.1991). </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Fundamentarea</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 xml:space="preserve">casării acestora este una superficială, nefiind indicate codurile cadastrale și adresa obiectivului casat. </w:t>
      </w:r>
    </w:p>
    <w:p w14:paraId="47CE6F26" w14:textId="58CB5CAF" w:rsidR="00D91A18" w:rsidRPr="009E5B39" w:rsidRDefault="00D91A18" w:rsidP="00424E9C">
      <w:pPr>
        <w:pStyle w:val="ListParagraph"/>
        <w:numPr>
          <w:ilvl w:val="2"/>
          <w:numId w:val="29"/>
        </w:numPr>
        <w:spacing w:after="0" w:line="276" w:lineRule="auto"/>
        <w:ind w:left="0" w:firstLine="0"/>
        <w:jc w:val="both"/>
        <w:rPr>
          <w:rFonts w:ascii="Calibri Light" w:eastAsia="Calibri" w:hAnsi="Calibri Light" w:cs="Tahoma"/>
          <w:sz w:val="24"/>
          <w:lang w:val="ro-MD"/>
        </w:rPr>
      </w:pPr>
      <w:r w:rsidRPr="009E5B39">
        <w:rPr>
          <w:rFonts w:asciiTheme="majorHAnsi" w:hAnsiTheme="majorHAnsi" w:cstheme="majorHAnsi"/>
          <w:b/>
          <w:i/>
          <w:iCs/>
          <w:sz w:val="24"/>
          <w:szCs w:val="24"/>
          <w:lang w:val="ro-MD"/>
        </w:rPr>
        <w:t xml:space="preserve">CMC și autoritatea executivă a UAT </w:t>
      </w:r>
      <w:r w:rsidR="00EC524A" w:rsidRPr="009E5B39">
        <w:rPr>
          <w:rFonts w:asciiTheme="majorHAnsi" w:hAnsiTheme="majorHAnsi" w:cstheme="majorHAnsi"/>
          <w:b/>
          <w:i/>
          <w:iCs/>
          <w:sz w:val="24"/>
          <w:szCs w:val="24"/>
          <w:lang w:val="ro-MD"/>
        </w:rPr>
        <w:t>mun.</w:t>
      </w:r>
      <w:r w:rsidR="00497636" w:rsidRPr="009E5B39">
        <w:rPr>
          <w:rFonts w:asciiTheme="majorHAnsi" w:hAnsiTheme="majorHAnsi" w:cstheme="majorHAnsi"/>
          <w:b/>
          <w:i/>
          <w:iCs/>
          <w:sz w:val="24"/>
          <w:szCs w:val="24"/>
          <w:lang w:val="ro-MD"/>
        </w:rPr>
        <w:t xml:space="preserve"> </w:t>
      </w:r>
      <w:r w:rsidRPr="009E5B39">
        <w:rPr>
          <w:rFonts w:asciiTheme="majorHAnsi" w:hAnsiTheme="majorHAnsi" w:cstheme="majorHAnsi"/>
          <w:b/>
          <w:i/>
          <w:iCs/>
          <w:sz w:val="24"/>
          <w:szCs w:val="24"/>
          <w:lang w:val="ro-MD"/>
        </w:rPr>
        <w:t xml:space="preserve">Chișinău nu au asigurat monitorizarea și executarea propriilor decizii, adoptate în perioada </w:t>
      </w:r>
      <w:r w:rsidR="00875227" w:rsidRPr="009E5B39">
        <w:rPr>
          <w:rFonts w:asciiTheme="majorHAnsi" w:hAnsiTheme="majorHAnsi" w:cstheme="majorHAnsi"/>
          <w:b/>
          <w:i/>
          <w:iCs/>
          <w:sz w:val="24"/>
          <w:szCs w:val="24"/>
          <w:lang w:val="ro-MD"/>
        </w:rPr>
        <w:t xml:space="preserve">anilor </w:t>
      </w:r>
      <w:r w:rsidRPr="009E5B39">
        <w:rPr>
          <w:rFonts w:asciiTheme="majorHAnsi" w:hAnsiTheme="majorHAnsi" w:cstheme="majorHAnsi"/>
          <w:b/>
          <w:i/>
          <w:iCs/>
          <w:sz w:val="24"/>
          <w:szCs w:val="24"/>
          <w:lang w:val="ro-MD"/>
        </w:rPr>
        <w:t xml:space="preserve">1998 – 2020, ce țin de: 1) reorganizarea ÎM DCC; 2) transmiterea </w:t>
      </w:r>
      <w:r w:rsidR="00875227" w:rsidRPr="009E5B39">
        <w:rPr>
          <w:rFonts w:asciiTheme="majorHAnsi" w:hAnsiTheme="majorHAnsi" w:cstheme="majorHAnsi"/>
          <w:b/>
          <w:i/>
          <w:iCs/>
          <w:sz w:val="24"/>
          <w:szCs w:val="24"/>
          <w:lang w:val="ro-MD"/>
        </w:rPr>
        <w:t xml:space="preserve">către </w:t>
      </w:r>
      <w:r w:rsidRPr="009E5B39">
        <w:rPr>
          <w:rFonts w:asciiTheme="majorHAnsi" w:hAnsiTheme="majorHAnsi" w:cstheme="majorHAnsi"/>
          <w:b/>
          <w:i/>
          <w:iCs/>
          <w:sz w:val="24"/>
          <w:szCs w:val="24"/>
          <w:lang w:val="ro-MD"/>
        </w:rPr>
        <w:t>beneficiari a lucrărilor de investiții și reparație capitală, executate prin intermediul ÎM DCC; 3) majorarea capitalului social al întreprinderilor fondate; 4) patrimoniu</w:t>
      </w:r>
      <w:r w:rsidR="00875227" w:rsidRPr="009E5B39">
        <w:rPr>
          <w:rFonts w:asciiTheme="majorHAnsi" w:hAnsiTheme="majorHAnsi" w:cstheme="majorHAnsi"/>
          <w:b/>
          <w:i/>
          <w:iCs/>
          <w:sz w:val="24"/>
          <w:szCs w:val="24"/>
          <w:lang w:val="ro-MD"/>
        </w:rPr>
        <w:t xml:space="preserve">l </w:t>
      </w:r>
      <w:r w:rsidRPr="009E5B39">
        <w:rPr>
          <w:rFonts w:asciiTheme="majorHAnsi" w:hAnsiTheme="majorHAnsi" w:cstheme="majorHAnsi"/>
          <w:b/>
          <w:i/>
          <w:iCs/>
          <w:sz w:val="24"/>
          <w:szCs w:val="24"/>
          <w:lang w:val="ro-MD"/>
        </w:rPr>
        <w:t xml:space="preserve"> preluat cu titlu gratuit din proprietatea APL </w:t>
      </w:r>
      <w:r w:rsidR="00875227" w:rsidRPr="009E5B39">
        <w:rPr>
          <w:rFonts w:asciiTheme="majorHAnsi" w:hAnsiTheme="majorHAnsi" w:cstheme="majorHAnsi"/>
          <w:b/>
          <w:i/>
          <w:iCs/>
          <w:sz w:val="24"/>
          <w:szCs w:val="24"/>
          <w:lang w:val="ro-MD"/>
        </w:rPr>
        <w:t xml:space="preserve">de </w:t>
      </w:r>
      <w:r w:rsidRPr="009E5B39">
        <w:rPr>
          <w:rFonts w:asciiTheme="majorHAnsi" w:hAnsiTheme="majorHAnsi" w:cstheme="majorHAnsi"/>
          <w:b/>
          <w:i/>
          <w:iCs/>
          <w:sz w:val="24"/>
          <w:szCs w:val="24"/>
          <w:lang w:val="ro-MD"/>
        </w:rPr>
        <w:t>nivelul I din suburbii și agenți</w:t>
      </w:r>
      <w:r w:rsidR="00BD7994" w:rsidRPr="009E5B39">
        <w:rPr>
          <w:rFonts w:asciiTheme="majorHAnsi" w:hAnsiTheme="majorHAnsi" w:cstheme="majorHAnsi"/>
          <w:b/>
          <w:i/>
          <w:iCs/>
          <w:sz w:val="24"/>
          <w:szCs w:val="24"/>
          <w:lang w:val="ro-MD"/>
        </w:rPr>
        <w:t>lor</w:t>
      </w:r>
      <w:r w:rsidRPr="009E5B39">
        <w:rPr>
          <w:rFonts w:asciiTheme="majorHAnsi" w:hAnsiTheme="majorHAnsi" w:cstheme="majorHAnsi"/>
          <w:b/>
          <w:i/>
          <w:iCs/>
          <w:sz w:val="24"/>
          <w:szCs w:val="24"/>
          <w:lang w:val="ro-MD"/>
        </w:rPr>
        <w:t xml:space="preserve"> economici; etc., ceea ce creează unele riscuri de pierdere a patrimoniului mun. Chișinău, precum și influențează veridicitatea </w:t>
      </w:r>
      <w:r w:rsidR="00A214E4" w:rsidRPr="009E5B39">
        <w:rPr>
          <w:rFonts w:asciiTheme="majorHAnsi" w:hAnsiTheme="majorHAnsi" w:cstheme="majorHAnsi"/>
          <w:b/>
          <w:i/>
          <w:iCs/>
          <w:sz w:val="24"/>
          <w:szCs w:val="24"/>
          <w:lang w:val="ro-MD"/>
        </w:rPr>
        <w:t xml:space="preserve">valorii </w:t>
      </w:r>
      <w:r w:rsidRPr="009E5B39">
        <w:rPr>
          <w:rFonts w:asciiTheme="majorHAnsi" w:hAnsiTheme="majorHAnsi" w:cstheme="majorHAnsi"/>
          <w:b/>
          <w:i/>
          <w:iCs/>
          <w:sz w:val="24"/>
          <w:szCs w:val="24"/>
          <w:lang w:val="ro-MD"/>
        </w:rPr>
        <w:t>acestuia</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Astfel,</w:t>
      </w:r>
      <w:r w:rsidRPr="009E5B39">
        <w:rPr>
          <w:rFonts w:asciiTheme="majorHAnsi" w:hAnsiTheme="majorHAnsi" w:cstheme="majorHAnsi"/>
          <w:b/>
          <w:sz w:val="24"/>
          <w:szCs w:val="24"/>
          <w:lang w:val="ro-MD"/>
        </w:rPr>
        <w:t xml:space="preserve"> </w:t>
      </w:r>
    </w:p>
    <w:p w14:paraId="7EF4EB4B" w14:textId="24A9C7EF" w:rsidR="00A214E4" w:rsidRPr="009E5B39" w:rsidRDefault="00D91A18" w:rsidP="003C5073">
      <w:pPr>
        <w:pStyle w:val="ListParagraph"/>
        <w:numPr>
          <w:ilvl w:val="0"/>
          <w:numId w:val="118"/>
        </w:numPr>
        <w:spacing w:after="0" w:line="276" w:lineRule="auto"/>
        <w:ind w:left="0"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CMC a decis încă în anul 2009</w:t>
      </w:r>
      <w:r w:rsidRPr="009E5B39">
        <w:rPr>
          <w:rStyle w:val="FootnoteReference"/>
          <w:rFonts w:asciiTheme="majorHAnsi" w:hAnsiTheme="majorHAnsi" w:cstheme="majorHAnsi"/>
          <w:sz w:val="24"/>
          <w:szCs w:val="24"/>
          <w:lang w:val="ro-MD"/>
        </w:rPr>
        <w:footnoteReference w:id="218"/>
      </w:r>
      <w:r w:rsidRPr="009E5B39">
        <w:rPr>
          <w:rFonts w:asciiTheme="majorHAnsi" w:hAnsiTheme="majorHAnsi" w:cstheme="majorHAnsi"/>
          <w:sz w:val="24"/>
          <w:szCs w:val="24"/>
          <w:lang w:val="ro-MD"/>
        </w:rPr>
        <w:t xml:space="preserve"> transformarea ÎM DCC a Primăriei mun. Chișinău în Direcție generală investiții capitale a CMC, însă până la moment n</w:t>
      </w:r>
      <w:r w:rsidR="00BD7994" w:rsidRPr="009E5B39">
        <w:rPr>
          <w:rFonts w:asciiTheme="majorHAnsi" w:hAnsiTheme="majorHAnsi" w:cstheme="majorHAnsi"/>
          <w:sz w:val="24"/>
          <w:szCs w:val="24"/>
          <w:lang w:val="ro-MD"/>
        </w:rPr>
        <w:t>u sunt</w:t>
      </w:r>
      <w:r w:rsidRPr="009E5B39">
        <w:rPr>
          <w:rFonts w:asciiTheme="majorHAnsi" w:hAnsiTheme="majorHAnsi" w:cstheme="majorHAnsi"/>
          <w:sz w:val="24"/>
          <w:szCs w:val="24"/>
          <w:lang w:val="ro-MD"/>
        </w:rPr>
        <w:t xml:space="preserve"> întreprinse măsuri pentru demararea procedurii de reorganizare a acesteia. ÎM DCC face parte din domeniul privat al municipiului Chișinău, își desfășoară activitatea în baza patrimoniului public, transmis acesteia în gestiune/folosință, deci acesta poate fi urmărit/sechestrat/vândut,  ceea ce creează riscul pierderii patrimoniului municipal aflat la balanța acestei întreprinderi. Deși ÎM DCC activează în continuare ca întreprindere municipală și nu are statut de instituție publică, CMC și Primarul general autorizează finanțarea directă </w:t>
      </w:r>
      <w:r w:rsidR="009A3EBE" w:rsidRPr="009E5B39">
        <w:rPr>
          <w:rFonts w:asciiTheme="majorHAnsi" w:hAnsiTheme="majorHAnsi" w:cstheme="majorHAnsi"/>
          <w:sz w:val="24"/>
          <w:szCs w:val="24"/>
          <w:lang w:val="ro-MD"/>
        </w:rPr>
        <w:t>a acesteia din</w:t>
      </w:r>
      <w:r w:rsidRPr="009E5B39">
        <w:rPr>
          <w:rFonts w:asciiTheme="majorHAnsi" w:hAnsiTheme="majorHAnsi" w:cstheme="majorHAnsi"/>
          <w:sz w:val="24"/>
          <w:szCs w:val="24"/>
          <w:lang w:val="ro-MD"/>
        </w:rPr>
        <w:t xml:space="preserve"> bugetul municipal</w:t>
      </w:r>
      <w:r w:rsidR="009A3EB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ÎM </w:t>
      </w:r>
      <w:r w:rsidR="009A3EBE" w:rsidRPr="009E5B39">
        <w:rPr>
          <w:rFonts w:asciiTheme="majorHAnsi" w:hAnsiTheme="majorHAnsi" w:cstheme="majorHAnsi"/>
          <w:sz w:val="24"/>
          <w:szCs w:val="24"/>
          <w:lang w:val="ro-MD"/>
        </w:rPr>
        <w:t xml:space="preserve">DCC </w:t>
      </w:r>
      <w:r w:rsidRPr="009E5B39">
        <w:rPr>
          <w:rFonts w:asciiTheme="majorHAnsi" w:hAnsiTheme="majorHAnsi" w:cstheme="majorHAnsi"/>
          <w:sz w:val="24"/>
          <w:szCs w:val="24"/>
          <w:lang w:val="ro-MD"/>
        </w:rPr>
        <w:t>activează și raportează ca agent economic și</w:t>
      </w:r>
      <w:r w:rsidR="00BD799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totodată</w:t>
      </w:r>
      <w:r w:rsidR="00BD799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ca executor de buget (unele date), care se consolidează în rapoartele financiare ale UAT de nivelul II mun. Chișinău. Neimplementarea deciziei CMC în cauză a fost menționat</w:t>
      </w:r>
      <w:r w:rsidR="00BD7994"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de nenumărate ori în rapoartele CCRM din ultimii 12 ani.</w:t>
      </w:r>
      <w:r w:rsidR="00DC1901" w:rsidRPr="009E5B39">
        <w:rPr>
          <w:rFonts w:asciiTheme="majorHAnsi" w:hAnsiTheme="majorHAnsi" w:cstheme="majorHAnsi"/>
          <w:b/>
          <w:sz w:val="24"/>
          <w:szCs w:val="24"/>
          <w:lang w:val="ro-MD"/>
        </w:rPr>
        <w:t xml:space="preserve"> </w:t>
      </w:r>
      <w:r w:rsidR="00DC1901" w:rsidRPr="009E5B39">
        <w:rPr>
          <w:rFonts w:asciiTheme="majorHAnsi" w:hAnsiTheme="majorHAnsi" w:cstheme="majorHAnsi"/>
          <w:bCs/>
          <w:sz w:val="24"/>
          <w:szCs w:val="24"/>
          <w:lang w:val="ro-MD"/>
        </w:rPr>
        <w:t>De asemenea,</w:t>
      </w:r>
      <w:r w:rsidR="00DC1901" w:rsidRPr="009E5B39">
        <w:rPr>
          <w:rFonts w:asciiTheme="majorHAnsi" w:hAnsiTheme="majorHAnsi" w:cstheme="majorHAnsi"/>
          <w:b/>
          <w:sz w:val="24"/>
          <w:szCs w:val="24"/>
          <w:lang w:val="ro-MD"/>
        </w:rPr>
        <w:t xml:space="preserve"> deși CCRM</w:t>
      </w:r>
      <w:r w:rsidR="00BD7994" w:rsidRPr="009E5B39">
        <w:rPr>
          <w:rFonts w:asciiTheme="majorHAnsi" w:hAnsiTheme="majorHAnsi" w:cstheme="majorHAnsi"/>
          <w:b/>
          <w:sz w:val="24"/>
          <w:szCs w:val="24"/>
          <w:lang w:val="ro-MD"/>
        </w:rPr>
        <w:t xml:space="preserve"> </w:t>
      </w:r>
      <w:r w:rsidR="00DC1901" w:rsidRPr="009E5B39">
        <w:rPr>
          <w:rFonts w:asciiTheme="majorHAnsi" w:hAnsiTheme="majorHAnsi" w:cstheme="majorHAnsi"/>
          <w:b/>
          <w:sz w:val="24"/>
          <w:szCs w:val="24"/>
          <w:lang w:val="ro-MD"/>
        </w:rPr>
        <w:t>a atenționat în Rapoartele precedente despre</w:t>
      </w:r>
      <w:r w:rsidR="00DC1901" w:rsidRPr="009E5B39">
        <w:rPr>
          <w:rFonts w:asciiTheme="majorHAnsi" w:hAnsiTheme="majorHAnsi" w:cstheme="majorHAnsi"/>
          <w:sz w:val="24"/>
          <w:szCs w:val="24"/>
          <w:lang w:val="ro-MD"/>
        </w:rPr>
        <w:t xml:space="preserve"> </w:t>
      </w:r>
      <w:r w:rsidR="00DC1901" w:rsidRPr="009E5B39">
        <w:rPr>
          <w:rFonts w:asciiTheme="majorHAnsi" w:hAnsiTheme="majorHAnsi" w:cstheme="majorHAnsi"/>
          <w:b/>
          <w:sz w:val="24"/>
          <w:szCs w:val="24"/>
          <w:lang w:val="ro-MD"/>
        </w:rPr>
        <w:t>existența neconcordanței dintre valoarea capitalului social înregistrat în evidența contabilă (</w:t>
      </w:r>
      <w:r w:rsidR="00DC1901" w:rsidRPr="009E5B39">
        <w:rPr>
          <w:rFonts w:asciiTheme="majorHAnsi" w:hAnsiTheme="majorHAnsi" w:cstheme="majorHAnsi"/>
          <w:sz w:val="24"/>
          <w:szCs w:val="24"/>
          <w:lang w:val="ro-MD"/>
        </w:rPr>
        <w:t>216,3 mii lei</w:t>
      </w:r>
      <w:r w:rsidR="00DC1901" w:rsidRPr="009E5B39">
        <w:rPr>
          <w:rFonts w:asciiTheme="majorHAnsi" w:hAnsiTheme="majorHAnsi" w:cstheme="majorHAnsi"/>
          <w:b/>
          <w:sz w:val="24"/>
          <w:szCs w:val="24"/>
          <w:lang w:val="ro-MD"/>
        </w:rPr>
        <w:t>) și cea  înregistrată la ASP (</w:t>
      </w:r>
      <w:r w:rsidR="00DC1901" w:rsidRPr="009E5B39">
        <w:rPr>
          <w:rFonts w:asciiTheme="majorHAnsi" w:hAnsiTheme="majorHAnsi" w:cstheme="majorHAnsi"/>
          <w:sz w:val="24"/>
          <w:szCs w:val="24"/>
          <w:lang w:val="ro-MD"/>
        </w:rPr>
        <w:t>346</w:t>
      </w:r>
      <w:r w:rsidR="00892AF2" w:rsidRPr="009E5B39">
        <w:rPr>
          <w:rFonts w:asciiTheme="majorHAnsi" w:hAnsiTheme="majorHAnsi" w:cstheme="majorHAnsi"/>
          <w:sz w:val="24"/>
          <w:szCs w:val="24"/>
          <w:lang w:val="ro-MD"/>
        </w:rPr>
        <w:t>,</w:t>
      </w:r>
      <w:r w:rsidR="00DC1901" w:rsidRPr="009E5B39">
        <w:rPr>
          <w:rFonts w:asciiTheme="majorHAnsi" w:hAnsiTheme="majorHAnsi" w:cstheme="majorHAnsi"/>
          <w:sz w:val="24"/>
          <w:szCs w:val="24"/>
          <w:lang w:val="ro-MD"/>
        </w:rPr>
        <w:t>5</w:t>
      </w:r>
      <w:r w:rsidR="00892AF2" w:rsidRPr="009E5B39">
        <w:rPr>
          <w:rFonts w:asciiTheme="majorHAnsi" w:hAnsiTheme="majorHAnsi" w:cstheme="majorHAnsi"/>
          <w:sz w:val="24"/>
          <w:szCs w:val="24"/>
          <w:lang w:val="ro-MD"/>
        </w:rPr>
        <w:t>1</w:t>
      </w:r>
      <w:r w:rsidR="00DC1901" w:rsidRPr="009E5B39">
        <w:rPr>
          <w:rFonts w:asciiTheme="majorHAnsi" w:hAnsiTheme="majorHAnsi" w:cstheme="majorHAnsi"/>
          <w:sz w:val="24"/>
          <w:szCs w:val="24"/>
          <w:lang w:val="ro-MD"/>
        </w:rPr>
        <w:t xml:space="preserve"> mi</w:t>
      </w:r>
      <w:r w:rsidR="00892AF2" w:rsidRPr="009E5B39">
        <w:rPr>
          <w:rFonts w:asciiTheme="majorHAnsi" w:hAnsiTheme="majorHAnsi" w:cstheme="majorHAnsi"/>
          <w:sz w:val="24"/>
          <w:szCs w:val="24"/>
          <w:lang w:val="ro-MD"/>
        </w:rPr>
        <w:t>l</w:t>
      </w:r>
      <w:r w:rsidR="00DC1901" w:rsidRPr="009E5B39">
        <w:rPr>
          <w:rFonts w:asciiTheme="majorHAnsi" w:hAnsiTheme="majorHAnsi" w:cstheme="majorHAnsi"/>
          <w:sz w:val="24"/>
          <w:szCs w:val="24"/>
          <w:lang w:val="ro-MD"/>
        </w:rPr>
        <w:t xml:space="preserve"> lei</w:t>
      </w:r>
      <w:r w:rsidR="00DC1901" w:rsidRPr="009E5B39">
        <w:rPr>
          <w:rFonts w:asciiTheme="majorHAnsi" w:hAnsiTheme="majorHAnsi" w:cstheme="majorHAnsi"/>
          <w:b/>
          <w:sz w:val="24"/>
          <w:szCs w:val="24"/>
          <w:lang w:val="ro-MD"/>
        </w:rPr>
        <w:t>)</w:t>
      </w:r>
      <w:r w:rsidR="00BD7994" w:rsidRPr="009E5B39">
        <w:rPr>
          <w:rFonts w:asciiTheme="majorHAnsi" w:hAnsiTheme="majorHAnsi" w:cstheme="majorHAnsi"/>
          <w:b/>
          <w:sz w:val="24"/>
          <w:szCs w:val="24"/>
          <w:lang w:val="ro-MD"/>
        </w:rPr>
        <w:t>,</w:t>
      </w:r>
      <w:r w:rsidR="00DC1901" w:rsidRPr="009E5B39">
        <w:rPr>
          <w:rFonts w:asciiTheme="majorHAnsi" w:hAnsiTheme="majorHAnsi" w:cstheme="majorHAnsi"/>
          <w:b/>
          <w:sz w:val="24"/>
          <w:szCs w:val="24"/>
          <w:lang w:val="ro-MD"/>
        </w:rPr>
        <w:t xml:space="preserve"> în valoare de </w:t>
      </w:r>
      <w:r w:rsidR="00DC1901" w:rsidRPr="009E5B39">
        <w:rPr>
          <w:rFonts w:asciiTheme="majorHAnsi" w:hAnsiTheme="majorHAnsi" w:cstheme="majorHAnsi"/>
          <w:sz w:val="24"/>
          <w:szCs w:val="24"/>
          <w:lang w:val="ro-MD"/>
        </w:rPr>
        <w:t>346</w:t>
      </w:r>
      <w:r w:rsidR="00892AF2" w:rsidRPr="009E5B39">
        <w:rPr>
          <w:rFonts w:asciiTheme="majorHAnsi" w:hAnsiTheme="majorHAnsi" w:cstheme="majorHAnsi"/>
          <w:sz w:val="24"/>
          <w:szCs w:val="24"/>
          <w:lang w:val="ro-MD"/>
        </w:rPr>
        <w:t>,</w:t>
      </w:r>
      <w:r w:rsidR="00DC1901" w:rsidRPr="009E5B39">
        <w:rPr>
          <w:rFonts w:asciiTheme="majorHAnsi" w:hAnsiTheme="majorHAnsi" w:cstheme="majorHAnsi"/>
          <w:sz w:val="24"/>
          <w:szCs w:val="24"/>
          <w:lang w:val="ro-MD"/>
        </w:rPr>
        <w:t>29 mi</w:t>
      </w:r>
      <w:r w:rsidR="00892AF2" w:rsidRPr="009E5B39">
        <w:rPr>
          <w:rFonts w:asciiTheme="majorHAnsi" w:hAnsiTheme="majorHAnsi" w:cstheme="majorHAnsi"/>
          <w:sz w:val="24"/>
          <w:szCs w:val="24"/>
          <w:lang w:val="ro-MD"/>
        </w:rPr>
        <w:t>l</w:t>
      </w:r>
      <w:r w:rsidR="00BD7994" w:rsidRPr="009E5B39">
        <w:rPr>
          <w:rFonts w:asciiTheme="majorHAnsi" w:hAnsiTheme="majorHAnsi" w:cstheme="majorHAnsi"/>
          <w:sz w:val="24"/>
          <w:szCs w:val="24"/>
          <w:lang w:val="ro-MD"/>
        </w:rPr>
        <w:t>.</w:t>
      </w:r>
      <w:r w:rsidR="00DC1901" w:rsidRPr="009E5B39">
        <w:rPr>
          <w:rFonts w:asciiTheme="majorHAnsi" w:hAnsiTheme="majorHAnsi" w:cstheme="majorHAnsi"/>
          <w:sz w:val="24"/>
          <w:szCs w:val="24"/>
          <w:lang w:val="ro-MD"/>
        </w:rPr>
        <w:t xml:space="preserve"> lei, </w:t>
      </w:r>
      <w:r w:rsidR="00DC1901" w:rsidRPr="009E5B39">
        <w:rPr>
          <w:rFonts w:asciiTheme="majorHAnsi" w:hAnsiTheme="majorHAnsi" w:cstheme="majorHAnsi"/>
          <w:b/>
          <w:sz w:val="24"/>
          <w:szCs w:val="24"/>
          <w:lang w:val="ro-MD"/>
        </w:rPr>
        <w:t>până  în prezent situația rămâne neschimbată</w:t>
      </w:r>
      <w:r w:rsidR="00DC1901" w:rsidRPr="009E5B39">
        <w:rPr>
          <w:rFonts w:asciiTheme="majorHAnsi" w:hAnsiTheme="majorHAnsi" w:cstheme="majorHAnsi"/>
          <w:sz w:val="24"/>
          <w:szCs w:val="24"/>
          <w:lang w:val="ro-MD"/>
        </w:rPr>
        <w:t xml:space="preserve">. </w:t>
      </w:r>
    </w:p>
    <w:p w14:paraId="7E876B29" w14:textId="7A06445E" w:rsidR="00A214E4" w:rsidRPr="009E5B39" w:rsidRDefault="00D91A18" w:rsidP="003C5073">
      <w:pPr>
        <w:pStyle w:val="ListParagraph"/>
        <w:numPr>
          <w:ilvl w:val="0"/>
          <w:numId w:val="118"/>
        </w:numPr>
        <w:spacing w:after="0" w:line="276" w:lineRule="auto"/>
        <w:ind w:left="0" w:firstLine="360"/>
        <w:jc w:val="both"/>
        <w:rPr>
          <w:rFonts w:asciiTheme="majorHAnsi" w:hAnsiTheme="majorHAnsi" w:cstheme="majorHAnsi"/>
          <w:sz w:val="24"/>
          <w:szCs w:val="24"/>
          <w:lang w:val="ro-MD"/>
        </w:rPr>
      </w:pPr>
      <w:r w:rsidRPr="009E5B39">
        <w:rPr>
          <w:rFonts w:asciiTheme="majorHAnsi" w:hAnsiTheme="majorHAnsi" w:cstheme="majorHAnsi"/>
          <w:b/>
          <w:i/>
          <w:sz w:val="24"/>
          <w:szCs w:val="24"/>
          <w:lang w:val="ro-MD"/>
        </w:rPr>
        <w:t xml:space="preserve"> </w:t>
      </w:r>
      <w:r w:rsidRPr="009E5B39">
        <w:rPr>
          <w:rFonts w:asciiTheme="majorHAnsi" w:hAnsiTheme="majorHAnsi" w:cstheme="majorHAnsi"/>
          <w:sz w:val="24"/>
          <w:szCs w:val="24"/>
          <w:lang w:val="ro-MD"/>
        </w:rPr>
        <w:t>ÎM DCC, cu acordul CMC</w:t>
      </w:r>
      <w:r w:rsidRPr="009E5B39">
        <w:rPr>
          <w:vertAlign w:val="superscript"/>
          <w:lang w:val="ro-MD"/>
        </w:rPr>
        <w:footnoteReference w:id="219"/>
      </w:r>
      <w:r w:rsidRPr="009E5B39">
        <w:rPr>
          <w:rFonts w:asciiTheme="majorHAnsi" w:hAnsiTheme="majorHAnsi" w:cstheme="majorHAnsi"/>
          <w:sz w:val="24"/>
          <w:szCs w:val="24"/>
          <w:lang w:val="ro-MD"/>
        </w:rPr>
        <w:t>, participă în capitalul social al unui agent economic (Centrul de Semiconductori „Optron-Lux” SRL (c/f 1003600164575)), cu</w:t>
      </w:r>
      <w:r w:rsidR="009A3EBE" w:rsidRPr="009E5B39">
        <w:rPr>
          <w:rFonts w:asciiTheme="majorHAnsi" w:hAnsiTheme="majorHAnsi" w:cstheme="majorHAnsi"/>
          <w:sz w:val="24"/>
          <w:szCs w:val="24"/>
          <w:lang w:val="ro-MD"/>
        </w:rPr>
        <w:t xml:space="preserve"> o</w:t>
      </w:r>
      <w:r w:rsidRPr="009E5B39">
        <w:rPr>
          <w:rFonts w:asciiTheme="majorHAnsi" w:hAnsiTheme="majorHAnsi" w:cstheme="majorHAnsi"/>
          <w:sz w:val="24"/>
          <w:szCs w:val="24"/>
          <w:lang w:val="ro-MD"/>
        </w:rPr>
        <w:t xml:space="preserve"> cot</w:t>
      </w:r>
      <w:r w:rsidR="009A3EBE"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-parte</w:t>
      </w:r>
      <w:r w:rsidR="009A3EBE" w:rsidRPr="009E5B39">
        <w:rPr>
          <w:rFonts w:asciiTheme="majorHAnsi" w:hAnsiTheme="majorHAnsi" w:cstheme="majorHAnsi"/>
          <w:sz w:val="24"/>
          <w:szCs w:val="24"/>
          <w:lang w:val="ro-MD"/>
        </w:rPr>
        <w:t xml:space="preserve"> de 33,2%</w:t>
      </w:r>
      <w:r w:rsidRPr="009E5B39">
        <w:rPr>
          <w:rFonts w:asciiTheme="majorHAnsi" w:hAnsiTheme="majorHAnsi" w:cstheme="majorHAnsi"/>
          <w:sz w:val="24"/>
          <w:szCs w:val="24"/>
          <w:lang w:val="ro-MD"/>
        </w:rPr>
        <w:t xml:space="preserve">, alături de o persoană fizică – cu cota-parte de </w:t>
      </w:r>
      <w:r w:rsidRPr="009E5B39">
        <w:rPr>
          <w:rFonts w:asciiTheme="majorHAnsi" w:hAnsiTheme="majorHAnsi" w:cstheme="majorHAnsi"/>
          <w:i/>
          <w:sz w:val="24"/>
          <w:szCs w:val="24"/>
          <w:lang w:val="ro-MD"/>
        </w:rPr>
        <w:t>51,06%</w:t>
      </w:r>
      <w:r w:rsidR="00BD7994" w:rsidRPr="009E5B39">
        <w:rPr>
          <w:rFonts w:asciiTheme="majorHAnsi" w:hAnsiTheme="majorHAnsi" w:cstheme="majorHAnsi"/>
          <w:i/>
          <w:sz w:val="24"/>
          <w:szCs w:val="24"/>
          <w:lang w:val="ro-MD"/>
        </w:rPr>
        <w:t>,</w:t>
      </w:r>
      <w:r w:rsidRPr="009E5B39">
        <w:rPr>
          <w:rFonts w:asciiTheme="majorHAnsi" w:hAnsiTheme="majorHAnsi" w:cstheme="majorHAnsi"/>
          <w:sz w:val="24"/>
          <w:szCs w:val="24"/>
          <w:lang w:val="ro-MD"/>
        </w:rPr>
        <w:t xml:space="preserve"> și SA Centrul de Știință și Inginerie Informinstrument, unde persoana fizică respectivă, la moment</w:t>
      </w:r>
      <w:r w:rsidR="00BD799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deține funcția de director- cu cota-parte de </w:t>
      </w:r>
      <w:r w:rsidRPr="009E5B39">
        <w:rPr>
          <w:rFonts w:asciiTheme="majorHAnsi" w:hAnsiTheme="majorHAnsi" w:cstheme="majorHAnsi"/>
          <w:i/>
          <w:sz w:val="24"/>
          <w:szCs w:val="24"/>
          <w:lang w:val="ro-MD"/>
        </w:rPr>
        <w:t xml:space="preserve">15,74%. </w:t>
      </w:r>
      <w:r w:rsidR="00E22351" w:rsidRPr="009E5B39">
        <w:rPr>
          <w:rFonts w:asciiTheme="majorHAnsi" w:hAnsiTheme="majorHAnsi" w:cstheme="majorHAnsi"/>
          <w:sz w:val="24"/>
          <w:szCs w:val="24"/>
          <w:lang w:val="ro-MD"/>
        </w:rPr>
        <w:t xml:space="preserve">Potrivit capitolului 3 din Statutul CS „Optron – Lux” SRL, valoarea capitalului social constituie 756,0 mii lei. Respectiv, cota-parte în capitalul social al ÎM DCC constituie </w:t>
      </w:r>
      <w:r w:rsidR="00E22351" w:rsidRPr="009E5B39">
        <w:rPr>
          <w:rFonts w:asciiTheme="majorHAnsi" w:hAnsiTheme="majorHAnsi" w:cstheme="majorHAnsi"/>
          <w:b/>
          <w:i/>
          <w:sz w:val="24"/>
          <w:szCs w:val="24"/>
          <w:lang w:val="ro-MD"/>
        </w:rPr>
        <w:t>251,0 mii lei</w:t>
      </w:r>
      <w:r w:rsidR="00E22351" w:rsidRPr="009E5B39">
        <w:rPr>
          <w:rStyle w:val="FootnoteReference"/>
          <w:rFonts w:asciiTheme="majorHAnsi" w:hAnsiTheme="majorHAnsi" w:cstheme="majorHAnsi"/>
          <w:b/>
          <w:i/>
          <w:sz w:val="24"/>
          <w:szCs w:val="24"/>
          <w:lang w:val="ro-MD"/>
        </w:rPr>
        <w:footnoteReference w:id="220"/>
      </w:r>
      <w:r w:rsidR="00E22351" w:rsidRPr="009E5B39">
        <w:rPr>
          <w:rFonts w:asciiTheme="majorHAnsi" w:hAnsiTheme="majorHAnsi" w:cstheme="majorHAnsi"/>
          <w:sz w:val="24"/>
          <w:szCs w:val="24"/>
          <w:lang w:val="ro-MD"/>
        </w:rPr>
        <w:t xml:space="preserve"> . </w:t>
      </w:r>
      <w:r w:rsidRPr="009E5B39">
        <w:rPr>
          <w:rFonts w:asciiTheme="majorHAnsi" w:hAnsiTheme="majorHAnsi" w:cstheme="majorHAnsi"/>
          <w:sz w:val="24"/>
          <w:szCs w:val="24"/>
          <w:lang w:val="ro-MD"/>
        </w:rPr>
        <w:t xml:space="preserve">Ca aport în capitalul social, ÎM DCC a depus </w:t>
      </w:r>
      <w:r w:rsidRPr="009E5B39">
        <w:rPr>
          <w:rFonts w:asciiTheme="majorHAnsi" w:hAnsiTheme="majorHAnsi" w:cstheme="majorHAnsi"/>
          <w:i/>
          <w:sz w:val="24"/>
          <w:szCs w:val="24"/>
          <w:lang w:val="ro-MD"/>
        </w:rPr>
        <w:t xml:space="preserve">construcția nefinisată </w:t>
      </w:r>
      <w:r w:rsidRPr="009E5B39">
        <w:rPr>
          <w:rFonts w:asciiTheme="majorHAnsi" w:hAnsiTheme="majorHAnsi" w:cstheme="majorHAnsi"/>
          <w:sz w:val="24"/>
          <w:szCs w:val="24"/>
          <w:lang w:val="ro-MD"/>
        </w:rPr>
        <w:t>a clădirii grădiniței de copii nr.16 cu 660 locuri din microraionul 8 Budești-1, evaluată</w:t>
      </w:r>
      <w:r w:rsidR="00241A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la momentul depunerii, în valoare de 284</w:t>
      </w:r>
      <w:r w:rsidR="00241AFA" w:rsidRPr="009E5B39">
        <w:rPr>
          <w:rFonts w:asciiTheme="majorHAnsi" w:hAnsiTheme="majorHAnsi" w:cstheme="majorHAnsi"/>
          <w:sz w:val="24"/>
          <w:szCs w:val="24"/>
          <w:lang w:val="ro-MD"/>
        </w:rPr>
        <w:t>,0</w:t>
      </w:r>
      <w:r w:rsidR="0017589C" w:rsidRPr="009E5B39">
        <w:rPr>
          <w:rFonts w:asciiTheme="majorHAnsi" w:hAnsiTheme="majorHAnsi" w:cstheme="majorHAnsi"/>
          <w:sz w:val="24"/>
          <w:szCs w:val="24"/>
          <w:lang w:val="ro-MD"/>
        </w:rPr>
        <w:t xml:space="preserve"> mii</w:t>
      </w:r>
      <w:r w:rsidRPr="009E5B39">
        <w:rPr>
          <w:rFonts w:asciiTheme="majorHAnsi" w:hAnsiTheme="majorHAnsi" w:cstheme="majorHAnsi"/>
          <w:sz w:val="24"/>
          <w:szCs w:val="24"/>
          <w:lang w:val="ro-MD"/>
        </w:rPr>
        <w:t xml:space="preserve"> lei, inclusiv TVA </w:t>
      </w:r>
      <w:r w:rsidR="00BD7994"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47</w:t>
      </w:r>
      <w:r w:rsidR="00E2235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3</w:t>
      </w:r>
      <w:r w:rsidR="00E22351" w:rsidRPr="009E5B39">
        <w:rPr>
          <w:rFonts w:asciiTheme="majorHAnsi" w:hAnsiTheme="majorHAnsi" w:cstheme="majorHAnsi"/>
          <w:sz w:val="24"/>
          <w:szCs w:val="24"/>
          <w:lang w:val="ro-MD"/>
        </w:rPr>
        <w:t xml:space="preserve"> mii</w:t>
      </w:r>
      <w:r w:rsidRPr="009E5B39">
        <w:rPr>
          <w:rFonts w:asciiTheme="majorHAnsi" w:hAnsiTheme="majorHAnsi" w:cstheme="majorHAnsi"/>
          <w:sz w:val="24"/>
          <w:szCs w:val="24"/>
          <w:lang w:val="ro-MD"/>
        </w:rPr>
        <w:t xml:space="preserve"> lei</w:t>
      </w:r>
      <w:r w:rsidRPr="009E5B39">
        <w:rPr>
          <w:vertAlign w:val="superscript"/>
          <w:lang w:val="ro-MD"/>
        </w:rPr>
        <w:footnoteReference w:id="221"/>
      </w:r>
      <w:r w:rsidRPr="009E5B39">
        <w:rPr>
          <w:rFonts w:asciiTheme="majorHAnsi" w:hAnsiTheme="majorHAnsi" w:cstheme="majorHAnsi"/>
          <w:sz w:val="24"/>
          <w:szCs w:val="24"/>
          <w:lang w:val="ro-MD"/>
        </w:rPr>
        <w:t>. Deși</w:t>
      </w:r>
      <w:r w:rsidR="00241A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conform </w:t>
      </w:r>
      <w:r w:rsidR="00241AFA" w:rsidRPr="009E5B39">
        <w:rPr>
          <w:rFonts w:asciiTheme="majorHAnsi" w:hAnsiTheme="majorHAnsi" w:cstheme="majorHAnsi"/>
          <w:sz w:val="24"/>
          <w:szCs w:val="24"/>
          <w:lang w:val="ro-MD"/>
        </w:rPr>
        <w:t>D</w:t>
      </w:r>
      <w:r w:rsidRPr="009E5B39">
        <w:rPr>
          <w:rFonts w:asciiTheme="majorHAnsi" w:hAnsiTheme="majorHAnsi" w:cstheme="majorHAnsi"/>
          <w:sz w:val="24"/>
          <w:szCs w:val="24"/>
          <w:lang w:val="ro-MD"/>
        </w:rPr>
        <w:t xml:space="preserve">eciziei CMC nr.6/14 din 04.10.2018, CMC a abrogat decizia prin care a permis participarea ÎM DCC în capitalul social și retragerea acesteia din componența SRL </w:t>
      </w:r>
      <w:r w:rsidR="00241A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Optron-Lux</w:t>
      </w:r>
      <w:r w:rsidR="00241A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până la momentul desfășurării misiunii de audit, această decizie nu a fost executată. APL, în </w:t>
      </w:r>
      <w:r w:rsidR="00241AFA"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 xml:space="preserve">2021, odată cu înregistrarea dreptului de proprietate asupra terenului aferent (cod cadastral 0100313243) cu suprafața de 1,6897 ha, nu a înregistrat </w:t>
      </w:r>
      <w:r w:rsidR="009A3EBE" w:rsidRPr="009E5B39">
        <w:rPr>
          <w:rFonts w:asciiTheme="majorHAnsi" w:hAnsiTheme="majorHAnsi" w:cstheme="majorHAnsi"/>
          <w:sz w:val="24"/>
          <w:szCs w:val="24"/>
          <w:lang w:val="ro-MD"/>
        </w:rPr>
        <w:t xml:space="preserve">și </w:t>
      </w:r>
      <w:r w:rsidRPr="009E5B39">
        <w:rPr>
          <w:rFonts w:asciiTheme="majorHAnsi" w:hAnsiTheme="majorHAnsi" w:cstheme="majorHAnsi"/>
          <w:sz w:val="24"/>
          <w:szCs w:val="24"/>
          <w:lang w:val="ro-MD"/>
        </w:rPr>
        <w:t>dreptul de proprieta</w:t>
      </w:r>
      <w:r w:rsidR="009A3EBE" w:rsidRPr="009E5B39">
        <w:rPr>
          <w:rFonts w:asciiTheme="majorHAnsi" w:hAnsiTheme="majorHAnsi" w:cstheme="majorHAnsi"/>
          <w:sz w:val="24"/>
          <w:szCs w:val="24"/>
          <w:lang w:val="ro-MD"/>
        </w:rPr>
        <w:t xml:space="preserve">te asupra </w:t>
      </w:r>
      <w:r w:rsidRPr="009E5B39">
        <w:rPr>
          <w:rFonts w:asciiTheme="majorHAnsi" w:hAnsiTheme="majorHAnsi" w:cstheme="majorHAnsi"/>
          <w:sz w:val="24"/>
          <w:szCs w:val="24"/>
          <w:lang w:val="ro-MD"/>
        </w:rPr>
        <w:t xml:space="preserve">bunului imobil respectiv. </w:t>
      </w:r>
      <w:r w:rsidR="00E22351" w:rsidRPr="009E5B39">
        <w:rPr>
          <w:rFonts w:asciiTheme="majorHAnsi" w:hAnsiTheme="majorHAnsi" w:cstheme="majorHAnsi"/>
          <w:sz w:val="24"/>
          <w:szCs w:val="24"/>
          <w:lang w:val="ro-MD"/>
        </w:rPr>
        <w:t xml:space="preserve">Cu nerespectarea SNC, contabilitatea ÎM DCC nu a înregistrat în evidența contabilă valoarea cotei-părți în capitalul social al SRL </w:t>
      </w:r>
      <w:r w:rsidR="00241AFA" w:rsidRPr="009E5B39">
        <w:rPr>
          <w:rFonts w:asciiTheme="majorHAnsi" w:hAnsiTheme="majorHAnsi" w:cstheme="majorHAnsi"/>
          <w:sz w:val="24"/>
          <w:szCs w:val="24"/>
          <w:lang w:val="ro-MD"/>
        </w:rPr>
        <w:t>„</w:t>
      </w:r>
      <w:r w:rsidR="00E22351" w:rsidRPr="009E5B39">
        <w:rPr>
          <w:rFonts w:asciiTheme="majorHAnsi" w:hAnsiTheme="majorHAnsi" w:cstheme="majorHAnsi"/>
          <w:sz w:val="24"/>
          <w:szCs w:val="24"/>
          <w:lang w:val="ro-MD"/>
        </w:rPr>
        <w:t>Optron –Lux</w:t>
      </w:r>
      <w:r w:rsidR="00241AFA" w:rsidRPr="009E5B39">
        <w:rPr>
          <w:rFonts w:asciiTheme="majorHAnsi" w:hAnsiTheme="majorHAnsi" w:cstheme="majorHAnsi"/>
          <w:sz w:val="24"/>
          <w:szCs w:val="24"/>
          <w:lang w:val="ro-MD"/>
        </w:rPr>
        <w:t>”</w:t>
      </w:r>
      <w:r w:rsidR="00E22351" w:rsidRPr="009E5B39">
        <w:rPr>
          <w:rFonts w:asciiTheme="majorHAnsi" w:hAnsiTheme="majorHAnsi" w:cstheme="majorHAnsi"/>
          <w:sz w:val="24"/>
          <w:szCs w:val="24"/>
          <w:lang w:val="ro-MD"/>
        </w:rPr>
        <w:t xml:space="preserve">, în sumă de </w:t>
      </w:r>
      <w:r w:rsidR="00E22351" w:rsidRPr="009E5B39">
        <w:rPr>
          <w:rFonts w:asciiTheme="majorHAnsi" w:hAnsiTheme="majorHAnsi" w:cstheme="majorHAnsi"/>
          <w:b/>
          <w:i/>
          <w:sz w:val="24"/>
          <w:szCs w:val="24"/>
          <w:lang w:val="ro-MD"/>
        </w:rPr>
        <w:t>251,0 mii lei</w:t>
      </w:r>
      <w:r w:rsidR="00E22351" w:rsidRPr="009E5B39">
        <w:rPr>
          <w:rFonts w:asciiTheme="majorHAnsi" w:hAnsiTheme="majorHAnsi" w:cstheme="majorHAnsi"/>
          <w:sz w:val="24"/>
          <w:szCs w:val="24"/>
          <w:lang w:val="ro-MD"/>
        </w:rPr>
        <w:t>, în schimb</w:t>
      </w:r>
      <w:r w:rsidRPr="009E5B39">
        <w:rPr>
          <w:rFonts w:asciiTheme="majorHAnsi" w:hAnsiTheme="majorHAnsi" w:cstheme="majorHAnsi"/>
          <w:sz w:val="24"/>
          <w:szCs w:val="24"/>
          <w:lang w:val="ro-MD"/>
        </w:rPr>
        <w:t xml:space="preserve"> aceasta are înregistrate, la contul 121 „Imobilizări corporale în curs de execuție”</w:t>
      </w:r>
      <w:r w:rsidR="00241A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lucrări </w:t>
      </w:r>
      <w:r w:rsidR="00E22351" w:rsidRPr="009E5B39">
        <w:rPr>
          <w:rFonts w:asciiTheme="majorHAnsi" w:hAnsiTheme="majorHAnsi" w:cstheme="majorHAnsi"/>
          <w:sz w:val="24"/>
          <w:szCs w:val="24"/>
          <w:lang w:val="ro-MD"/>
        </w:rPr>
        <w:t xml:space="preserve">efectuate la acest obiect în </w:t>
      </w:r>
      <w:r w:rsidRPr="009E5B39">
        <w:rPr>
          <w:rFonts w:asciiTheme="majorHAnsi" w:hAnsiTheme="majorHAnsi" w:cstheme="majorHAnsi"/>
          <w:sz w:val="24"/>
          <w:szCs w:val="24"/>
          <w:lang w:val="ro-MD"/>
        </w:rPr>
        <w:t xml:space="preserve">valoare de </w:t>
      </w:r>
      <w:r w:rsidRPr="009E5B39">
        <w:rPr>
          <w:rFonts w:asciiTheme="majorHAnsi" w:hAnsiTheme="majorHAnsi" w:cstheme="majorHAnsi"/>
          <w:b/>
          <w:i/>
          <w:sz w:val="24"/>
          <w:szCs w:val="24"/>
          <w:lang w:val="ro-MD"/>
        </w:rPr>
        <w:t>4</w:t>
      </w:r>
      <w:r w:rsidR="00892AF2" w:rsidRPr="009E5B39">
        <w:rPr>
          <w:rFonts w:asciiTheme="majorHAnsi" w:hAnsiTheme="majorHAnsi" w:cstheme="majorHAnsi"/>
          <w:b/>
          <w:i/>
          <w:sz w:val="24"/>
          <w:szCs w:val="24"/>
          <w:lang w:val="ro-MD"/>
        </w:rPr>
        <w:t>,1</w:t>
      </w:r>
      <w:r w:rsidRPr="009E5B39">
        <w:rPr>
          <w:rFonts w:asciiTheme="majorHAnsi" w:hAnsiTheme="majorHAnsi" w:cstheme="majorHAnsi"/>
          <w:b/>
          <w:i/>
          <w:sz w:val="24"/>
          <w:szCs w:val="24"/>
          <w:lang w:val="ro-MD"/>
        </w:rPr>
        <w:t>0 mi</w:t>
      </w:r>
      <w:r w:rsidR="00892AF2" w:rsidRPr="009E5B39">
        <w:rPr>
          <w:rFonts w:asciiTheme="majorHAnsi" w:hAnsiTheme="majorHAnsi" w:cstheme="majorHAnsi"/>
          <w:b/>
          <w:i/>
          <w:sz w:val="24"/>
          <w:szCs w:val="24"/>
          <w:lang w:val="ro-MD"/>
        </w:rPr>
        <w:t>l</w:t>
      </w:r>
      <w:r w:rsidR="00241AFA"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 xml:space="preserve"> lei,</w:t>
      </w:r>
      <w:r w:rsidRPr="009E5B39">
        <w:rPr>
          <w:rFonts w:asciiTheme="majorHAnsi" w:hAnsiTheme="majorHAnsi" w:cstheme="majorHAnsi"/>
          <w:sz w:val="24"/>
          <w:szCs w:val="24"/>
          <w:lang w:val="ro-MD"/>
        </w:rPr>
        <w:t xml:space="preserve"> executate în anul 2016, ce constituie 42,9% din valoarea de deviz (9552,6 mii lei).</w:t>
      </w:r>
      <w:r w:rsidR="00E22351" w:rsidRPr="009E5B39">
        <w:rPr>
          <w:rFonts w:asciiTheme="majorHAnsi" w:hAnsiTheme="majorHAnsi" w:cstheme="majorHAnsi"/>
          <w:sz w:val="24"/>
          <w:szCs w:val="24"/>
          <w:lang w:val="ro-MD"/>
        </w:rPr>
        <w:t xml:space="preserve"> </w:t>
      </w:r>
      <w:r w:rsidRPr="009E5B39">
        <w:rPr>
          <w:rFonts w:asciiTheme="majorHAnsi" w:hAnsiTheme="majorHAnsi" w:cstheme="majorHAnsi"/>
          <w:b/>
          <w:sz w:val="24"/>
          <w:szCs w:val="24"/>
          <w:lang w:val="ro-MD"/>
        </w:rPr>
        <w:t>Astfel</w:t>
      </w:r>
      <w:r w:rsidR="0017589C"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se creează riscul pierderii bunului imobil în curs de execuție – grădinița nr.16, din </w:t>
      </w:r>
      <w:r w:rsidR="00241AFA" w:rsidRPr="009E5B39">
        <w:rPr>
          <w:rFonts w:asciiTheme="majorHAnsi" w:hAnsiTheme="majorHAnsi" w:cstheme="majorHAnsi"/>
          <w:b/>
          <w:sz w:val="24"/>
          <w:szCs w:val="24"/>
          <w:lang w:val="ro-MD"/>
        </w:rPr>
        <w:t>bd</w:t>
      </w:r>
      <w:r w:rsidRPr="009E5B39">
        <w:rPr>
          <w:rFonts w:asciiTheme="majorHAnsi" w:hAnsiTheme="majorHAnsi" w:cstheme="majorHAnsi"/>
          <w:b/>
          <w:sz w:val="24"/>
          <w:szCs w:val="24"/>
          <w:lang w:val="ro-MD"/>
        </w:rPr>
        <w:t>. Mircea cel Bătr</w:t>
      </w:r>
      <w:r w:rsidR="00241AFA" w:rsidRPr="009E5B39">
        <w:rPr>
          <w:rFonts w:asciiTheme="majorHAnsi" w:hAnsiTheme="majorHAnsi" w:cstheme="majorHAnsi"/>
          <w:b/>
          <w:sz w:val="24"/>
          <w:szCs w:val="24"/>
          <w:lang w:val="ro-MD"/>
        </w:rPr>
        <w:t>â</w:t>
      </w:r>
      <w:r w:rsidRPr="009E5B39">
        <w:rPr>
          <w:rFonts w:asciiTheme="majorHAnsi" w:hAnsiTheme="majorHAnsi" w:cstheme="majorHAnsi"/>
          <w:b/>
          <w:sz w:val="24"/>
          <w:szCs w:val="24"/>
          <w:lang w:val="ro-MD"/>
        </w:rPr>
        <w:t xml:space="preserve">n. </w:t>
      </w:r>
      <w:r w:rsidRPr="009E5B39">
        <w:rPr>
          <w:rFonts w:asciiTheme="majorHAnsi" w:hAnsiTheme="majorHAnsi" w:cstheme="majorHAnsi"/>
          <w:sz w:val="24"/>
          <w:szCs w:val="24"/>
          <w:lang w:val="ro-MD"/>
        </w:rPr>
        <w:t>Potrivit datelor preluate din SIA a</w:t>
      </w:r>
      <w:r w:rsidR="00241AFA" w:rsidRPr="009E5B39">
        <w:rPr>
          <w:rFonts w:asciiTheme="majorHAnsi" w:hAnsiTheme="majorHAnsi" w:cstheme="majorHAnsi"/>
          <w:sz w:val="24"/>
          <w:szCs w:val="24"/>
          <w:lang w:val="ro-MD"/>
        </w:rPr>
        <w:t>l</w:t>
      </w:r>
      <w:r w:rsidRPr="009E5B39">
        <w:rPr>
          <w:rFonts w:asciiTheme="majorHAnsi" w:hAnsiTheme="majorHAnsi" w:cstheme="majorHAnsi"/>
          <w:sz w:val="24"/>
          <w:szCs w:val="24"/>
          <w:lang w:val="ro-MD"/>
        </w:rPr>
        <w:t xml:space="preserve"> SFS, în perioada 2018-2020, SRL </w:t>
      </w:r>
      <w:r w:rsidR="00241A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Optron-Lux</w:t>
      </w:r>
      <w:r w:rsidR="00241A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nu a prezentat Declarația cu privire la impozitul pe venit (Forma VEN12), ceea ce denotă că acest agent economic nu desfășoară activitate</w:t>
      </w:r>
      <w:r w:rsidRPr="009E5B39">
        <w:rPr>
          <w:rFonts w:asciiTheme="majorHAnsi" w:hAnsiTheme="majorHAnsi" w:cstheme="majorHAnsi"/>
          <w:b/>
          <w:i/>
          <w:sz w:val="24"/>
          <w:szCs w:val="24"/>
          <w:lang w:val="ro-MD"/>
        </w:rPr>
        <w:t xml:space="preserve">. </w:t>
      </w:r>
      <w:r w:rsidR="00C36757" w:rsidRPr="009E5B39">
        <w:rPr>
          <w:rFonts w:asciiTheme="majorHAnsi" w:hAnsiTheme="majorHAnsi" w:cstheme="majorHAnsi"/>
          <w:sz w:val="24"/>
          <w:szCs w:val="24"/>
          <w:lang w:val="ro-MD"/>
        </w:rPr>
        <w:t>ÎM DCC nu deține informații privind vărsarea cotelor</w:t>
      </w:r>
      <w:r w:rsidR="00241AFA" w:rsidRPr="009E5B39">
        <w:rPr>
          <w:rFonts w:asciiTheme="majorHAnsi" w:hAnsiTheme="majorHAnsi" w:cstheme="majorHAnsi"/>
          <w:sz w:val="24"/>
          <w:szCs w:val="24"/>
          <w:lang w:val="ro-MD"/>
        </w:rPr>
        <w:t>-</w:t>
      </w:r>
      <w:r w:rsidR="00C36757" w:rsidRPr="009E5B39">
        <w:rPr>
          <w:rFonts w:asciiTheme="majorHAnsi" w:hAnsiTheme="majorHAnsi" w:cstheme="majorHAnsi"/>
          <w:sz w:val="24"/>
          <w:szCs w:val="24"/>
          <w:lang w:val="ro-MD"/>
        </w:rPr>
        <w:t>părți de către ceilalți fondatori</w:t>
      </w:r>
      <w:r w:rsidR="000C490D" w:rsidRPr="009E5B39">
        <w:rPr>
          <w:rFonts w:asciiTheme="majorHAnsi" w:hAnsiTheme="majorHAnsi" w:cstheme="majorHAnsi"/>
          <w:sz w:val="24"/>
          <w:szCs w:val="24"/>
          <w:lang w:val="ro-MD"/>
        </w:rPr>
        <w:t>.</w:t>
      </w:r>
      <w:r w:rsidR="00241AFA" w:rsidRPr="009E5B39">
        <w:rPr>
          <w:rFonts w:asciiTheme="majorHAnsi" w:hAnsiTheme="majorHAnsi" w:cstheme="majorHAnsi"/>
          <w:sz w:val="24"/>
          <w:szCs w:val="24"/>
          <w:lang w:val="ro-MD"/>
        </w:rPr>
        <w:t xml:space="preserve"> C</w:t>
      </w:r>
      <w:r w:rsidR="00C36757" w:rsidRPr="009E5B39">
        <w:rPr>
          <w:rFonts w:asciiTheme="majorHAnsi" w:hAnsiTheme="majorHAnsi" w:cstheme="majorHAnsi"/>
          <w:sz w:val="24"/>
          <w:szCs w:val="24"/>
          <w:lang w:val="ro-MD"/>
        </w:rPr>
        <w:t>a urmare</w:t>
      </w:r>
      <w:r w:rsidR="00241AFA" w:rsidRPr="009E5B39">
        <w:rPr>
          <w:rFonts w:asciiTheme="majorHAnsi" w:hAnsiTheme="majorHAnsi" w:cstheme="majorHAnsi"/>
          <w:sz w:val="24"/>
          <w:szCs w:val="24"/>
          <w:lang w:val="ro-MD"/>
        </w:rPr>
        <w:t>,</w:t>
      </w:r>
      <w:r w:rsidR="00C36757" w:rsidRPr="009E5B39">
        <w:rPr>
          <w:rFonts w:asciiTheme="majorHAnsi" w:hAnsiTheme="majorHAnsi" w:cstheme="majorHAnsi"/>
          <w:sz w:val="24"/>
          <w:szCs w:val="24"/>
          <w:lang w:val="ro-MD"/>
        </w:rPr>
        <w:t xml:space="preserve"> </w:t>
      </w:r>
      <w:r w:rsidR="00C36757" w:rsidRPr="009E5B39">
        <w:rPr>
          <w:rFonts w:asciiTheme="majorHAnsi" w:hAnsiTheme="majorHAnsi" w:cstheme="majorHAnsi"/>
          <w:b/>
          <w:i/>
          <w:sz w:val="24"/>
          <w:szCs w:val="24"/>
          <w:lang w:val="ro-MD"/>
        </w:rPr>
        <w:t>g</w:t>
      </w:r>
      <w:r w:rsidRPr="009E5B39">
        <w:rPr>
          <w:rFonts w:asciiTheme="majorHAnsi" w:hAnsiTheme="majorHAnsi" w:cstheme="majorHAnsi"/>
          <w:b/>
          <w:i/>
          <w:sz w:val="24"/>
          <w:szCs w:val="24"/>
          <w:lang w:val="ro-MD"/>
        </w:rPr>
        <w:t>hidându-se de prevederil</w:t>
      </w:r>
      <w:r w:rsidR="00241AFA" w:rsidRPr="009E5B39">
        <w:rPr>
          <w:rFonts w:asciiTheme="majorHAnsi" w:hAnsiTheme="majorHAnsi" w:cstheme="majorHAnsi"/>
          <w:b/>
          <w:i/>
          <w:sz w:val="24"/>
          <w:szCs w:val="24"/>
          <w:lang w:val="ro-MD"/>
        </w:rPr>
        <w:t>e</w:t>
      </w:r>
      <w:r w:rsidRPr="009E5B39">
        <w:rPr>
          <w:rFonts w:asciiTheme="majorHAnsi" w:hAnsiTheme="majorHAnsi" w:cstheme="majorHAnsi"/>
          <w:b/>
          <w:i/>
          <w:sz w:val="24"/>
          <w:szCs w:val="24"/>
          <w:lang w:val="ro-MD"/>
        </w:rPr>
        <w:t xml:space="preserve"> Leg</w:t>
      </w:r>
      <w:r w:rsidR="00C36757" w:rsidRPr="009E5B39">
        <w:rPr>
          <w:rFonts w:asciiTheme="majorHAnsi" w:hAnsiTheme="majorHAnsi" w:cstheme="majorHAnsi"/>
          <w:b/>
          <w:i/>
          <w:sz w:val="24"/>
          <w:szCs w:val="24"/>
          <w:lang w:val="ro-MD"/>
        </w:rPr>
        <w:t>ii</w:t>
      </w:r>
      <w:r w:rsidRPr="009E5B39">
        <w:rPr>
          <w:rFonts w:asciiTheme="majorHAnsi" w:hAnsiTheme="majorHAnsi" w:cstheme="majorHAnsi"/>
          <w:b/>
          <w:i/>
          <w:sz w:val="24"/>
          <w:szCs w:val="24"/>
          <w:lang w:val="ro-MD"/>
        </w:rPr>
        <w:t xml:space="preserve"> </w:t>
      </w:r>
      <w:r w:rsidR="00241AFA" w:rsidRPr="009E5B39">
        <w:rPr>
          <w:rFonts w:asciiTheme="majorHAnsi" w:hAnsiTheme="majorHAnsi" w:cstheme="majorHAnsi"/>
          <w:b/>
          <w:i/>
          <w:sz w:val="24"/>
          <w:szCs w:val="24"/>
          <w:lang w:val="ro-MD"/>
        </w:rPr>
        <w:t>p</w:t>
      </w:r>
      <w:r w:rsidRPr="009E5B39">
        <w:rPr>
          <w:rFonts w:asciiTheme="majorHAnsi" w:hAnsiTheme="majorHAnsi" w:cstheme="majorHAnsi"/>
          <w:b/>
          <w:i/>
          <w:sz w:val="24"/>
          <w:szCs w:val="24"/>
          <w:lang w:val="ro-MD"/>
        </w:rPr>
        <w:t xml:space="preserve">rivind societățile cu răspundere limitată </w:t>
      </w:r>
      <w:r w:rsidR="00241AFA" w:rsidRPr="009E5B39">
        <w:rPr>
          <w:rFonts w:asciiTheme="majorHAnsi" w:hAnsiTheme="majorHAnsi" w:cstheme="majorHAnsi"/>
          <w:b/>
          <w:i/>
          <w:sz w:val="24"/>
          <w:szCs w:val="24"/>
          <w:lang w:val="ro-MD"/>
        </w:rPr>
        <w:t xml:space="preserve">nr. 135 din 14.06.2007,  </w:t>
      </w:r>
      <w:r w:rsidRPr="009E5B39">
        <w:rPr>
          <w:rFonts w:asciiTheme="majorHAnsi" w:hAnsiTheme="majorHAnsi" w:cstheme="majorHAnsi"/>
          <w:b/>
          <w:i/>
          <w:sz w:val="24"/>
          <w:szCs w:val="24"/>
          <w:lang w:val="ro-MD"/>
        </w:rPr>
        <w:t xml:space="preserve">ÎM DCC este în drept să ceară </w:t>
      </w:r>
      <w:r w:rsidR="00C36757" w:rsidRPr="009E5B39">
        <w:rPr>
          <w:rFonts w:asciiTheme="majorHAnsi" w:hAnsiTheme="majorHAnsi" w:cstheme="majorHAnsi"/>
          <w:b/>
          <w:i/>
          <w:sz w:val="24"/>
          <w:szCs w:val="24"/>
          <w:lang w:val="ro-MD"/>
        </w:rPr>
        <w:t xml:space="preserve">dizolvarea societății și </w:t>
      </w:r>
      <w:r w:rsidRPr="009E5B39">
        <w:rPr>
          <w:rFonts w:asciiTheme="majorHAnsi" w:hAnsiTheme="majorHAnsi" w:cstheme="majorHAnsi"/>
          <w:b/>
          <w:i/>
          <w:sz w:val="24"/>
          <w:szCs w:val="24"/>
          <w:lang w:val="ro-MD"/>
        </w:rPr>
        <w:t>restituirea aportului vărsat în capitalul social.</w:t>
      </w:r>
    </w:p>
    <w:p w14:paraId="39AC4E38" w14:textId="4B3E2E09" w:rsidR="00A214E4" w:rsidRPr="009E5B39" w:rsidRDefault="00D91A18" w:rsidP="003C5073">
      <w:pPr>
        <w:pStyle w:val="ListParagraph"/>
        <w:numPr>
          <w:ilvl w:val="0"/>
          <w:numId w:val="118"/>
        </w:numPr>
        <w:spacing w:after="0" w:line="276" w:lineRule="auto"/>
        <w:ind w:left="0"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CMC acceptă preluarea cu titlu gratuit </w:t>
      </w:r>
      <w:r w:rsidR="00D504A9"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rețelel</w:t>
      </w:r>
      <w:r w:rsidR="00D504A9" w:rsidRPr="009E5B39">
        <w:rPr>
          <w:rFonts w:asciiTheme="majorHAnsi" w:hAnsiTheme="majorHAnsi" w:cstheme="majorHAnsi"/>
          <w:sz w:val="24"/>
          <w:szCs w:val="24"/>
          <w:lang w:val="ro-MD"/>
        </w:rPr>
        <w:t>or</w:t>
      </w:r>
      <w:r w:rsidRPr="009E5B39">
        <w:rPr>
          <w:rFonts w:asciiTheme="majorHAnsi" w:hAnsiTheme="majorHAnsi" w:cstheme="majorHAnsi"/>
          <w:sz w:val="24"/>
          <w:szCs w:val="24"/>
          <w:lang w:val="ro-MD"/>
        </w:rPr>
        <w:t xml:space="preserve"> publice de iluminat stradal de la agenți economici</w:t>
      </w:r>
      <w:r w:rsidR="00D504A9" w:rsidRPr="009E5B39">
        <w:rPr>
          <w:rFonts w:asciiTheme="majorHAnsi" w:hAnsiTheme="majorHAnsi" w:cstheme="majorHAnsi"/>
          <w:sz w:val="24"/>
          <w:szCs w:val="24"/>
          <w:lang w:val="ro-MD"/>
        </w:rPr>
        <w:t xml:space="preserve"> și </w:t>
      </w:r>
      <w:r w:rsidRPr="009E5B39">
        <w:rPr>
          <w:rFonts w:asciiTheme="majorHAnsi" w:hAnsiTheme="majorHAnsi" w:cstheme="majorHAnsi"/>
          <w:sz w:val="24"/>
          <w:szCs w:val="24"/>
          <w:lang w:val="ro-MD"/>
        </w:rPr>
        <w:t>APL de nivelul I din suburbii în proprietatea mun. Chișinău</w:t>
      </w:r>
      <w:r w:rsidR="00241A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005319F9" w:rsidRPr="009E5B39">
        <w:rPr>
          <w:rFonts w:asciiTheme="majorHAnsi" w:hAnsiTheme="majorHAnsi" w:cstheme="majorHAnsi"/>
          <w:sz w:val="24"/>
          <w:szCs w:val="24"/>
          <w:lang w:val="ro-MD"/>
        </w:rPr>
        <w:t xml:space="preserve">cu </w:t>
      </w:r>
      <w:r w:rsidRPr="009E5B39">
        <w:rPr>
          <w:rFonts w:asciiTheme="majorHAnsi" w:hAnsiTheme="majorHAnsi" w:cstheme="majorHAnsi"/>
          <w:sz w:val="24"/>
          <w:szCs w:val="24"/>
          <w:lang w:val="ro-MD"/>
        </w:rPr>
        <w:t xml:space="preserve">transmiterea </w:t>
      </w:r>
      <w:r w:rsidR="005319F9" w:rsidRPr="009E5B39">
        <w:rPr>
          <w:rFonts w:asciiTheme="majorHAnsi" w:hAnsiTheme="majorHAnsi" w:cstheme="majorHAnsi"/>
          <w:sz w:val="24"/>
          <w:szCs w:val="24"/>
          <w:lang w:val="ro-MD"/>
        </w:rPr>
        <w:t>ulterioară</w:t>
      </w:r>
      <w:r w:rsidRPr="009E5B39">
        <w:rPr>
          <w:rFonts w:asciiTheme="majorHAnsi" w:hAnsiTheme="majorHAnsi" w:cstheme="majorHAnsi"/>
          <w:sz w:val="24"/>
          <w:szCs w:val="24"/>
          <w:lang w:val="ro-MD"/>
        </w:rPr>
        <w:t xml:space="preserve"> în gestiune economică/administrare ÎM REI „Lumteh”, valoarea cărora numai în perioada </w:t>
      </w:r>
      <w:r w:rsidR="001B59E7" w:rsidRPr="009E5B39">
        <w:rPr>
          <w:rFonts w:asciiTheme="majorHAnsi" w:hAnsiTheme="majorHAnsi" w:cstheme="majorHAnsi"/>
          <w:sz w:val="24"/>
          <w:szCs w:val="24"/>
          <w:lang w:val="ro-MD"/>
        </w:rPr>
        <w:t xml:space="preserve">anilor </w:t>
      </w:r>
      <w:r w:rsidRPr="009E5B39">
        <w:rPr>
          <w:rFonts w:asciiTheme="majorHAnsi" w:hAnsiTheme="majorHAnsi" w:cstheme="majorHAnsi"/>
          <w:sz w:val="24"/>
          <w:szCs w:val="24"/>
          <w:lang w:val="ro-MD"/>
        </w:rPr>
        <w:t xml:space="preserve">2019-2020 a constituit </w:t>
      </w:r>
      <w:r w:rsidR="001B59E7" w:rsidRPr="009E5B39">
        <w:rPr>
          <w:rFonts w:asciiTheme="majorHAnsi" w:hAnsiTheme="majorHAnsi" w:cstheme="majorHAnsi"/>
          <w:sz w:val="24"/>
          <w:szCs w:val="24"/>
          <w:lang w:val="ro-MD"/>
        </w:rPr>
        <w:t xml:space="preserve">cel puțin </w:t>
      </w:r>
      <w:r w:rsidRPr="009E5B39">
        <w:rPr>
          <w:rFonts w:asciiTheme="majorHAnsi" w:hAnsiTheme="majorHAnsi" w:cstheme="majorHAnsi"/>
          <w:b/>
          <w:sz w:val="24"/>
          <w:szCs w:val="24"/>
          <w:lang w:val="ro-MD"/>
        </w:rPr>
        <w:t>18</w:t>
      </w:r>
      <w:r w:rsidR="00892AF2"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81 mi</w:t>
      </w:r>
      <w:r w:rsidR="00892AF2" w:rsidRPr="009E5B39">
        <w:rPr>
          <w:rFonts w:asciiTheme="majorHAnsi" w:hAnsiTheme="majorHAnsi" w:cstheme="majorHAnsi"/>
          <w:b/>
          <w:sz w:val="24"/>
          <w:szCs w:val="24"/>
          <w:lang w:val="ro-MD"/>
        </w:rPr>
        <w:t>l</w:t>
      </w:r>
      <w:r w:rsidR="00241AFA"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lei</w:t>
      </w:r>
      <w:r w:rsidRPr="009E5B39">
        <w:rPr>
          <w:rFonts w:asciiTheme="majorHAnsi" w:hAnsiTheme="majorHAnsi" w:cstheme="majorHAnsi"/>
          <w:sz w:val="24"/>
          <w:szCs w:val="24"/>
          <w:lang w:val="ro-MD"/>
        </w:rPr>
        <w:t xml:space="preserve">, </w:t>
      </w:r>
      <w:r w:rsidR="00A7788E" w:rsidRPr="009E5B39">
        <w:rPr>
          <w:rFonts w:asciiTheme="majorHAnsi" w:hAnsiTheme="majorHAnsi" w:cstheme="majorHAnsi"/>
          <w:sz w:val="24"/>
          <w:szCs w:val="24"/>
          <w:lang w:val="ro-MD"/>
        </w:rPr>
        <w:t xml:space="preserve">însă </w:t>
      </w:r>
      <w:r w:rsidRPr="009E5B39">
        <w:rPr>
          <w:rFonts w:asciiTheme="majorHAnsi" w:hAnsiTheme="majorHAnsi" w:cstheme="majorHAnsi"/>
          <w:sz w:val="24"/>
          <w:szCs w:val="24"/>
          <w:lang w:val="ro-MD"/>
        </w:rPr>
        <w:t xml:space="preserve">până </w:t>
      </w:r>
      <w:r w:rsidR="00A7788E" w:rsidRPr="009E5B39">
        <w:rPr>
          <w:rFonts w:asciiTheme="majorHAnsi" w:hAnsiTheme="majorHAnsi" w:cstheme="majorHAnsi"/>
          <w:sz w:val="24"/>
          <w:szCs w:val="24"/>
          <w:lang w:val="ro-MD"/>
        </w:rPr>
        <w:t>în prezent</w:t>
      </w:r>
      <w:r w:rsidRPr="009E5B39">
        <w:rPr>
          <w:rFonts w:asciiTheme="majorHAnsi" w:hAnsiTheme="majorHAnsi" w:cstheme="majorHAnsi"/>
          <w:sz w:val="24"/>
          <w:szCs w:val="24"/>
          <w:lang w:val="ro-MD"/>
        </w:rPr>
        <w:t xml:space="preserve"> </w:t>
      </w:r>
      <w:r w:rsidR="001B59E7" w:rsidRPr="009E5B39">
        <w:rPr>
          <w:rFonts w:asciiTheme="majorHAnsi" w:hAnsiTheme="majorHAnsi" w:cstheme="majorHAnsi"/>
          <w:sz w:val="24"/>
          <w:szCs w:val="24"/>
          <w:lang w:val="ro-MD"/>
        </w:rPr>
        <w:t>acestea</w:t>
      </w:r>
      <w:r w:rsidRPr="009E5B39">
        <w:rPr>
          <w:rFonts w:asciiTheme="majorHAnsi" w:hAnsiTheme="majorHAnsi" w:cstheme="majorHAnsi"/>
          <w:sz w:val="24"/>
          <w:szCs w:val="24"/>
          <w:lang w:val="ro-MD"/>
        </w:rPr>
        <w:t xml:space="preserve"> nu </w:t>
      </w:r>
      <w:r w:rsidR="00D504A9" w:rsidRPr="009E5B39">
        <w:rPr>
          <w:rFonts w:asciiTheme="majorHAnsi" w:hAnsiTheme="majorHAnsi" w:cstheme="majorHAnsi"/>
          <w:sz w:val="24"/>
          <w:szCs w:val="24"/>
          <w:lang w:val="ro-MD"/>
        </w:rPr>
        <w:t xml:space="preserve">au fost </w:t>
      </w:r>
      <w:r w:rsidRPr="009E5B39">
        <w:rPr>
          <w:rFonts w:asciiTheme="majorHAnsi" w:hAnsiTheme="majorHAnsi" w:cstheme="majorHAnsi"/>
          <w:sz w:val="24"/>
          <w:szCs w:val="24"/>
          <w:lang w:val="ro-MD"/>
        </w:rPr>
        <w:t>recepționat</w:t>
      </w:r>
      <w:r w:rsidR="001B59E7"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w:t>
      </w:r>
      <w:r w:rsidR="00A7788E" w:rsidRPr="009E5B39">
        <w:rPr>
          <w:rFonts w:asciiTheme="majorHAnsi" w:hAnsiTheme="majorHAnsi" w:cstheme="majorHAnsi"/>
          <w:sz w:val="24"/>
          <w:szCs w:val="24"/>
          <w:lang w:val="ro-MD"/>
        </w:rPr>
        <w:t>și contabilizat</w:t>
      </w:r>
      <w:r w:rsidR="001B59E7" w:rsidRPr="009E5B39">
        <w:rPr>
          <w:rFonts w:asciiTheme="majorHAnsi" w:hAnsiTheme="majorHAnsi" w:cstheme="majorHAnsi"/>
          <w:sz w:val="24"/>
          <w:szCs w:val="24"/>
          <w:lang w:val="ro-MD"/>
        </w:rPr>
        <w:t>e</w:t>
      </w:r>
      <w:r w:rsidR="00A7788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de către UAT</w:t>
      </w:r>
      <w:r w:rsidR="00A7788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p>
    <w:p w14:paraId="10648BAE" w14:textId="2B78E0CB" w:rsidR="008E0DAD" w:rsidRPr="009E5B39" w:rsidRDefault="00D91A18" w:rsidP="003C5073">
      <w:pPr>
        <w:pStyle w:val="ListParagraph"/>
        <w:numPr>
          <w:ilvl w:val="0"/>
          <w:numId w:val="118"/>
        </w:numPr>
        <w:spacing w:after="0" w:line="276" w:lineRule="auto"/>
        <w:ind w:left="0"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CMC decide </w:t>
      </w:r>
      <w:r w:rsidR="00E1646C" w:rsidRPr="009E5B39">
        <w:rPr>
          <w:rFonts w:asciiTheme="majorHAnsi" w:hAnsiTheme="majorHAnsi" w:cstheme="majorHAnsi"/>
          <w:sz w:val="24"/>
          <w:szCs w:val="24"/>
          <w:lang w:val="ro-MD"/>
        </w:rPr>
        <w:t>asupra</w:t>
      </w:r>
      <w:r w:rsidRPr="009E5B39">
        <w:rPr>
          <w:rFonts w:asciiTheme="majorHAnsi" w:hAnsiTheme="majorHAnsi" w:cstheme="majorHAnsi"/>
          <w:sz w:val="24"/>
          <w:szCs w:val="24"/>
          <w:lang w:val="ro-MD"/>
        </w:rPr>
        <w:t xml:space="preserve"> transmit</w:t>
      </w:r>
      <w:r w:rsidR="00E1646C" w:rsidRPr="009E5B39">
        <w:rPr>
          <w:rFonts w:asciiTheme="majorHAnsi" w:hAnsiTheme="majorHAnsi" w:cstheme="majorHAnsi"/>
          <w:sz w:val="24"/>
          <w:szCs w:val="24"/>
          <w:lang w:val="ro-MD"/>
        </w:rPr>
        <w:t>erii</w:t>
      </w:r>
      <w:r w:rsidRPr="009E5B39">
        <w:rPr>
          <w:rFonts w:asciiTheme="majorHAnsi" w:hAnsiTheme="majorHAnsi" w:cstheme="majorHAnsi"/>
          <w:sz w:val="24"/>
          <w:szCs w:val="24"/>
          <w:lang w:val="ro-MD"/>
        </w:rPr>
        <w:t xml:space="preserve"> în capitalul social a bunurilor fără a fi delimitate după domeniu </w:t>
      </w:r>
      <w:r w:rsidR="00D504A9" w:rsidRPr="009E5B39">
        <w:rPr>
          <w:rFonts w:asciiTheme="majorHAnsi" w:hAnsiTheme="majorHAnsi" w:cstheme="majorHAnsi"/>
          <w:sz w:val="24"/>
          <w:szCs w:val="24"/>
          <w:lang w:val="ro-MD"/>
        </w:rPr>
        <w:t xml:space="preserve">- </w:t>
      </w:r>
      <w:r w:rsidR="00A3134F" w:rsidRPr="009E5B39">
        <w:rPr>
          <w:rFonts w:asciiTheme="majorHAnsi" w:hAnsiTheme="majorHAnsi" w:cstheme="majorHAnsi"/>
          <w:sz w:val="24"/>
          <w:szCs w:val="24"/>
          <w:lang w:val="ro-MD"/>
        </w:rPr>
        <w:t xml:space="preserve">public </w:t>
      </w:r>
      <w:r w:rsidRPr="009E5B39">
        <w:rPr>
          <w:rFonts w:asciiTheme="majorHAnsi" w:hAnsiTheme="majorHAnsi" w:cstheme="majorHAnsi"/>
          <w:sz w:val="24"/>
          <w:szCs w:val="24"/>
          <w:lang w:val="ro-MD"/>
        </w:rPr>
        <w:t>sau</w:t>
      </w:r>
      <w:r w:rsidR="00D504A9" w:rsidRPr="009E5B39">
        <w:rPr>
          <w:rFonts w:asciiTheme="majorHAnsi" w:hAnsiTheme="majorHAnsi" w:cstheme="majorHAnsi"/>
          <w:sz w:val="24"/>
          <w:szCs w:val="24"/>
          <w:lang w:val="ro-MD"/>
        </w:rPr>
        <w:t xml:space="preserve"> </w:t>
      </w:r>
      <w:r w:rsidR="00A3134F" w:rsidRPr="009E5B39">
        <w:rPr>
          <w:rFonts w:asciiTheme="majorHAnsi" w:hAnsiTheme="majorHAnsi" w:cstheme="majorHAnsi"/>
          <w:sz w:val="24"/>
          <w:szCs w:val="24"/>
          <w:lang w:val="ro-MD"/>
        </w:rPr>
        <w:t>privat</w:t>
      </w:r>
      <w:r w:rsidRPr="009E5B39">
        <w:rPr>
          <w:rFonts w:asciiTheme="majorHAnsi" w:hAnsiTheme="majorHAnsi" w:cstheme="majorHAnsi"/>
          <w:sz w:val="24"/>
          <w:szCs w:val="24"/>
          <w:lang w:val="ro-MD"/>
        </w:rPr>
        <w:t xml:space="preserve">, fără a stabili drepturile reale </w:t>
      </w:r>
      <w:r w:rsidR="00D504A9" w:rsidRPr="009E5B39">
        <w:rPr>
          <w:rFonts w:asciiTheme="majorHAnsi" w:hAnsiTheme="majorHAnsi" w:cstheme="majorHAnsi"/>
          <w:sz w:val="24"/>
          <w:szCs w:val="24"/>
          <w:lang w:val="ro-MD"/>
        </w:rPr>
        <w:t xml:space="preserve">transmise </w:t>
      </w:r>
      <w:r w:rsidRPr="009E5B39">
        <w:rPr>
          <w:rFonts w:asciiTheme="majorHAnsi" w:hAnsiTheme="majorHAnsi" w:cstheme="majorHAnsi"/>
          <w:sz w:val="24"/>
          <w:szCs w:val="24"/>
          <w:lang w:val="ro-MD"/>
        </w:rPr>
        <w:t xml:space="preserve">asupra acestor bunuri (folosință/posesie/dispoziție) și modul de contabilizare și raportare a acestora.  Mai mult </w:t>
      </w:r>
      <w:r w:rsidR="00E1646C" w:rsidRPr="009E5B39">
        <w:rPr>
          <w:rFonts w:asciiTheme="majorHAnsi" w:hAnsiTheme="majorHAnsi" w:cstheme="majorHAnsi"/>
          <w:sz w:val="24"/>
          <w:szCs w:val="24"/>
          <w:lang w:val="ro-MD"/>
        </w:rPr>
        <w:t>decât</w:t>
      </w:r>
      <w:r w:rsidRPr="009E5B39">
        <w:rPr>
          <w:rFonts w:asciiTheme="majorHAnsi" w:hAnsiTheme="majorHAnsi" w:cstheme="majorHAnsi"/>
          <w:sz w:val="24"/>
          <w:szCs w:val="24"/>
          <w:lang w:val="ro-MD"/>
        </w:rPr>
        <w:t xml:space="preserve"> atât</w:t>
      </w:r>
      <w:r w:rsidR="00E1646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deciziile adoptate nu sunt monitorizate și executate. </w:t>
      </w:r>
      <w:r w:rsidR="00F6235A" w:rsidRPr="009E5B39">
        <w:rPr>
          <w:rFonts w:asciiTheme="majorHAnsi" w:hAnsiTheme="majorHAnsi" w:cstheme="majorHAnsi"/>
          <w:sz w:val="24"/>
          <w:szCs w:val="24"/>
          <w:lang w:val="ro-MD"/>
        </w:rPr>
        <w:t>De asemenea, se constată</w:t>
      </w:r>
      <w:r w:rsidRPr="009E5B39">
        <w:rPr>
          <w:rFonts w:asciiTheme="majorHAnsi" w:hAnsiTheme="majorHAnsi" w:cstheme="majorHAnsi"/>
          <w:sz w:val="24"/>
          <w:szCs w:val="24"/>
          <w:lang w:val="ro-MD"/>
        </w:rPr>
        <w:t xml:space="preserve"> că CMC adoptă decizii</w:t>
      </w:r>
      <w:r w:rsidR="00E554B6"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00E554B6" w:rsidRPr="009E5B39">
        <w:rPr>
          <w:rFonts w:asciiTheme="majorHAnsi" w:hAnsiTheme="majorHAnsi" w:cstheme="majorHAnsi"/>
          <w:sz w:val="24"/>
          <w:szCs w:val="24"/>
          <w:lang w:val="ro-MD"/>
        </w:rPr>
        <w:t>contrar cadrului normativ în vigoare</w:t>
      </w:r>
      <w:r w:rsidR="008E0DAD" w:rsidRPr="009E5B39">
        <w:rPr>
          <w:rStyle w:val="FootnoteReference"/>
          <w:rFonts w:asciiTheme="majorHAnsi" w:hAnsiTheme="majorHAnsi" w:cstheme="majorHAnsi"/>
          <w:sz w:val="24"/>
          <w:szCs w:val="24"/>
          <w:lang w:val="ro-MD"/>
        </w:rPr>
        <w:footnoteReference w:id="222"/>
      </w:r>
      <w:r w:rsidR="00E554B6"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de majorare a capitalului social al SA/ÎM</w:t>
      </w:r>
      <w:r w:rsidR="00E554B6" w:rsidRPr="009E5B39">
        <w:rPr>
          <w:rFonts w:asciiTheme="majorHAnsi" w:hAnsiTheme="majorHAnsi" w:cstheme="majorHAnsi"/>
          <w:sz w:val="24"/>
          <w:szCs w:val="24"/>
          <w:lang w:val="ro-MD"/>
        </w:rPr>
        <w:t xml:space="preserve">, </w:t>
      </w:r>
      <w:r w:rsidR="00F6235A" w:rsidRPr="009E5B39">
        <w:rPr>
          <w:rFonts w:asciiTheme="majorHAnsi" w:hAnsiTheme="majorHAnsi" w:cstheme="majorHAnsi"/>
          <w:sz w:val="24"/>
          <w:szCs w:val="24"/>
          <w:lang w:val="ro-MD"/>
        </w:rPr>
        <w:t>cu</w:t>
      </w:r>
      <w:r w:rsidRPr="009E5B39">
        <w:rPr>
          <w:rFonts w:asciiTheme="majorHAnsi" w:hAnsiTheme="majorHAnsi" w:cstheme="majorHAnsi"/>
          <w:sz w:val="24"/>
          <w:szCs w:val="24"/>
          <w:lang w:val="ro-MD"/>
        </w:rPr>
        <w:t xml:space="preserve"> valoarea</w:t>
      </w:r>
      <w:r w:rsidR="00E554B6" w:rsidRPr="009E5B39">
        <w:rPr>
          <w:rFonts w:asciiTheme="majorHAnsi" w:hAnsiTheme="majorHAnsi" w:cstheme="majorHAnsi"/>
          <w:sz w:val="24"/>
          <w:szCs w:val="24"/>
          <w:lang w:val="ro-MD"/>
        </w:rPr>
        <w:t xml:space="preserve"> bunurilor proprietate publică din domeniu public </w:t>
      </w:r>
      <w:r w:rsidR="00D504A9" w:rsidRPr="009E5B39">
        <w:rPr>
          <w:rFonts w:asciiTheme="majorHAnsi" w:hAnsiTheme="majorHAnsi" w:cstheme="majorHAnsi"/>
          <w:sz w:val="24"/>
          <w:szCs w:val="24"/>
          <w:lang w:val="ro-MD"/>
        </w:rPr>
        <w:t xml:space="preserve"> </w:t>
      </w:r>
      <w:r w:rsidR="00E554B6" w:rsidRPr="009E5B39">
        <w:rPr>
          <w:rFonts w:asciiTheme="majorHAnsi" w:hAnsiTheme="majorHAnsi" w:cstheme="majorHAnsi"/>
          <w:sz w:val="24"/>
          <w:szCs w:val="24"/>
          <w:lang w:val="ro-MD"/>
        </w:rPr>
        <w:t>și cu valoarea</w:t>
      </w:r>
      <w:r w:rsidRPr="009E5B39">
        <w:rPr>
          <w:rFonts w:asciiTheme="majorHAnsi" w:hAnsiTheme="majorHAnsi" w:cstheme="majorHAnsi"/>
          <w:sz w:val="24"/>
          <w:szCs w:val="24"/>
          <w:lang w:val="ro-MD"/>
        </w:rPr>
        <w:t xml:space="preserve"> lucrărilor de reparați</w:t>
      </w:r>
      <w:r w:rsidR="00E1646C" w:rsidRPr="009E5B39">
        <w:rPr>
          <w:rFonts w:asciiTheme="majorHAnsi" w:hAnsiTheme="majorHAnsi" w:cstheme="majorHAnsi"/>
          <w:sz w:val="24"/>
          <w:szCs w:val="24"/>
          <w:lang w:val="ro-MD"/>
        </w:rPr>
        <w:t xml:space="preserve">e </w:t>
      </w:r>
      <w:r w:rsidRPr="009E5B39">
        <w:rPr>
          <w:rFonts w:asciiTheme="majorHAnsi" w:hAnsiTheme="majorHAnsi" w:cstheme="majorHAnsi"/>
          <w:sz w:val="24"/>
          <w:szCs w:val="24"/>
          <w:lang w:val="ro-MD"/>
        </w:rPr>
        <w:t xml:space="preserve"> capital</w:t>
      </w:r>
      <w:r w:rsidR="00E1646C"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a</w:t>
      </w:r>
      <w:r w:rsidR="00E554B6" w:rsidRPr="009E5B39">
        <w:rPr>
          <w:rFonts w:asciiTheme="majorHAnsi" w:hAnsiTheme="majorHAnsi" w:cstheme="majorHAnsi"/>
          <w:sz w:val="24"/>
          <w:szCs w:val="24"/>
          <w:lang w:val="ro-MD"/>
        </w:rPr>
        <w:t xml:space="preserve"> acestora</w:t>
      </w:r>
      <w:r w:rsidR="00D504A9" w:rsidRPr="009E5B39">
        <w:rPr>
          <w:rFonts w:asciiTheme="majorHAnsi" w:hAnsiTheme="majorHAnsi" w:cstheme="majorHAnsi"/>
          <w:sz w:val="24"/>
          <w:szCs w:val="24"/>
          <w:lang w:val="ro-MD"/>
        </w:rPr>
        <w:t xml:space="preserve"> (care nu pot fi transmise în capitalul social)</w:t>
      </w:r>
      <w:r w:rsidR="00E554B6"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 </w:t>
      </w:r>
    </w:p>
    <w:p w14:paraId="5CA05A6B" w14:textId="198AC641" w:rsidR="00D504A9" w:rsidRPr="009E5B39" w:rsidRDefault="00D91A18" w:rsidP="00EF4BC3">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Un exemplu elocvent ar fi: </w:t>
      </w:r>
      <w:r w:rsidR="00E554B6" w:rsidRPr="009E5B39">
        <w:rPr>
          <w:rFonts w:asciiTheme="majorHAnsi" w:hAnsiTheme="majorHAnsi" w:cstheme="majorHAnsi"/>
          <w:sz w:val="24"/>
          <w:szCs w:val="24"/>
          <w:lang w:val="ro-MD"/>
        </w:rPr>
        <w:t>deciziile CMC de transmitere a bunurilor aferente infrastructurii tehnico-edilitare de aprovizionare cu apă și canalizare în proprietatea SA ACC</w:t>
      </w:r>
      <w:r w:rsidR="00E1646C" w:rsidRPr="009E5B39">
        <w:rPr>
          <w:rFonts w:asciiTheme="majorHAnsi" w:hAnsiTheme="majorHAnsi" w:cstheme="majorHAnsi"/>
          <w:sz w:val="24"/>
          <w:szCs w:val="24"/>
          <w:lang w:val="ro-MD"/>
        </w:rPr>
        <w:t>,</w:t>
      </w:r>
      <w:r w:rsidR="00E554B6" w:rsidRPr="009E5B39">
        <w:rPr>
          <w:rFonts w:asciiTheme="majorHAnsi" w:hAnsiTheme="majorHAnsi" w:cstheme="majorHAnsi"/>
          <w:sz w:val="24"/>
          <w:szCs w:val="24"/>
          <w:lang w:val="ro-MD"/>
        </w:rPr>
        <w:t xml:space="preserve"> cu condiția majorării ulterioare a capitalului social</w:t>
      </w:r>
      <w:r w:rsidR="005940D8" w:rsidRPr="009E5B39">
        <w:rPr>
          <w:rFonts w:asciiTheme="majorHAnsi" w:hAnsiTheme="majorHAnsi" w:cstheme="majorHAnsi"/>
          <w:sz w:val="24"/>
          <w:szCs w:val="24"/>
          <w:lang w:val="ro-MD"/>
        </w:rPr>
        <w:t xml:space="preserve">, valoarea cărora, </w:t>
      </w:r>
      <w:r w:rsidR="00E554B6" w:rsidRPr="009E5B39">
        <w:rPr>
          <w:rFonts w:asciiTheme="majorHAnsi" w:hAnsiTheme="majorHAnsi" w:cstheme="majorHAnsi"/>
          <w:sz w:val="24"/>
          <w:szCs w:val="24"/>
          <w:lang w:val="ro-MD"/>
        </w:rPr>
        <w:t xml:space="preserve"> </w:t>
      </w:r>
      <w:r w:rsidR="005940D8" w:rsidRPr="009E5B39">
        <w:rPr>
          <w:rFonts w:asciiTheme="majorHAnsi" w:hAnsiTheme="majorHAnsi" w:cstheme="majorHAnsi"/>
          <w:sz w:val="24"/>
          <w:szCs w:val="24"/>
          <w:lang w:val="ro-MD"/>
        </w:rPr>
        <w:t xml:space="preserve">la situația din 31.12.2021, este reflectată ca capital neînregistrat în mărime de 243,6 mil. lei. </w:t>
      </w:r>
    </w:p>
    <w:p w14:paraId="3FB4DF30" w14:textId="54C16971" w:rsidR="001B4BEB" w:rsidRPr="009E5B39" w:rsidRDefault="008E0DAD" w:rsidP="003C5073">
      <w:pPr>
        <w:pStyle w:val="ListParagraph"/>
        <w:numPr>
          <w:ilvl w:val="0"/>
          <w:numId w:val="118"/>
        </w:numPr>
        <w:spacing w:after="0" w:line="276" w:lineRule="auto"/>
        <w:ind w:left="0"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În alt caz</w:t>
      </w:r>
      <w:r w:rsidR="00D504A9" w:rsidRPr="009E5B39">
        <w:rPr>
          <w:rFonts w:asciiTheme="majorHAnsi" w:hAnsiTheme="majorHAnsi" w:cstheme="majorHAnsi"/>
          <w:sz w:val="24"/>
          <w:szCs w:val="24"/>
          <w:lang w:val="ro-MD"/>
        </w:rPr>
        <w:t xml:space="preserve">, CMC a adoptat mai multe decizii ce țin de repartizarea profitului net obținut în perioada anilor 2017-2019, în sumă de </w:t>
      </w:r>
      <w:r w:rsidR="00D504A9" w:rsidRPr="009E5B39">
        <w:rPr>
          <w:rFonts w:asciiTheme="majorHAnsi" w:hAnsiTheme="majorHAnsi" w:cstheme="majorHAnsi"/>
          <w:b/>
          <w:sz w:val="24"/>
          <w:szCs w:val="24"/>
          <w:lang w:val="ro-MD"/>
        </w:rPr>
        <w:t>9</w:t>
      </w:r>
      <w:r w:rsidR="00892AF2" w:rsidRPr="009E5B39">
        <w:rPr>
          <w:rFonts w:asciiTheme="majorHAnsi" w:hAnsiTheme="majorHAnsi" w:cstheme="majorHAnsi"/>
          <w:b/>
          <w:sz w:val="24"/>
          <w:szCs w:val="24"/>
          <w:lang w:val="ro-MD"/>
        </w:rPr>
        <w:t>,</w:t>
      </w:r>
      <w:r w:rsidR="00D504A9" w:rsidRPr="009E5B39">
        <w:rPr>
          <w:rFonts w:asciiTheme="majorHAnsi" w:hAnsiTheme="majorHAnsi" w:cstheme="majorHAnsi"/>
          <w:b/>
          <w:sz w:val="24"/>
          <w:szCs w:val="24"/>
          <w:lang w:val="ro-MD"/>
        </w:rPr>
        <w:t>96 mi</w:t>
      </w:r>
      <w:r w:rsidR="00892AF2" w:rsidRPr="009E5B39">
        <w:rPr>
          <w:rFonts w:asciiTheme="majorHAnsi" w:hAnsiTheme="majorHAnsi" w:cstheme="majorHAnsi"/>
          <w:b/>
          <w:sz w:val="24"/>
          <w:szCs w:val="24"/>
          <w:lang w:val="ro-MD"/>
        </w:rPr>
        <w:t>l</w:t>
      </w:r>
      <w:r w:rsidR="00E1646C" w:rsidRPr="009E5B39">
        <w:rPr>
          <w:rFonts w:asciiTheme="majorHAnsi" w:hAnsiTheme="majorHAnsi" w:cstheme="majorHAnsi"/>
          <w:b/>
          <w:sz w:val="24"/>
          <w:szCs w:val="24"/>
          <w:lang w:val="ro-MD"/>
        </w:rPr>
        <w:t>.</w:t>
      </w:r>
      <w:r w:rsidR="00D504A9" w:rsidRPr="009E5B39">
        <w:rPr>
          <w:rFonts w:asciiTheme="majorHAnsi" w:hAnsiTheme="majorHAnsi" w:cstheme="majorHAnsi"/>
          <w:b/>
          <w:sz w:val="24"/>
          <w:szCs w:val="24"/>
          <w:lang w:val="ro-MD"/>
        </w:rPr>
        <w:t xml:space="preserve"> lei</w:t>
      </w:r>
      <w:r w:rsidR="00D504A9" w:rsidRPr="009E5B39">
        <w:rPr>
          <w:rFonts w:asciiTheme="majorHAnsi" w:hAnsiTheme="majorHAnsi" w:cstheme="majorHAnsi"/>
          <w:sz w:val="24"/>
          <w:szCs w:val="24"/>
          <w:lang w:val="ro-MD"/>
        </w:rPr>
        <w:t>, pentru dezvoltarea entităților fondate, cu majorarea capitalul</w:t>
      </w:r>
      <w:r w:rsidR="00E1646C" w:rsidRPr="009E5B39">
        <w:rPr>
          <w:rFonts w:asciiTheme="majorHAnsi" w:hAnsiTheme="majorHAnsi" w:cstheme="majorHAnsi"/>
          <w:sz w:val="24"/>
          <w:szCs w:val="24"/>
          <w:lang w:val="ro-MD"/>
        </w:rPr>
        <w:t>ui</w:t>
      </w:r>
      <w:r w:rsidR="00D504A9" w:rsidRPr="009E5B39">
        <w:rPr>
          <w:rFonts w:asciiTheme="majorHAnsi" w:hAnsiTheme="majorHAnsi" w:cstheme="majorHAnsi"/>
          <w:sz w:val="24"/>
          <w:szCs w:val="24"/>
          <w:lang w:val="ro-MD"/>
        </w:rPr>
        <w:t xml:space="preserve"> social al acestora. </w:t>
      </w:r>
      <w:r w:rsidR="00D504A9" w:rsidRPr="009E5B39">
        <w:rPr>
          <w:rFonts w:asciiTheme="majorHAnsi" w:hAnsiTheme="majorHAnsi" w:cstheme="majorHAnsi"/>
          <w:i/>
          <w:sz w:val="24"/>
          <w:szCs w:val="24"/>
          <w:lang w:val="ro-MD"/>
        </w:rPr>
        <w:t>(Vezi Anexa nr.1</w:t>
      </w:r>
      <w:r w:rsidR="00861BCA" w:rsidRPr="009E5B39">
        <w:rPr>
          <w:rFonts w:asciiTheme="majorHAnsi" w:hAnsiTheme="majorHAnsi" w:cstheme="majorHAnsi"/>
          <w:i/>
          <w:sz w:val="24"/>
          <w:szCs w:val="24"/>
          <w:lang w:val="ro-MD"/>
        </w:rPr>
        <w:t>1</w:t>
      </w:r>
      <w:r w:rsidR="00D504A9" w:rsidRPr="009E5B39">
        <w:rPr>
          <w:rFonts w:asciiTheme="majorHAnsi" w:hAnsiTheme="majorHAnsi" w:cstheme="majorHAnsi"/>
          <w:i/>
          <w:sz w:val="24"/>
          <w:szCs w:val="24"/>
          <w:lang w:val="ro-MD"/>
        </w:rPr>
        <w:t xml:space="preserve"> la Raportul de audit).</w:t>
      </w:r>
      <w:r w:rsidR="00D504A9" w:rsidRPr="009E5B39">
        <w:rPr>
          <w:rFonts w:asciiTheme="majorHAnsi" w:hAnsiTheme="majorHAnsi" w:cstheme="majorHAnsi"/>
          <w:sz w:val="24"/>
          <w:szCs w:val="24"/>
          <w:lang w:val="ro-MD"/>
        </w:rPr>
        <w:t xml:space="preserve"> </w:t>
      </w:r>
    </w:p>
    <w:p w14:paraId="669BC419" w14:textId="15951C13" w:rsidR="00D91A18" w:rsidRPr="009E5B39" w:rsidRDefault="00D504A9" w:rsidP="00A51CEC">
      <w:pPr>
        <w:spacing w:after="0" w:line="276" w:lineRule="auto"/>
        <w:ind w:firstLine="720"/>
        <w:jc w:val="both"/>
        <w:rPr>
          <w:rFonts w:asciiTheme="majorHAnsi" w:hAnsiTheme="majorHAnsi" w:cstheme="majorHAnsi"/>
          <w:b/>
          <w:i/>
          <w:iCs/>
          <w:sz w:val="24"/>
          <w:szCs w:val="24"/>
          <w:lang w:val="ro-MD"/>
        </w:rPr>
      </w:pPr>
      <w:r w:rsidRPr="009E5B39">
        <w:rPr>
          <w:rFonts w:asciiTheme="majorHAnsi" w:hAnsiTheme="majorHAnsi" w:cstheme="majorHAnsi"/>
          <w:sz w:val="24"/>
          <w:szCs w:val="24"/>
          <w:lang w:val="ro-MD"/>
        </w:rPr>
        <w:t>Probele de audit denotă că nici UAT și nici entitățile fondate nu au efectuat înregistrările de rigoare a</w:t>
      </w:r>
      <w:r w:rsidR="00E1646C" w:rsidRPr="009E5B39">
        <w:rPr>
          <w:rFonts w:asciiTheme="majorHAnsi" w:hAnsiTheme="majorHAnsi" w:cstheme="majorHAnsi"/>
          <w:sz w:val="24"/>
          <w:szCs w:val="24"/>
          <w:lang w:val="ro-MD"/>
        </w:rPr>
        <w:t>le</w:t>
      </w:r>
      <w:r w:rsidRPr="009E5B39">
        <w:rPr>
          <w:rFonts w:asciiTheme="majorHAnsi" w:hAnsiTheme="majorHAnsi" w:cstheme="majorHAnsi"/>
          <w:sz w:val="24"/>
          <w:szCs w:val="24"/>
          <w:lang w:val="ro-MD"/>
        </w:rPr>
        <w:t xml:space="preserve"> tranzacției în cauză. </w:t>
      </w:r>
      <w:r w:rsidR="00D91A18" w:rsidRPr="009E5B39">
        <w:rPr>
          <w:rFonts w:asciiTheme="majorHAnsi" w:hAnsiTheme="majorHAnsi" w:cstheme="majorHAnsi"/>
          <w:b/>
          <w:i/>
          <w:iCs/>
          <w:sz w:val="24"/>
          <w:szCs w:val="24"/>
          <w:lang w:val="ro-MD"/>
        </w:rPr>
        <w:t xml:space="preserve"> </w:t>
      </w:r>
    </w:p>
    <w:p w14:paraId="7E242FE6" w14:textId="77777777" w:rsidR="00D26E82" w:rsidRPr="009E5B39" w:rsidRDefault="00D26E82" w:rsidP="00E37505">
      <w:pPr>
        <w:tabs>
          <w:tab w:val="left" w:pos="567"/>
        </w:tabs>
        <w:spacing w:after="0" w:line="276" w:lineRule="auto"/>
        <w:contextualSpacing/>
        <w:jc w:val="both"/>
        <w:rPr>
          <w:rFonts w:asciiTheme="majorHAnsi" w:hAnsiTheme="majorHAnsi" w:cstheme="majorHAnsi"/>
          <w:b/>
          <w:i/>
          <w:sz w:val="24"/>
          <w:szCs w:val="24"/>
          <w:lang w:val="ro-MD"/>
        </w:rPr>
      </w:pPr>
    </w:p>
    <w:p w14:paraId="64DAC2AA" w14:textId="0947D109" w:rsidR="00A20B3C" w:rsidRPr="009E5B39" w:rsidRDefault="00E1646C" w:rsidP="003C5073">
      <w:pPr>
        <w:pStyle w:val="Heading2"/>
        <w:numPr>
          <w:ilvl w:val="1"/>
          <w:numId w:val="29"/>
        </w:numPr>
        <w:spacing w:line="276" w:lineRule="auto"/>
        <w:rPr>
          <w:rFonts w:cstheme="majorHAnsi"/>
          <w:b/>
          <w:color w:val="auto"/>
          <w:sz w:val="24"/>
          <w:szCs w:val="24"/>
          <w:lang w:val="ro-MD"/>
        </w:rPr>
      </w:pPr>
      <w:bookmarkStart w:id="12" w:name="_Toc116026880"/>
      <w:r w:rsidRPr="009E5B39">
        <w:rPr>
          <w:rFonts w:cstheme="majorHAnsi"/>
          <w:b/>
          <w:color w:val="auto"/>
          <w:sz w:val="24"/>
          <w:szCs w:val="24"/>
          <w:lang w:val="ro-MD"/>
        </w:rPr>
        <w:t xml:space="preserve">Obiectivul IV: </w:t>
      </w:r>
      <w:r w:rsidR="00A20B3C" w:rsidRPr="009E5B39">
        <w:rPr>
          <w:rFonts w:cstheme="majorHAnsi"/>
          <w:b/>
          <w:color w:val="auto"/>
          <w:sz w:val="24"/>
          <w:szCs w:val="24"/>
          <w:lang w:val="ro-MD"/>
        </w:rPr>
        <w:t>Evaluarea implementării recomandărilor anterioare ale Curții de Conturi</w:t>
      </w:r>
      <w:r w:rsidR="00603A03" w:rsidRPr="009E5B39">
        <w:rPr>
          <w:rStyle w:val="FootnoteReference"/>
          <w:rFonts w:cstheme="majorHAnsi"/>
          <w:b/>
          <w:i/>
          <w:color w:val="auto"/>
          <w:sz w:val="24"/>
          <w:szCs w:val="24"/>
          <w:lang w:val="ro-MD"/>
        </w:rPr>
        <w:footnoteReference w:id="223"/>
      </w:r>
      <w:bookmarkEnd w:id="12"/>
      <w:r w:rsidR="00A20B3C" w:rsidRPr="009E5B39">
        <w:rPr>
          <w:rFonts w:cstheme="majorHAnsi"/>
          <w:b/>
          <w:color w:val="auto"/>
          <w:sz w:val="24"/>
          <w:szCs w:val="24"/>
          <w:lang w:val="ro-MD"/>
        </w:rPr>
        <w:t xml:space="preserve"> </w:t>
      </w:r>
    </w:p>
    <w:p w14:paraId="5494DC39" w14:textId="08BA696B" w:rsidR="00044E63" w:rsidRPr="009E5B39" w:rsidRDefault="00044E63" w:rsidP="003C5073">
      <w:pPr>
        <w:pStyle w:val="ListParagraph"/>
        <w:ind w:left="0"/>
        <w:jc w:val="both"/>
        <w:rPr>
          <w:color w:val="FF0000"/>
          <w:lang w:val="ro-MD"/>
        </w:rPr>
      </w:pPr>
      <w:r w:rsidRPr="009E5B39">
        <w:rPr>
          <w:rFonts w:asciiTheme="majorHAnsi" w:eastAsiaTheme="majorEastAsia" w:hAnsiTheme="majorHAnsi" w:cstheme="majorHAnsi"/>
          <w:b/>
          <w:color w:val="FF0000"/>
          <w:sz w:val="24"/>
          <w:szCs w:val="24"/>
          <w:lang w:val="ro-MD"/>
        </w:rPr>
        <w:tab/>
      </w:r>
      <w:r w:rsidRPr="009E5B39">
        <w:rPr>
          <w:rFonts w:asciiTheme="majorHAnsi" w:eastAsiaTheme="majorEastAsia" w:hAnsiTheme="majorHAnsi" w:cstheme="majorHAnsi"/>
          <w:sz w:val="24"/>
          <w:szCs w:val="24"/>
          <w:lang w:val="ro-MD"/>
        </w:rPr>
        <w:t xml:space="preserve">APL </w:t>
      </w:r>
      <w:r w:rsidR="00E1646C" w:rsidRPr="009E5B39">
        <w:rPr>
          <w:rFonts w:asciiTheme="majorHAnsi" w:eastAsiaTheme="majorEastAsia" w:hAnsiTheme="majorHAnsi" w:cstheme="majorHAnsi"/>
          <w:sz w:val="24"/>
          <w:szCs w:val="24"/>
          <w:lang w:val="ro-MD"/>
        </w:rPr>
        <w:t xml:space="preserve">a </w:t>
      </w:r>
      <w:r w:rsidRPr="009E5B39">
        <w:rPr>
          <w:rFonts w:asciiTheme="majorHAnsi" w:eastAsiaTheme="majorEastAsia" w:hAnsiTheme="majorHAnsi" w:cstheme="majorHAnsi"/>
          <w:sz w:val="24"/>
          <w:szCs w:val="24"/>
          <w:lang w:val="ro-MD"/>
        </w:rPr>
        <w:t>mun. Chișinău nu a asigurat implementarea integrală a recomandărilor aprobate prin Hotărârile Curții de Conturi anterioare</w:t>
      </w:r>
      <w:r w:rsidR="00C8734C" w:rsidRPr="009E5B39">
        <w:rPr>
          <w:rFonts w:asciiTheme="majorHAnsi" w:eastAsiaTheme="majorEastAsia" w:hAnsiTheme="majorHAnsi" w:cstheme="majorHAnsi"/>
          <w:sz w:val="24"/>
          <w:szCs w:val="24"/>
          <w:lang w:val="ro-MD"/>
        </w:rPr>
        <w:t>. Astfel,</w:t>
      </w:r>
    </w:p>
    <w:p w14:paraId="027A3E5B" w14:textId="63B1F732" w:rsidR="00A20B3C" w:rsidRPr="009E5B39" w:rsidRDefault="00A20B3C" w:rsidP="00DD4073">
      <w:pPr>
        <w:spacing w:after="0" w:line="276" w:lineRule="auto"/>
        <w:jc w:val="both"/>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4.4.1. Recomandările aprobate prin HCC nr.</w:t>
      </w:r>
      <w:r w:rsidR="00726EAC" w:rsidRPr="009E5B39">
        <w:rPr>
          <w:rFonts w:asciiTheme="majorHAnsi" w:hAnsiTheme="majorHAnsi" w:cstheme="majorHAnsi"/>
          <w:b/>
          <w:i/>
          <w:sz w:val="24"/>
          <w:szCs w:val="24"/>
          <w:lang w:val="ro-MD"/>
        </w:rPr>
        <w:t xml:space="preserve"> 31 </w:t>
      </w:r>
      <w:r w:rsidRPr="009E5B39">
        <w:rPr>
          <w:rFonts w:asciiTheme="majorHAnsi" w:hAnsiTheme="majorHAnsi" w:cstheme="majorHAnsi"/>
          <w:b/>
          <w:i/>
          <w:sz w:val="24"/>
          <w:szCs w:val="24"/>
          <w:lang w:val="ro-MD"/>
        </w:rPr>
        <w:t>din</w:t>
      </w:r>
      <w:r w:rsidR="00726EAC" w:rsidRPr="009E5B39">
        <w:rPr>
          <w:rFonts w:asciiTheme="majorHAnsi" w:hAnsiTheme="majorHAnsi" w:cstheme="majorHAnsi"/>
          <w:b/>
          <w:i/>
          <w:sz w:val="24"/>
          <w:szCs w:val="24"/>
          <w:lang w:val="ro-MD"/>
        </w:rPr>
        <w:t xml:space="preserve"> 17.07.2020 cu privire</w:t>
      </w:r>
      <w:r w:rsidR="00203D3E" w:rsidRPr="009E5B39">
        <w:rPr>
          <w:rFonts w:asciiTheme="majorHAnsi" w:hAnsiTheme="majorHAnsi" w:cstheme="majorHAnsi"/>
          <w:b/>
          <w:i/>
          <w:sz w:val="24"/>
          <w:szCs w:val="24"/>
          <w:lang w:val="ro-MD"/>
        </w:rPr>
        <w:t xml:space="preserve"> la Raportul auditului conformității eliberării documentelor permisive în construcție</w:t>
      </w:r>
      <w:r w:rsidR="00693502" w:rsidRPr="009E5B39">
        <w:rPr>
          <w:rFonts w:asciiTheme="majorHAnsi" w:hAnsiTheme="majorHAnsi" w:cstheme="majorHAnsi"/>
          <w:b/>
          <w:i/>
          <w:sz w:val="24"/>
          <w:szCs w:val="24"/>
          <w:lang w:val="ro-MD"/>
        </w:rPr>
        <w:t xml:space="preserve"> nu au fost implementate</w:t>
      </w:r>
      <w:r w:rsidR="00E1646C" w:rsidRPr="009E5B39">
        <w:rPr>
          <w:rFonts w:asciiTheme="majorHAnsi" w:hAnsiTheme="majorHAnsi" w:cstheme="majorHAnsi"/>
          <w:b/>
          <w:i/>
          <w:sz w:val="24"/>
          <w:szCs w:val="24"/>
          <w:lang w:val="ro-MD"/>
        </w:rPr>
        <w:t>.</w:t>
      </w:r>
    </w:p>
    <w:p w14:paraId="27046F05" w14:textId="0DCA218A" w:rsidR="00A13E0C" w:rsidRPr="009E5B39" w:rsidRDefault="004D5476" w:rsidP="00DD4073">
      <w:pPr>
        <w:spacing w:after="0" w:line="276" w:lineRule="auto"/>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ab/>
      </w:r>
      <w:r w:rsidR="00A13E0C" w:rsidRPr="009E5B39">
        <w:rPr>
          <w:rFonts w:asciiTheme="majorHAnsi" w:hAnsiTheme="majorHAnsi" w:cstheme="majorHAnsi"/>
          <w:sz w:val="24"/>
          <w:szCs w:val="24"/>
          <w:lang w:val="ro-MD"/>
        </w:rPr>
        <w:t>Prin Raportul în cauză</w:t>
      </w:r>
      <w:r w:rsidR="00E1646C" w:rsidRPr="009E5B39">
        <w:rPr>
          <w:rFonts w:asciiTheme="majorHAnsi" w:hAnsiTheme="majorHAnsi" w:cstheme="majorHAnsi"/>
          <w:sz w:val="24"/>
          <w:szCs w:val="24"/>
          <w:lang w:val="ro-MD"/>
        </w:rPr>
        <w:t>,</w:t>
      </w:r>
      <w:r w:rsidR="00A13E0C" w:rsidRPr="009E5B39">
        <w:rPr>
          <w:rFonts w:asciiTheme="majorHAnsi" w:hAnsiTheme="majorHAnsi" w:cstheme="majorHAnsi"/>
          <w:sz w:val="24"/>
          <w:szCs w:val="24"/>
          <w:lang w:val="ro-MD"/>
        </w:rPr>
        <w:t xml:space="preserve"> Primăriei mun. Chișinău </w:t>
      </w:r>
      <w:r w:rsidR="00E1646C" w:rsidRPr="009E5B39">
        <w:rPr>
          <w:rFonts w:asciiTheme="majorHAnsi" w:hAnsiTheme="majorHAnsi" w:cstheme="majorHAnsi"/>
          <w:sz w:val="24"/>
          <w:szCs w:val="24"/>
          <w:lang w:val="ro-MD"/>
        </w:rPr>
        <w:t>i-</w:t>
      </w:r>
      <w:r w:rsidR="00A13E0C" w:rsidRPr="009E5B39">
        <w:rPr>
          <w:rFonts w:asciiTheme="majorHAnsi" w:hAnsiTheme="majorHAnsi" w:cstheme="majorHAnsi"/>
          <w:sz w:val="24"/>
          <w:szCs w:val="24"/>
          <w:lang w:val="ro-MD"/>
        </w:rPr>
        <w:t>au fost înaintate 5 recomandări. Din numărul total de recomandări înaintate</w:t>
      </w:r>
      <w:r w:rsidR="003876A0" w:rsidRPr="009E5B39">
        <w:rPr>
          <w:rFonts w:asciiTheme="majorHAnsi" w:hAnsiTheme="majorHAnsi" w:cstheme="majorHAnsi"/>
          <w:sz w:val="24"/>
          <w:szCs w:val="24"/>
          <w:lang w:val="ro-MD"/>
        </w:rPr>
        <w:t>,</w:t>
      </w:r>
      <w:r w:rsidR="00A13E0C" w:rsidRPr="009E5B39">
        <w:rPr>
          <w:rFonts w:asciiTheme="majorHAnsi" w:hAnsiTheme="majorHAnsi" w:cstheme="majorHAnsi"/>
          <w:sz w:val="24"/>
          <w:szCs w:val="24"/>
          <w:lang w:val="ro-MD"/>
        </w:rPr>
        <w:t xml:space="preserve"> 2 au fost implementate parțial și 3 recomandări nu au fost implementate. </w:t>
      </w:r>
      <w:r w:rsidR="00693502" w:rsidRPr="009E5B39">
        <w:rPr>
          <w:rFonts w:asciiTheme="majorHAnsi" w:hAnsiTheme="majorHAnsi" w:cstheme="majorHAnsi"/>
          <w:sz w:val="24"/>
          <w:szCs w:val="24"/>
          <w:lang w:val="ro-MD"/>
        </w:rPr>
        <w:t xml:space="preserve">Verificarea impactului implementării parțiale/neimplementării recomandărilor înaintate în Raportul menționat </w:t>
      </w:r>
      <w:r w:rsidR="003876A0" w:rsidRPr="009E5B39">
        <w:rPr>
          <w:rFonts w:asciiTheme="majorHAnsi" w:hAnsiTheme="majorHAnsi" w:cstheme="majorHAnsi"/>
          <w:sz w:val="24"/>
          <w:szCs w:val="24"/>
          <w:lang w:val="ro-MD"/>
        </w:rPr>
        <w:t>denotă</w:t>
      </w:r>
      <w:r w:rsidR="00693502" w:rsidRPr="009E5B39">
        <w:rPr>
          <w:rFonts w:asciiTheme="majorHAnsi" w:hAnsiTheme="majorHAnsi" w:cstheme="majorHAnsi"/>
          <w:sz w:val="24"/>
          <w:szCs w:val="24"/>
          <w:lang w:val="ro-MD"/>
        </w:rPr>
        <w:t xml:space="preserve"> </w:t>
      </w:r>
      <w:r w:rsidR="003876A0" w:rsidRPr="009E5B39">
        <w:rPr>
          <w:rFonts w:asciiTheme="majorHAnsi" w:hAnsiTheme="majorHAnsi" w:cstheme="majorHAnsi"/>
          <w:sz w:val="24"/>
          <w:szCs w:val="24"/>
          <w:lang w:val="ro-MD"/>
        </w:rPr>
        <w:t>următoarele</w:t>
      </w:r>
      <w:r w:rsidR="00693502" w:rsidRPr="009E5B39">
        <w:rPr>
          <w:rFonts w:asciiTheme="majorHAnsi" w:hAnsiTheme="majorHAnsi" w:cstheme="majorHAnsi"/>
          <w:sz w:val="24"/>
          <w:szCs w:val="24"/>
          <w:lang w:val="ro-MD"/>
        </w:rPr>
        <w:t>:</w:t>
      </w:r>
    </w:p>
    <w:p w14:paraId="2FEA05D7" w14:textId="57549733" w:rsidR="004D5476" w:rsidRPr="009E5B39" w:rsidRDefault="00A13E0C" w:rsidP="00DD4073">
      <w:pPr>
        <w:spacing w:after="0" w:line="276" w:lineRule="auto"/>
        <w:jc w:val="both"/>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ab/>
      </w:r>
      <w:r w:rsidR="004D5476" w:rsidRPr="009E5B39">
        <w:rPr>
          <w:rFonts w:asciiTheme="majorHAnsi" w:hAnsiTheme="majorHAnsi" w:cstheme="majorHAnsi"/>
          <w:b/>
          <w:i/>
          <w:sz w:val="24"/>
          <w:szCs w:val="24"/>
          <w:lang w:val="ro-MD"/>
        </w:rPr>
        <w:t>Potrivit prevederilor Legii nr.835 din 17.05.96</w:t>
      </w:r>
      <w:r w:rsidR="004D5476" w:rsidRPr="009E5B39">
        <w:rPr>
          <w:rStyle w:val="FootnoteReference"/>
          <w:rFonts w:asciiTheme="majorHAnsi" w:hAnsiTheme="majorHAnsi" w:cstheme="majorHAnsi"/>
          <w:b/>
          <w:i/>
          <w:sz w:val="24"/>
          <w:szCs w:val="24"/>
          <w:lang w:val="ro-MD"/>
        </w:rPr>
        <w:footnoteReference w:id="224"/>
      </w:r>
      <w:r w:rsidR="004D5476" w:rsidRPr="009E5B39">
        <w:rPr>
          <w:rFonts w:asciiTheme="majorHAnsi" w:hAnsiTheme="majorHAnsi" w:cstheme="majorHAnsi"/>
          <w:b/>
          <w:i/>
          <w:sz w:val="24"/>
          <w:szCs w:val="24"/>
          <w:lang w:val="ro-MD"/>
        </w:rPr>
        <w:t>, planurile urbanistice generale reprezintă documentele de bază, extrem de importante, pentru dezvoltarea armonioasă și uniformă a infrastructurilor localităților.</w:t>
      </w:r>
      <w:r w:rsidR="004D5476" w:rsidRPr="009E5B39">
        <w:rPr>
          <w:rFonts w:asciiTheme="majorHAnsi" w:hAnsiTheme="majorHAnsi" w:cstheme="majorHAnsi"/>
          <w:b/>
          <w:i/>
          <w:sz w:val="24"/>
          <w:szCs w:val="24"/>
          <w:lang w:val="ro-MD" w:eastAsia="ru-RU"/>
        </w:rPr>
        <w:t xml:space="preserve"> </w:t>
      </w:r>
      <w:r w:rsidR="004D5476" w:rsidRPr="009E5B39">
        <w:rPr>
          <w:rFonts w:asciiTheme="majorHAnsi" w:hAnsiTheme="majorHAnsi" w:cstheme="majorHAnsi"/>
          <w:b/>
          <w:i/>
          <w:sz w:val="24"/>
          <w:szCs w:val="24"/>
          <w:lang w:val="ro-MD"/>
        </w:rPr>
        <w:t>PUG-ul stabilește norme generale, pe baza cărora se elaborează PUZ-urile și apoi PUD-urile. Totodată, în condițiile prevederilor Legii nr.163 din 09.07.2010</w:t>
      </w:r>
      <w:r w:rsidR="004D5476" w:rsidRPr="009E5B39">
        <w:rPr>
          <w:rStyle w:val="FootnoteReference"/>
          <w:rFonts w:asciiTheme="majorHAnsi" w:hAnsiTheme="majorHAnsi" w:cstheme="majorHAnsi"/>
          <w:b/>
          <w:i/>
          <w:sz w:val="24"/>
          <w:szCs w:val="24"/>
          <w:lang w:val="ro-MD"/>
        </w:rPr>
        <w:footnoteReference w:id="225"/>
      </w:r>
      <w:r w:rsidR="004D5476" w:rsidRPr="009E5B39">
        <w:rPr>
          <w:rFonts w:asciiTheme="majorHAnsi" w:hAnsiTheme="majorHAnsi" w:cstheme="majorHAnsi"/>
          <w:b/>
          <w:i/>
          <w:sz w:val="24"/>
          <w:szCs w:val="24"/>
          <w:lang w:val="ro-MD"/>
        </w:rPr>
        <w:t>, autoritățile publice locale eliberează, în baza cerințelor planuril</w:t>
      </w:r>
      <w:r w:rsidR="003876A0" w:rsidRPr="009E5B39">
        <w:rPr>
          <w:rFonts w:asciiTheme="majorHAnsi" w:hAnsiTheme="majorHAnsi" w:cstheme="majorHAnsi"/>
          <w:b/>
          <w:i/>
          <w:sz w:val="24"/>
          <w:szCs w:val="24"/>
          <w:lang w:val="ro-MD"/>
        </w:rPr>
        <w:t>or</w:t>
      </w:r>
      <w:r w:rsidR="004D5476" w:rsidRPr="009E5B39">
        <w:rPr>
          <w:rFonts w:asciiTheme="majorHAnsi" w:hAnsiTheme="majorHAnsi" w:cstheme="majorHAnsi"/>
          <w:b/>
          <w:i/>
          <w:sz w:val="24"/>
          <w:szCs w:val="24"/>
          <w:lang w:val="ro-MD"/>
        </w:rPr>
        <w:t xml:space="preserve"> urbanistice generale, certificatele de urbanism pentru proiectare, precum și autorizațiile de construire. </w:t>
      </w:r>
    </w:p>
    <w:p w14:paraId="73B7B225" w14:textId="633955FE" w:rsidR="00FD5445" w:rsidRPr="009E5B39" w:rsidRDefault="004D5476" w:rsidP="00DD4073">
      <w:pPr>
        <w:pStyle w:val="ListParagraph"/>
        <w:spacing w:after="0" w:line="276" w:lineRule="auto"/>
        <w:ind w:left="0" w:firstLine="426"/>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b/>
      </w:r>
      <w:r w:rsidR="00FD5445" w:rsidRPr="009E5B39">
        <w:rPr>
          <w:rFonts w:asciiTheme="majorHAnsi" w:hAnsiTheme="majorHAnsi" w:cstheme="majorHAnsi"/>
          <w:sz w:val="24"/>
          <w:szCs w:val="24"/>
          <w:lang w:val="ro-MD"/>
        </w:rPr>
        <w:t>În baza Deciziei CMC nr. 9/5 din 6 aprilie 2004 „Cu privire la aprobarea Concepției Planului urbanistic general al municipiului Chișinău”, a fost elaborat PUG a</w:t>
      </w:r>
      <w:r w:rsidR="003876A0" w:rsidRPr="009E5B39">
        <w:rPr>
          <w:rFonts w:asciiTheme="majorHAnsi" w:hAnsiTheme="majorHAnsi" w:cstheme="majorHAnsi"/>
          <w:sz w:val="24"/>
          <w:szCs w:val="24"/>
          <w:lang w:val="ro-MD"/>
        </w:rPr>
        <w:t>l</w:t>
      </w:r>
      <w:r w:rsidR="00FD5445" w:rsidRPr="009E5B39">
        <w:rPr>
          <w:rFonts w:asciiTheme="majorHAnsi" w:hAnsiTheme="majorHAnsi" w:cstheme="majorHAnsi"/>
          <w:sz w:val="24"/>
          <w:szCs w:val="24"/>
          <w:lang w:val="ro-MD"/>
        </w:rPr>
        <w:t xml:space="preserve"> or. Chișinău, aprobat prin </w:t>
      </w:r>
      <w:r w:rsidR="003876A0" w:rsidRPr="009E5B39">
        <w:rPr>
          <w:rFonts w:asciiTheme="majorHAnsi" w:hAnsiTheme="majorHAnsi" w:cstheme="majorHAnsi"/>
          <w:sz w:val="24"/>
          <w:szCs w:val="24"/>
          <w:lang w:val="ro-MD"/>
        </w:rPr>
        <w:t>D</w:t>
      </w:r>
      <w:r w:rsidR="00FD5445" w:rsidRPr="009E5B39">
        <w:rPr>
          <w:rFonts w:asciiTheme="majorHAnsi" w:hAnsiTheme="majorHAnsi" w:cstheme="majorHAnsi"/>
          <w:sz w:val="24"/>
          <w:szCs w:val="24"/>
          <w:lang w:val="ro-MD"/>
        </w:rPr>
        <w:t>ecizia CMC nr.68/1-2 din 22.03.2007</w:t>
      </w:r>
      <w:r w:rsidR="003876A0" w:rsidRPr="009E5B39">
        <w:rPr>
          <w:rFonts w:asciiTheme="majorHAnsi" w:hAnsiTheme="majorHAnsi" w:cstheme="majorHAnsi"/>
          <w:sz w:val="24"/>
          <w:szCs w:val="24"/>
          <w:lang w:val="ro-MD"/>
        </w:rPr>
        <w:t>,</w:t>
      </w:r>
      <w:r w:rsidR="00FD5445" w:rsidRPr="009E5B39">
        <w:rPr>
          <w:rFonts w:asciiTheme="majorHAnsi" w:hAnsiTheme="majorHAnsi" w:cstheme="majorHAnsi"/>
          <w:sz w:val="24"/>
          <w:szCs w:val="24"/>
          <w:lang w:val="ro-MD"/>
        </w:rPr>
        <w:t xml:space="preserve"> precum și Regulamentul local de urbanism, aprobat prin </w:t>
      </w:r>
      <w:r w:rsidR="003876A0" w:rsidRPr="009E5B39">
        <w:rPr>
          <w:rFonts w:asciiTheme="majorHAnsi" w:hAnsiTheme="majorHAnsi" w:cstheme="majorHAnsi"/>
          <w:sz w:val="24"/>
          <w:szCs w:val="24"/>
          <w:lang w:val="ro-MD"/>
        </w:rPr>
        <w:t>D</w:t>
      </w:r>
      <w:r w:rsidR="00FD5445" w:rsidRPr="009E5B39">
        <w:rPr>
          <w:rFonts w:asciiTheme="majorHAnsi" w:hAnsiTheme="majorHAnsi" w:cstheme="majorHAnsi"/>
          <w:sz w:val="24"/>
          <w:szCs w:val="24"/>
          <w:lang w:val="ro-MD"/>
        </w:rPr>
        <w:t xml:space="preserve">ecizia CMC nr. 22/40 din 25.12.2008. Conform </w:t>
      </w:r>
      <w:r w:rsidR="003876A0" w:rsidRPr="009E5B39">
        <w:rPr>
          <w:rFonts w:asciiTheme="majorHAnsi" w:hAnsiTheme="majorHAnsi" w:cstheme="majorHAnsi"/>
          <w:sz w:val="24"/>
          <w:szCs w:val="24"/>
          <w:lang w:val="ro-MD"/>
        </w:rPr>
        <w:t>D</w:t>
      </w:r>
      <w:r w:rsidR="00FD5445" w:rsidRPr="009E5B39">
        <w:rPr>
          <w:rFonts w:asciiTheme="majorHAnsi" w:hAnsiTheme="majorHAnsi" w:cstheme="majorHAnsi"/>
          <w:sz w:val="24"/>
          <w:szCs w:val="24"/>
          <w:lang w:val="ro-MD"/>
        </w:rPr>
        <w:t>eciziei CMC nr.4/30 din 13</w:t>
      </w:r>
      <w:r w:rsidR="003876A0" w:rsidRPr="009E5B39">
        <w:rPr>
          <w:rFonts w:asciiTheme="majorHAnsi" w:hAnsiTheme="majorHAnsi" w:cstheme="majorHAnsi"/>
          <w:sz w:val="24"/>
          <w:szCs w:val="24"/>
          <w:lang w:val="ro-MD"/>
        </w:rPr>
        <w:t>.05.</w:t>
      </w:r>
      <w:r w:rsidR="00FD5445" w:rsidRPr="009E5B39">
        <w:rPr>
          <w:rFonts w:asciiTheme="majorHAnsi" w:hAnsiTheme="majorHAnsi" w:cstheme="majorHAnsi"/>
          <w:sz w:val="24"/>
          <w:szCs w:val="24"/>
          <w:lang w:val="ro-MD"/>
        </w:rPr>
        <w:t>2014</w:t>
      </w:r>
      <w:r w:rsidR="003876A0" w:rsidRPr="009E5B39">
        <w:rPr>
          <w:rFonts w:asciiTheme="majorHAnsi" w:hAnsiTheme="majorHAnsi" w:cstheme="majorHAnsi"/>
          <w:sz w:val="24"/>
          <w:szCs w:val="24"/>
          <w:lang w:val="ro-MD"/>
        </w:rPr>
        <w:t>,</w:t>
      </w:r>
      <w:r w:rsidR="00844D5C" w:rsidRPr="009E5B39">
        <w:rPr>
          <w:rFonts w:asciiTheme="majorHAnsi" w:hAnsiTheme="majorHAnsi" w:cstheme="majorHAnsi"/>
          <w:sz w:val="24"/>
          <w:szCs w:val="24"/>
          <w:lang w:val="ro-MD"/>
        </w:rPr>
        <w:t xml:space="preserve"> </w:t>
      </w:r>
      <w:r w:rsidR="00FD5445" w:rsidRPr="009E5B39">
        <w:rPr>
          <w:rFonts w:asciiTheme="majorHAnsi" w:hAnsiTheme="majorHAnsi" w:cstheme="majorHAnsi"/>
          <w:sz w:val="24"/>
          <w:szCs w:val="24"/>
          <w:lang w:val="ro-MD"/>
        </w:rPr>
        <w:t xml:space="preserve">au parvenit modificări la </w:t>
      </w:r>
      <w:r w:rsidR="003876A0" w:rsidRPr="009E5B39">
        <w:rPr>
          <w:rFonts w:asciiTheme="majorHAnsi" w:hAnsiTheme="majorHAnsi" w:cstheme="majorHAnsi"/>
          <w:sz w:val="24"/>
          <w:szCs w:val="24"/>
          <w:lang w:val="ro-MD"/>
        </w:rPr>
        <w:t>D</w:t>
      </w:r>
      <w:r w:rsidR="00FD5445" w:rsidRPr="009E5B39">
        <w:rPr>
          <w:rFonts w:asciiTheme="majorHAnsi" w:hAnsiTheme="majorHAnsi" w:cstheme="majorHAnsi"/>
          <w:sz w:val="24"/>
          <w:szCs w:val="24"/>
          <w:lang w:val="ro-MD"/>
        </w:rPr>
        <w:t xml:space="preserve">ecizia CMC nr. 22/40 din 25.12.2008 </w:t>
      </w:r>
      <w:r w:rsidR="003876A0" w:rsidRPr="009E5B39">
        <w:rPr>
          <w:rFonts w:asciiTheme="majorHAnsi" w:hAnsiTheme="majorHAnsi" w:cstheme="majorHAnsi"/>
          <w:sz w:val="24"/>
          <w:szCs w:val="24"/>
          <w:lang w:val="ro-MD"/>
        </w:rPr>
        <w:t>„</w:t>
      </w:r>
      <w:r w:rsidR="00FD5445" w:rsidRPr="009E5B39">
        <w:rPr>
          <w:rFonts w:asciiTheme="majorHAnsi" w:hAnsiTheme="majorHAnsi" w:cstheme="majorHAnsi"/>
          <w:sz w:val="24"/>
          <w:szCs w:val="24"/>
          <w:lang w:val="ro-MD"/>
        </w:rPr>
        <w:t xml:space="preserve">Cu privire la aprobarea Regulamentului local de urbanism al orașului Chișinău", prin care Direcția generală arhitectură, urbanism și relații funciare va asigura elaborarea planurilor urbanistice zonale și de detaliu, </w:t>
      </w:r>
      <w:r w:rsidR="003876A0" w:rsidRPr="009E5B39">
        <w:rPr>
          <w:rFonts w:asciiTheme="majorHAnsi" w:hAnsiTheme="majorHAnsi" w:cstheme="majorHAnsi"/>
          <w:sz w:val="24"/>
          <w:szCs w:val="24"/>
          <w:lang w:val="ro-MD"/>
        </w:rPr>
        <w:t>țin</w:t>
      </w:r>
      <w:r w:rsidR="00FD5445" w:rsidRPr="009E5B39">
        <w:rPr>
          <w:rFonts w:asciiTheme="majorHAnsi" w:hAnsiTheme="majorHAnsi" w:cstheme="majorHAnsi"/>
          <w:sz w:val="24"/>
          <w:szCs w:val="24"/>
          <w:lang w:val="ro-MD"/>
        </w:rPr>
        <w:t xml:space="preserve">ând cont de prevederile Regulamentului, și  </w:t>
      </w:r>
      <w:r w:rsidR="003876A0" w:rsidRPr="009E5B39">
        <w:rPr>
          <w:rFonts w:asciiTheme="majorHAnsi" w:hAnsiTheme="majorHAnsi" w:cstheme="majorHAnsi"/>
          <w:sz w:val="24"/>
          <w:szCs w:val="24"/>
          <w:lang w:val="ro-MD"/>
        </w:rPr>
        <w:t xml:space="preserve">le </w:t>
      </w:r>
      <w:r w:rsidR="00FD5445" w:rsidRPr="009E5B39">
        <w:rPr>
          <w:rFonts w:asciiTheme="majorHAnsi" w:hAnsiTheme="majorHAnsi" w:cstheme="majorHAnsi"/>
          <w:sz w:val="24"/>
          <w:szCs w:val="24"/>
          <w:lang w:val="ro-MD"/>
        </w:rPr>
        <w:t xml:space="preserve">va prezenta spre aprobare CMC </w:t>
      </w:r>
      <w:r w:rsidR="003876A0" w:rsidRPr="009E5B39">
        <w:rPr>
          <w:rFonts w:asciiTheme="majorHAnsi" w:hAnsiTheme="majorHAnsi" w:cstheme="majorHAnsi"/>
          <w:sz w:val="24"/>
          <w:szCs w:val="24"/>
          <w:lang w:val="ro-MD"/>
        </w:rPr>
        <w:t>î</w:t>
      </w:r>
      <w:r w:rsidR="00FD5445" w:rsidRPr="009E5B39">
        <w:rPr>
          <w:rFonts w:asciiTheme="majorHAnsi" w:hAnsiTheme="majorHAnsi" w:cstheme="majorHAnsi"/>
          <w:sz w:val="24"/>
          <w:szCs w:val="24"/>
          <w:lang w:val="ro-MD"/>
        </w:rPr>
        <w:t xml:space="preserve">n modul stabilit de legislația </w:t>
      </w:r>
      <w:r w:rsidR="003876A0" w:rsidRPr="009E5B39">
        <w:rPr>
          <w:rFonts w:asciiTheme="majorHAnsi" w:hAnsiTheme="majorHAnsi" w:cstheme="majorHAnsi"/>
          <w:sz w:val="24"/>
          <w:szCs w:val="24"/>
          <w:lang w:val="ro-MD"/>
        </w:rPr>
        <w:t>î</w:t>
      </w:r>
      <w:r w:rsidR="00FD5445" w:rsidRPr="009E5B39">
        <w:rPr>
          <w:rFonts w:asciiTheme="majorHAnsi" w:hAnsiTheme="majorHAnsi" w:cstheme="majorHAnsi"/>
          <w:sz w:val="24"/>
          <w:szCs w:val="24"/>
          <w:lang w:val="ro-MD"/>
        </w:rPr>
        <w:t xml:space="preserve">n vigoare.      </w:t>
      </w:r>
    </w:p>
    <w:p w14:paraId="693A3544" w14:textId="29A4E2A4" w:rsidR="00FD5445" w:rsidRPr="009E5B39" w:rsidRDefault="00FD5445" w:rsidP="00D97F1D">
      <w:pPr>
        <w:pStyle w:val="ListParagraph"/>
        <w:spacing w:after="0" w:line="276" w:lineRule="auto"/>
        <w:ind w:left="0" w:firstLine="426"/>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Totodată, conform prevederilor acestei decizii</w:t>
      </w:r>
      <w:r w:rsidR="003876A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DGAURF va înainta, </w:t>
      </w:r>
      <w:r w:rsidR="003876A0" w:rsidRPr="009E5B39">
        <w:rPr>
          <w:rFonts w:asciiTheme="majorHAnsi" w:hAnsiTheme="majorHAnsi" w:cstheme="majorHAnsi"/>
          <w:sz w:val="24"/>
          <w:szCs w:val="24"/>
          <w:lang w:val="ro-MD"/>
        </w:rPr>
        <w:t>î</w:t>
      </w:r>
      <w:r w:rsidRPr="009E5B39">
        <w:rPr>
          <w:rFonts w:asciiTheme="majorHAnsi" w:hAnsiTheme="majorHAnsi" w:cstheme="majorHAnsi"/>
          <w:sz w:val="24"/>
          <w:szCs w:val="24"/>
          <w:lang w:val="ro-MD"/>
        </w:rPr>
        <w:t xml:space="preserve">n termen de 60 de zile calendaristice, propuneri concrete privind operarea de modificări </w:t>
      </w:r>
      <w:r w:rsidR="003876A0" w:rsidRPr="009E5B39">
        <w:rPr>
          <w:rFonts w:asciiTheme="majorHAnsi" w:hAnsiTheme="majorHAnsi" w:cstheme="majorHAnsi"/>
          <w:sz w:val="24"/>
          <w:szCs w:val="24"/>
          <w:lang w:val="ro-MD"/>
        </w:rPr>
        <w:t>î</w:t>
      </w:r>
      <w:r w:rsidRPr="009E5B39">
        <w:rPr>
          <w:rFonts w:asciiTheme="majorHAnsi" w:hAnsiTheme="majorHAnsi" w:cstheme="majorHAnsi"/>
          <w:sz w:val="24"/>
          <w:szCs w:val="24"/>
          <w:lang w:val="ro-MD"/>
        </w:rPr>
        <w:t>n Regulamentul local de urbanism al orașului Chișinău. Ținem să menționăm că</w:t>
      </w:r>
      <w:r w:rsidR="003876A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până la etapa actuală, careva modificări la acest regulament n-au fost efectuate.  </w:t>
      </w:r>
    </w:p>
    <w:p w14:paraId="282CEBC0" w14:textId="35953AD6" w:rsidR="00EA5515" w:rsidRPr="009E5B39" w:rsidRDefault="004668D5" w:rsidP="00EF4BC3">
      <w:pPr>
        <w:tabs>
          <w:tab w:val="left" w:pos="426"/>
        </w:tabs>
        <w:spacing w:after="0" w:line="276" w:lineRule="auto"/>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b/>
      </w:r>
      <w:r w:rsidR="003876A0" w:rsidRPr="009E5B39">
        <w:rPr>
          <w:rFonts w:asciiTheme="majorHAnsi" w:hAnsiTheme="majorHAnsi" w:cstheme="majorHAnsi"/>
          <w:sz w:val="24"/>
          <w:szCs w:val="24"/>
          <w:lang w:val="ro-MD"/>
        </w:rPr>
        <w:t>T</w:t>
      </w:r>
      <w:r w:rsidR="004D5476" w:rsidRPr="009E5B39">
        <w:rPr>
          <w:rFonts w:asciiTheme="majorHAnsi" w:hAnsiTheme="majorHAnsi" w:cstheme="majorHAnsi"/>
          <w:sz w:val="24"/>
          <w:szCs w:val="24"/>
          <w:lang w:val="ro-MD"/>
        </w:rPr>
        <w:t>ergivers</w:t>
      </w:r>
      <w:r w:rsidR="003876A0" w:rsidRPr="009E5B39">
        <w:rPr>
          <w:rFonts w:asciiTheme="majorHAnsi" w:hAnsiTheme="majorHAnsi" w:cstheme="majorHAnsi"/>
          <w:sz w:val="24"/>
          <w:szCs w:val="24"/>
          <w:lang w:val="ro-MD"/>
        </w:rPr>
        <w:t>area</w:t>
      </w:r>
      <w:r w:rsidR="004D5476" w:rsidRPr="009E5B39">
        <w:rPr>
          <w:rFonts w:asciiTheme="majorHAnsi" w:hAnsiTheme="majorHAnsi" w:cstheme="majorHAnsi"/>
          <w:sz w:val="24"/>
          <w:szCs w:val="24"/>
          <w:lang w:val="ro-MD"/>
        </w:rPr>
        <w:t xml:space="preserve"> actualizării PUG</w:t>
      </w:r>
      <w:r w:rsidRPr="009E5B39">
        <w:rPr>
          <w:rFonts w:asciiTheme="majorHAnsi" w:hAnsiTheme="majorHAnsi" w:cstheme="majorHAnsi"/>
          <w:sz w:val="24"/>
          <w:szCs w:val="24"/>
          <w:lang w:val="ro-MD"/>
        </w:rPr>
        <w:t xml:space="preserve"> a</w:t>
      </w:r>
      <w:r w:rsidR="003876A0" w:rsidRPr="009E5B39">
        <w:rPr>
          <w:rFonts w:asciiTheme="majorHAnsi" w:hAnsiTheme="majorHAnsi" w:cstheme="majorHAnsi"/>
          <w:sz w:val="24"/>
          <w:szCs w:val="24"/>
          <w:lang w:val="ro-MD"/>
        </w:rPr>
        <w:t>l</w:t>
      </w:r>
      <w:r w:rsidR="004D5476" w:rsidRPr="009E5B39">
        <w:rPr>
          <w:rFonts w:asciiTheme="majorHAnsi" w:hAnsiTheme="majorHAnsi" w:cstheme="majorHAnsi"/>
          <w:sz w:val="24"/>
          <w:szCs w:val="24"/>
          <w:lang w:val="ro-MD"/>
        </w:rPr>
        <w:t xml:space="preserve"> mun. Chișinău presupun</w:t>
      </w:r>
      <w:r w:rsidR="003876A0" w:rsidRPr="009E5B39">
        <w:rPr>
          <w:rFonts w:asciiTheme="majorHAnsi" w:hAnsiTheme="majorHAnsi" w:cstheme="majorHAnsi"/>
          <w:sz w:val="24"/>
          <w:szCs w:val="24"/>
          <w:lang w:val="ro-MD"/>
        </w:rPr>
        <w:t>e</w:t>
      </w:r>
      <w:r w:rsidR="004D5476" w:rsidRPr="009E5B39">
        <w:rPr>
          <w:rFonts w:asciiTheme="majorHAnsi" w:hAnsiTheme="majorHAnsi" w:cstheme="majorHAnsi"/>
          <w:sz w:val="24"/>
          <w:szCs w:val="24"/>
          <w:lang w:val="ro-MD"/>
        </w:rPr>
        <w:t xml:space="preserve"> unele probleme și riscuri. În primul rând, autoritățile publice locale recurg la aprobarea planurilor urbanistice zonale sau de detaliu sub pretextul de revitalizare a zonelor, sectoarelor, terenurilor etc. Astfel, sunt create condiții favorabile pentru </w:t>
      </w:r>
      <w:r w:rsidR="00761AD8" w:rsidRPr="009E5B39">
        <w:rPr>
          <w:rFonts w:asciiTheme="majorHAnsi" w:hAnsiTheme="majorHAnsi" w:cstheme="majorHAnsi"/>
          <w:sz w:val="24"/>
          <w:szCs w:val="24"/>
          <w:lang w:val="ro-MD"/>
        </w:rPr>
        <w:t>influențe necorespunzătoare asupra</w:t>
      </w:r>
      <w:r w:rsidR="004D5476" w:rsidRPr="009E5B39">
        <w:rPr>
          <w:rFonts w:asciiTheme="majorHAnsi" w:hAnsiTheme="majorHAnsi" w:cstheme="majorHAnsi"/>
          <w:sz w:val="24"/>
          <w:szCs w:val="24"/>
          <w:lang w:val="ro-MD"/>
        </w:rPr>
        <w:t xml:space="preserve"> funcționari</w:t>
      </w:r>
      <w:r w:rsidR="00761AD8" w:rsidRPr="009E5B39">
        <w:rPr>
          <w:rFonts w:asciiTheme="majorHAnsi" w:hAnsiTheme="majorHAnsi" w:cstheme="majorHAnsi"/>
          <w:sz w:val="24"/>
          <w:szCs w:val="24"/>
          <w:lang w:val="ro-MD"/>
        </w:rPr>
        <w:t>lor</w:t>
      </w:r>
      <w:r w:rsidR="004D5476" w:rsidRPr="009E5B39">
        <w:rPr>
          <w:rFonts w:asciiTheme="majorHAnsi" w:hAnsiTheme="majorHAnsi" w:cstheme="majorHAnsi"/>
          <w:sz w:val="24"/>
          <w:szCs w:val="24"/>
          <w:lang w:val="ro-MD"/>
        </w:rPr>
        <w:t xml:space="preserve"> publici, care dispun de libertate în procesul eliberării actelor permisive, conform solicitărilor și dorințelor companiilor de construcții (referitor la zonalitate, regim de înălțime, destinație etc.). În al doilea rând, admiterea efectuării construcțiilor pe terenurile problematice, care sunt sub influența factorilor distructivi</w:t>
      </w:r>
      <w:r w:rsidR="007221B2" w:rsidRPr="009E5B39">
        <w:rPr>
          <w:rFonts w:asciiTheme="majorHAnsi" w:hAnsiTheme="majorHAnsi" w:cstheme="majorHAnsi"/>
          <w:sz w:val="24"/>
          <w:szCs w:val="24"/>
          <w:lang w:val="ro-MD"/>
        </w:rPr>
        <w:t>,</w:t>
      </w:r>
      <w:r w:rsidR="004D5476" w:rsidRPr="009E5B39">
        <w:rPr>
          <w:rFonts w:asciiTheme="majorHAnsi" w:hAnsiTheme="majorHAnsi" w:cstheme="majorHAnsi"/>
          <w:sz w:val="24"/>
          <w:szCs w:val="24"/>
          <w:lang w:val="ro-MD"/>
        </w:rPr>
        <w:t xml:space="preserve"> precum ape subterane, eroziuni ale solului, alunecări de teren etc. </w:t>
      </w:r>
    </w:p>
    <w:p w14:paraId="3FEEC8DF" w14:textId="38FEF63D" w:rsidR="004D5476" w:rsidRPr="009E5B39" w:rsidRDefault="004668D5" w:rsidP="00EF4BC3">
      <w:pPr>
        <w:tabs>
          <w:tab w:val="left" w:pos="426"/>
        </w:tabs>
        <w:spacing w:after="0" w:line="276" w:lineRule="auto"/>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b/>
      </w:r>
      <w:r w:rsidR="00950778" w:rsidRPr="009E5B39">
        <w:rPr>
          <w:rFonts w:asciiTheme="majorHAnsi" w:hAnsiTheme="majorHAnsi" w:cstheme="majorHAnsi"/>
          <w:sz w:val="24"/>
          <w:szCs w:val="24"/>
          <w:lang w:val="ro-MD"/>
        </w:rPr>
        <w:t>Pentru a analiza impactul</w:t>
      </w:r>
      <w:r w:rsidR="007221B2" w:rsidRPr="009E5B39">
        <w:rPr>
          <w:rFonts w:asciiTheme="majorHAnsi" w:hAnsiTheme="majorHAnsi" w:cstheme="majorHAnsi"/>
          <w:sz w:val="24"/>
          <w:szCs w:val="24"/>
          <w:lang w:val="ro-MD"/>
        </w:rPr>
        <w:t xml:space="preserve"> </w:t>
      </w:r>
      <w:r w:rsidR="00950778" w:rsidRPr="009E5B39">
        <w:rPr>
          <w:rFonts w:asciiTheme="majorHAnsi" w:hAnsiTheme="majorHAnsi" w:cstheme="majorHAnsi"/>
          <w:sz w:val="24"/>
          <w:szCs w:val="24"/>
          <w:lang w:val="ro-MD"/>
        </w:rPr>
        <w:t>implement</w:t>
      </w:r>
      <w:r w:rsidR="007221B2" w:rsidRPr="009E5B39">
        <w:rPr>
          <w:rFonts w:asciiTheme="majorHAnsi" w:hAnsiTheme="majorHAnsi" w:cstheme="majorHAnsi"/>
          <w:sz w:val="24"/>
          <w:szCs w:val="24"/>
          <w:lang w:val="ro-MD"/>
        </w:rPr>
        <w:t>ării</w:t>
      </w:r>
      <w:r w:rsidR="00950778" w:rsidRPr="009E5B39">
        <w:rPr>
          <w:rFonts w:asciiTheme="majorHAnsi" w:hAnsiTheme="majorHAnsi" w:cstheme="majorHAnsi"/>
          <w:sz w:val="24"/>
          <w:szCs w:val="24"/>
          <w:lang w:val="ro-MD"/>
        </w:rPr>
        <w:t xml:space="preserve"> </w:t>
      </w:r>
      <w:r w:rsidR="00761AD8" w:rsidRPr="009E5B39">
        <w:rPr>
          <w:rFonts w:asciiTheme="majorHAnsi" w:hAnsiTheme="majorHAnsi" w:cstheme="majorHAnsi"/>
          <w:sz w:val="24"/>
          <w:szCs w:val="24"/>
          <w:lang w:val="ro-MD"/>
        </w:rPr>
        <w:t>recomandărilor</w:t>
      </w:r>
      <w:r w:rsidR="00950778" w:rsidRPr="009E5B39">
        <w:rPr>
          <w:rFonts w:asciiTheme="majorHAnsi" w:hAnsiTheme="majorHAnsi" w:cstheme="majorHAnsi"/>
          <w:sz w:val="24"/>
          <w:szCs w:val="24"/>
          <w:lang w:val="ro-MD"/>
        </w:rPr>
        <w:t xml:space="preserve">, auditorii au verificat conformitatea eliberării documentelor permisive pentru 34 </w:t>
      </w:r>
      <w:r w:rsidR="007221B2" w:rsidRPr="009E5B39">
        <w:rPr>
          <w:rFonts w:asciiTheme="majorHAnsi" w:hAnsiTheme="majorHAnsi" w:cstheme="majorHAnsi"/>
          <w:sz w:val="24"/>
          <w:szCs w:val="24"/>
          <w:lang w:val="ro-MD"/>
        </w:rPr>
        <w:t xml:space="preserve">de </w:t>
      </w:r>
      <w:r w:rsidR="00950778" w:rsidRPr="009E5B39">
        <w:rPr>
          <w:rFonts w:asciiTheme="majorHAnsi" w:hAnsiTheme="majorHAnsi" w:cstheme="majorHAnsi"/>
          <w:sz w:val="24"/>
          <w:szCs w:val="24"/>
          <w:lang w:val="ro-MD"/>
        </w:rPr>
        <w:t>cazuri,</w:t>
      </w:r>
      <w:r w:rsidR="00EA5515" w:rsidRPr="009E5B39">
        <w:rPr>
          <w:rFonts w:asciiTheme="majorHAnsi" w:hAnsiTheme="majorHAnsi" w:cstheme="majorHAnsi"/>
          <w:sz w:val="24"/>
          <w:szCs w:val="24"/>
          <w:lang w:val="ro-MD"/>
        </w:rPr>
        <w:t xml:space="preserve"> c</w:t>
      </w:r>
      <w:r w:rsidR="007221B2" w:rsidRPr="009E5B39">
        <w:rPr>
          <w:rFonts w:asciiTheme="majorHAnsi" w:hAnsiTheme="majorHAnsi" w:cstheme="majorHAnsi"/>
          <w:sz w:val="24"/>
          <w:szCs w:val="24"/>
          <w:lang w:val="ro-MD"/>
        </w:rPr>
        <w:t>ar</w:t>
      </w:r>
      <w:r w:rsidR="00EA5515" w:rsidRPr="009E5B39">
        <w:rPr>
          <w:rFonts w:asciiTheme="majorHAnsi" w:hAnsiTheme="majorHAnsi" w:cstheme="majorHAnsi"/>
          <w:sz w:val="24"/>
          <w:szCs w:val="24"/>
          <w:lang w:val="ro-MD"/>
        </w:rPr>
        <w:t>e conțin documente permisive în construcție (34 certificate de urbanism pentru proiectare și 34 autorizații de construire)</w:t>
      </w:r>
      <w:r w:rsidR="007221B2" w:rsidRPr="009E5B39">
        <w:rPr>
          <w:rFonts w:asciiTheme="majorHAnsi" w:hAnsiTheme="majorHAnsi" w:cstheme="majorHAnsi"/>
          <w:sz w:val="24"/>
          <w:szCs w:val="24"/>
          <w:lang w:val="ro-MD"/>
        </w:rPr>
        <w:t>,</w:t>
      </w:r>
      <w:r w:rsidR="00EA5515" w:rsidRPr="009E5B39">
        <w:rPr>
          <w:rFonts w:asciiTheme="majorHAnsi" w:hAnsiTheme="majorHAnsi" w:cstheme="majorHAnsi"/>
          <w:sz w:val="24"/>
          <w:szCs w:val="24"/>
          <w:lang w:val="ro-MD"/>
        </w:rPr>
        <w:t xml:space="preserve"> emise pentru diferite destinații. </w:t>
      </w:r>
      <w:r w:rsidR="004D5476" w:rsidRPr="009E5B39">
        <w:rPr>
          <w:rFonts w:asciiTheme="majorHAnsi" w:hAnsiTheme="majorHAnsi" w:cstheme="majorHAnsi"/>
          <w:sz w:val="24"/>
          <w:szCs w:val="24"/>
          <w:lang w:val="ro-MD"/>
        </w:rPr>
        <w:t xml:space="preserve">Auditul a constatat mai multe iregularități la eliberarea actelor permisive, cum ar fi: </w:t>
      </w:r>
    </w:p>
    <w:p w14:paraId="469CDC97" w14:textId="28395B7A" w:rsidR="004D5476" w:rsidRPr="009E5B39" w:rsidRDefault="004D5476" w:rsidP="00EF4BC3">
      <w:pPr>
        <w:pStyle w:val="ListParagraph"/>
        <w:numPr>
          <w:ilvl w:val="0"/>
          <w:numId w:val="36"/>
        </w:numPr>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 xml:space="preserve">Eliberarea documentelor permisive în lipsa acordului CMC asupra terenului municipal pentru construcție sau în lipsa contractului de arendă. </w:t>
      </w:r>
      <w:r w:rsidRPr="009E5B39">
        <w:rPr>
          <w:rFonts w:asciiTheme="majorHAnsi" w:hAnsiTheme="majorHAnsi" w:cstheme="majorHAnsi"/>
          <w:sz w:val="24"/>
          <w:szCs w:val="24"/>
          <w:lang w:val="ro-MD"/>
        </w:rPr>
        <w:t>Prin această situație</w:t>
      </w:r>
      <w:r w:rsidR="0035331E" w:rsidRPr="009E5B39">
        <w:rPr>
          <w:rFonts w:asciiTheme="majorHAnsi" w:hAnsiTheme="majorHAnsi" w:cstheme="majorHAnsi"/>
          <w:sz w:val="24"/>
          <w:szCs w:val="24"/>
          <w:lang w:val="ro-MD"/>
        </w:rPr>
        <w:t>,</w:t>
      </w:r>
      <w:r w:rsidR="00761AD8"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agenți</w:t>
      </w:r>
      <w:r w:rsidR="0035331E" w:rsidRPr="009E5B39">
        <w:rPr>
          <w:rFonts w:asciiTheme="majorHAnsi" w:hAnsiTheme="majorHAnsi" w:cstheme="majorHAnsi"/>
          <w:sz w:val="24"/>
          <w:szCs w:val="24"/>
          <w:lang w:val="ro-MD"/>
        </w:rPr>
        <w:t>lor</w:t>
      </w:r>
      <w:r w:rsidRPr="009E5B39">
        <w:rPr>
          <w:rFonts w:asciiTheme="majorHAnsi" w:hAnsiTheme="majorHAnsi" w:cstheme="majorHAnsi"/>
          <w:sz w:val="24"/>
          <w:szCs w:val="24"/>
          <w:lang w:val="ro-MD"/>
        </w:rPr>
        <w:t xml:space="preserve"> economici </w:t>
      </w:r>
      <w:r w:rsidR="0035331E" w:rsidRPr="009E5B39">
        <w:rPr>
          <w:rFonts w:asciiTheme="majorHAnsi" w:hAnsiTheme="majorHAnsi" w:cstheme="majorHAnsi"/>
          <w:sz w:val="24"/>
          <w:szCs w:val="24"/>
          <w:lang w:val="ro-MD"/>
        </w:rPr>
        <w:t>care nu au</w:t>
      </w:r>
      <w:r w:rsidRPr="009E5B39">
        <w:rPr>
          <w:rFonts w:asciiTheme="majorHAnsi" w:hAnsiTheme="majorHAnsi" w:cstheme="majorHAnsi"/>
          <w:sz w:val="24"/>
          <w:szCs w:val="24"/>
          <w:lang w:val="ro-MD"/>
        </w:rPr>
        <w:t xml:space="preserve"> niciun drept asupra terenului municipal pe care se efectuează construcția, PMC</w:t>
      </w:r>
      <w:r w:rsidR="0035331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 încălcând prevederile art.7 și </w:t>
      </w:r>
      <w:r w:rsidR="0035331E" w:rsidRPr="009E5B39">
        <w:rPr>
          <w:rFonts w:asciiTheme="majorHAnsi" w:hAnsiTheme="majorHAnsi" w:cstheme="majorHAnsi"/>
          <w:sz w:val="24"/>
          <w:szCs w:val="24"/>
          <w:lang w:val="ro-MD"/>
        </w:rPr>
        <w:t>art.</w:t>
      </w:r>
      <w:r w:rsidRPr="009E5B39">
        <w:rPr>
          <w:rFonts w:asciiTheme="majorHAnsi" w:hAnsiTheme="majorHAnsi" w:cstheme="majorHAnsi"/>
          <w:sz w:val="24"/>
          <w:szCs w:val="24"/>
          <w:lang w:val="ro-MD"/>
        </w:rPr>
        <w:t xml:space="preserve">12 </w:t>
      </w:r>
      <w:r w:rsidR="0035331E" w:rsidRPr="009E5B39">
        <w:rPr>
          <w:rFonts w:asciiTheme="majorHAnsi" w:hAnsiTheme="majorHAnsi" w:cstheme="majorHAnsi"/>
          <w:sz w:val="24"/>
          <w:szCs w:val="24"/>
          <w:lang w:val="ro-MD"/>
        </w:rPr>
        <w:t>din</w:t>
      </w:r>
      <w:r w:rsidRPr="009E5B39">
        <w:rPr>
          <w:rFonts w:asciiTheme="majorHAnsi" w:hAnsiTheme="majorHAnsi" w:cstheme="majorHAnsi"/>
          <w:sz w:val="24"/>
          <w:szCs w:val="24"/>
          <w:lang w:val="ro-MD"/>
        </w:rPr>
        <w:t xml:space="preserve"> Leg</w:t>
      </w:r>
      <w:r w:rsidR="0035331E" w:rsidRPr="009E5B39">
        <w:rPr>
          <w:rFonts w:asciiTheme="majorHAnsi" w:hAnsiTheme="majorHAnsi" w:cstheme="majorHAnsi"/>
          <w:sz w:val="24"/>
          <w:szCs w:val="24"/>
          <w:lang w:val="ro-MD"/>
        </w:rPr>
        <w:t>ea</w:t>
      </w:r>
      <w:r w:rsidRPr="009E5B39">
        <w:rPr>
          <w:rFonts w:asciiTheme="majorHAnsi" w:hAnsiTheme="majorHAnsi" w:cstheme="majorHAnsi"/>
          <w:sz w:val="24"/>
          <w:szCs w:val="24"/>
          <w:lang w:val="ro-MD"/>
        </w:rPr>
        <w:t xml:space="preserve"> </w:t>
      </w:r>
      <w:r w:rsidR="0035331E" w:rsidRPr="009E5B39">
        <w:rPr>
          <w:rFonts w:asciiTheme="majorHAnsi" w:hAnsiTheme="majorHAnsi" w:cstheme="majorHAnsi"/>
          <w:sz w:val="24"/>
          <w:szCs w:val="24"/>
          <w:lang w:val="ro-MD"/>
        </w:rPr>
        <w:t>nr.</w:t>
      </w:r>
      <w:r w:rsidRPr="009E5B39">
        <w:rPr>
          <w:rFonts w:asciiTheme="majorHAnsi" w:hAnsiTheme="majorHAnsi" w:cstheme="majorHAnsi"/>
          <w:sz w:val="24"/>
          <w:szCs w:val="24"/>
          <w:lang w:val="ro-MD"/>
        </w:rPr>
        <w:t>163/2010, abuziv le eliberează documentele permisive pentru efectuarea construcției.</w:t>
      </w:r>
      <w:r w:rsidRPr="009E5B39">
        <w:rPr>
          <w:rFonts w:asciiTheme="majorHAnsi" w:hAnsiTheme="majorHAnsi" w:cstheme="majorHAnsi"/>
          <w:i/>
          <w:sz w:val="24"/>
          <w:szCs w:val="24"/>
          <w:lang w:val="ro-MD"/>
        </w:rPr>
        <w:t xml:space="preserve"> (</w:t>
      </w:r>
      <w:r w:rsidR="0035331E" w:rsidRPr="009E5B39">
        <w:rPr>
          <w:rFonts w:asciiTheme="majorHAnsi" w:hAnsiTheme="majorHAnsi" w:cstheme="majorHAnsi"/>
          <w:i/>
          <w:sz w:val="24"/>
          <w:szCs w:val="24"/>
          <w:lang w:val="ro-MD"/>
        </w:rPr>
        <w:t>E</w:t>
      </w:r>
      <w:r w:rsidRPr="009E5B39">
        <w:rPr>
          <w:rFonts w:asciiTheme="majorHAnsi" w:hAnsiTheme="majorHAnsi" w:cstheme="majorHAnsi"/>
          <w:i/>
          <w:sz w:val="24"/>
          <w:szCs w:val="24"/>
          <w:lang w:val="ro-MD"/>
        </w:rPr>
        <w:t>xemple la acest subiect sunt expuse în Anexa nr</w:t>
      </w:r>
      <w:r w:rsidR="00EA5515" w:rsidRPr="009E5B39">
        <w:rPr>
          <w:rFonts w:asciiTheme="majorHAnsi" w:hAnsiTheme="majorHAnsi" w:cstheme="majorHAnsi"/>
          <w:i/>
          <w:sz w:val="24"/>
          <w:szCs w:val="24"/>
          <w:lang w:val="ro-MD"/>
        </w:rPr>
        <w:t>.1</w:t>
      </w:r>
      <w:r w:rsidR="00076181" w:rsidRPr="009E5B39">
        <w:rPr>
          <w:rFonts w:asciiTheme="majorHAnsi" w:hAnsiTheme="majorHAnsi" w:cstheme="majorHAnsi"/>
          <w:i/>
          <w:sz w:val="24"/>
          <w:szCs w:val="24"/>
          <w:lang w:val="ro-MD"/>
        </w:rPr>
        <w:t>8</w:t>
      </w:r>
      <w:r w:rsidR="00EA5515" w:rsidRPr="009E5B39">
        <w:rPr>
          <w:rFonts w:asciiTheme="majorHAnsi" w:hAnsiTheme="majorHAnsi" w:cstheme="majorHAnsi"/>
          <w:i/>
          <w:sz w:val="24"/>
          <w:szCs w:val="24"/>
          <w:lang w:val="ro-MD"/>
        </w:rPr>
        <w:t xml:space="preserve"> </w:t>
      </w:r>
      <w:r w:rsidRPr="009E5B39">
        <w:rPr>
          <w:rFonts w:asciiTheme="majorHAnsi" w:hAnsiTheme="majorHAnsi" w:cstheme="majorHAnsi"/>
          <w:i/>
          <w:sz w:val="24"/>
          <w:szCs w:val="24"/>
          <w:lang w:val="ro-MD"/>
        </w:rPr>
        <w:t>la Raport</w:t>
      </w:r>
      <w:r w:rsidR="000B6284" w:rsidRPr="009E5B39">
        <w:rPr>
          <w:rFonts w:asciiTheme="majorHAnsi" w:hAnsiTheme="majorHAnsi" w:cstheme="majorHAnsi"/>
          <w:i/>
          <w:sz w:val="24"/>
          <w:szCs w:val="24"/>
          <w:lang w:val="ro-MD"/>
        </w:rPr>
        <w:t>ul</w:t>
      </w:r>
      <w:r w:rsidRPr="009E5B39">
        <w:rPr>
          <w:rFonts w:asciiTheme="majorHAnsi" w:hAnsiTheme="majorHAnsi" w:cstheme="majorHAnsi"/>
          <w:i/>
          <w:sz w:val="24"/>
          <w:szCs w:val="24"/>
          <w:lang w:val="ro-MD"/>
        </w:rPr>
        <w:t xml:space="preserve"> de audit</w:t>
      </w:r>
      <w:r w:rsidR="0035331E"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w:t>
      </w:r>
      <w:r w:rsidR="007221B2" w:rsidRPr="009E5B39">
        <w:rPr>
          <w:rFonts w:asciiTheme="majorHAnsi" w:hAnsiTheme="majorHAnsi" w:cstheme="majorHAnsi"/>
          <w:i/>
          <w:sz w:val="24"/>
          <w:szCs w:val="24"/>
          <w:lang w:val="ro-MD"/>
        </w:rPr>
        <w:t xml:space="preserve"> </w:t>
      </w:r>
    </w:p>
    <w:p w14:paraId="20DDB3C4" w14:textId="3B771E94" w:rsidR="004D5476" w:rsidRPr="009E5B39" w:rsidRDefault="004D5476" w:rsidP="00D26E82">
      <w:pPr>
        <w:pStyle w:val="ListParagraph"/>
        <w:numPr>
          <w:ilvl w:val="0"/>
          <w:numId w:val="36"/>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Eliberarea autorizației de construire în baza unui certificat de urbanism expirat</w:t>
      </w:r>
      <w:r w:rsidR="000B6284"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 xml:space="preserve">           Conform prevederilor art. 5 al Legii </w:t>
      </w:r>
      <w:r w:rsidR="0035331E" w:rsidRPr="009E5B39">
        <w:rPr>
          <w:rFonts w:asciiTheme="majorHAnsi" w:hAnsiTheme="majorHAnsi" w:cstheme="majorHAnsi"/>
          <w:sz w:val="24"/>
          <w:szCs w:val="24"/>
          <w:lang w:val="ro-MD"/>
        </w:rPr>
        <w:t>nr.</w:t>
      </w:r>
      <w:r w:rsidRPr="009E5B39">
        <w:rPr>
          <w:rFonts w:asciiTheme="majorHAnsi" w:hAnsiTheme="majorHAnsi" w:cstheme="majorHAnsi"/>
          <w:sz w:val="24"/>
          <w:szCs w:val="24"/>
          <w:lang w:val="ro-MD"/>
        </w:rPr>
        <w:t>163/2010, termenul de valabilitate a certificatului de urbanism pentru proiectare reprezintă durata elaborării documentației de proiect și nu poate depăși 24 de luni de la data emiterii certificatului, inclusiv prelungirea termenul</w:t>
      </w:r>
      <w:r w:rsidR="0035331E" w:rsidRPr="009E5B39">
        <w:rPr>
          <w:rFonts w:asciiTheme="majorHAnsi" w:hAnsiTheme="majorHAnsi" w:cstheme="majorHAnsi"/>
          <w:sz w:val="24"/>
          <w:szCs w:val="24"/>
          <w:lang w:val="ro-MD"/>
        </w:rPr>
        <w:t>ui</w:t>
      </w:r>
      <w:r w:rsidRPr="009E5B39">
        <w:rPr>
          <w:rFonts w:asciiTheme="majorHAnsi" w:hAnsiTheme="majorHAnsi" w:cstheme="majorHAnsi"/>
          <w:sz w:val="24"/>
          <w:szCs w:val="24"/>
          <w:lang w:val="ro-MD"/>
        </w:rPr>
        <w:t xml:space="preserve"> de valabilitate a certificatului de urbanism pentru proiectare o singură dată pe un termen de până la 12 luni, la cererea titularului.</w:t>
      </w:r>
      <w:r w:rsidRPr="009E5B39">
        <w:rPr>
          <w:rFonts w:asciiTheme="majorHAnsi" w:hAnsiTheme="majorHAnsi" w:cstheme="majorHAnsi"/>
          <w:b/>
          <w:sz w:val="24"/>
          <w:szCs w:val="24"/>
          <w:lang w:val="ro-MD"/>
        </w:rPr>
        <w:t xml:space="preserve"> </w:t>
      </w:r>
      <w:r w:rsidR="000B6284" w:rsidRPr="009E5B39">
        <w:rPr>
          <w:rFonts w:asciiTheme="majorHAnsi" w:hAnsiTheme="majorHAnsi" w:cstheme="majorHAnsi"/>
          <w:i/>
          <w:sz w:val="24"/>
          <w:szCs w:val="24"/>
          <w:lang w:val="ro-MD"/>
        </w:rPr>
        <w:t>(</w:t>
      </w:r>
      <w:r w:rsidR="0035331E" w:rsidRPr="009E5B39">
        <w:rPr>
          <w:rFonts w:asciiTheme="majorHAnsi" w:hAnsiTheme="majorHAnsi" w:cstheme="majorHAnsi"/>
          <w:i/>
          <w:sz w:val="24"/>
          <w:szCs w:val="24"/>
          <w:lang w:val="ro-MD"/>
        </w:rPr>
        <w:t>E</w:t>
      </w:r>
      <w:r w:rsidR="000B6284" w:rsidRPr="009E5B39">
        <w:rPr>
          <w:rFonts w:asciiTheme="majorHAnsi" w:hAnsiTheme="majorHAnsi" w:cstheme="majorHAnsi"/>
          <w:i/>
          <w:sz w:val="24"/>
          <w:szCs w:val="24"/>
          <w:lang w:val="ro-MD"/>
        </w:rPr>
        <w:t>xemple la acest subiect sunt expuse în Anexa nr.1</w:t>
      </w:r>
      <w:r w:rsidR="00076181" w:rsidRPr="009E5B39">
        <w:rPr>
          <w:rFonts w:asciiTheme="majorHAnsi" w:hAnsiTheme="majorHAnsi" w:cstheme="majorHAnsi"/>
          <w:i/>
          <w:sz w:val="24"/>
          <w:szCs w:val="24"/>
          <w:lang w:val="ro-MD"/>
        </w:rPr>
        <w:t>8</w:t>
      </w:r>
      <w:r w:rsidR="000B6284" w:rsidRPr="009E5B39">
        <w:rPr>
          <w:rFonts w:asciiTheme="majorHAnsi" w:hAnsiTheme="majorHAnsi" w:cstheme="majorHAnsi"/>
          <w:i/>
          <w:sz w:val="24"/>
          <w:szCs w:val="24"/>
          <w:lang w:val="ro-MD"/>
        </w:rPr>
        <w:t xml:space="preserve"> la Raportul de audit</w:t>
      </w:r>
      <w:r w:rsidR="0035331E" w:rsidRPr="009E5B39">
        <w:rPr>
          <w:rFonts w:asciiTheme="majorHAnsi" w:hAnsiTheme="majorHAnsi" w:cstheme="majorHAnsi"/>
          <w:i/>
          <w:sz w:val="24"/>
          <w:szCs w:val="24"/>
          <w:lang w:val="ro-MD"/>
        </w:rPr>
        <w:t>.</w:t>
      </w:r>
      <w:r w:rsidR="000B6284" w:rsidRPr="009E5B39">
        <w:rPr>
          <w:rFonts w:asciiTheme="majorHAnsi" w:hAnsiTheme="majorHAnsi" w:cstheme="majorHAnsi"/>
          <w:i/>
          <w:sz w:val="24"/>
          <w:szCs w:val="24"/>
          <w:lang w:val="ro-MD"/>
        </w:rPr>
        <w:t>)</w:t>
      </w:r>
    </w:p>
    <w:p w14:paraId="72109C46" w14:textId="336B6655" w:rsidR="004D5476" w:rsidRPr="009E5B39" w:rsidRDefault="004D5476" w:rsidP="00D26E82">
      <w:pPr>
        <w:pStyle w:val="ListParagraph"/>
        <w:numPr>
          <w:ilvl w:val="0"/>
          <w:numId w:val="36"/>
        </w:numPr>
        <w:spacing w:after="0" w:line="276" w:lineRule="auto"/>
        <w:ind w:left="0" w:firstLine="0"/>
        <w:jc w:val="both"/>
        <w:rPr>
          <w:rFonts w:asciiTheme="majorHAnsi" w:hAnsiTheme="majorHAnsi" w:cstheme="majorHAnsi"/>
          <w:sz w:val="24"/>
          <w:szCs w:val="24"/>
          <w:lang w:val="ro-MD"/>
        </w:rPr>
      </w:pPr>
      <w:r w:rsidRPr="009E5B39" w:rsidDel="00D64A6C">
        <w:rPr>
          <w:rFonts w:asciiTheme="majorHAnsi" w:hAnsiTheme="majorHAnsi" w:cstheme="majorHAnsi"/>
          <w:i/>
          <w:sz w:val="24"/>
          <w:szCs w:val="24"/>
          <w:lang w:val="ro-MD"/>
        </w:rPr>
        <w:t xml:space="preserve"> </w:t>
      </w:r>
      <w:r w:rsidRPr="009E5B39">
        <w:rPr>
          <w:rFonts w:asciiTheme="majorHAnsi" w:hAnsiTheme="majorHAnsi" w:cstheme="majorHAnsi"/>
          <w:b/>
          <w:sz w:val="24"/>
          <w:szCs w:val="24"/>
          <w:lang w:val="ro-MD"/>
        </w:rPr>
        <w:t xml:space="preserve">Eliberarea autorizației de construire fără a </w:t>
      </w:r>
      <w:r w:rsidR="00924542" w:rsidRPr="009E5B39">
        <w:rPr>
          <w:rFonts w:asciiTheme="majorHAnsi" w:hAnsiTheme="majorHAnsi" w:cstheme="majorHAnsi"/>
          <w:b/>
          <w:sz w:val="24"/>
          <w:szCs w:val="24"/>
          <w:lang w:val="ro-MD"/>
        </w:rPr>
        <w:t xml:space="preserve">se </w:t>
      </w:r>
      <w:r w:rsidRPr="009E5B39">
        <w:rPr>
          <w:rFonts w:asciiTheme="majorHAnsi" w:hAnsiTheme="majorHAnsi" w:cstheme="majorHAnsi"/>
          <w:b/>
          <w:sz w:val="24"/>
          <w:szCs w:val="24"/>
          <w:lang w:val="ro-MD"/>
        </w:rPr>
        <w:t>ține cont de restricțiile prevăzute în certificatele de urbanism</w:t>
      </w:r>
      <w:r w:rsidR="000B6284"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În unele cazuri, deși în certificatul de urbanism s</w:t>
      </w:r>
      <w:r w:rsidR="00924542"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prev</w:t>
      </w:r>
      <w:r w:rsidR="00924542" w:rsidRPr="009E5B39">
        <w:rPr>
          <w:rFonts w:asciiTheme="majorHAnsi" w:hAnsiTheme="majorHAnsi" w:cstheme="majorHAnsi"/>
          <w:sz w:val="24"/>
          <w:szCs w:val="24"/>
          <w:lang w:val="ro-MD"/>
        </w:rPr>
        <w:t>ed</w:t>
      </w:r>
      <w:r w:rsidRPr="009E5B39">
        <w:rPr>
          <w:rFonts w:asciiTheme="majorHAnsi" w:hAnsiTheme="majorHAnsi" w:cstheme="majorHAnsi"/>
          <w:sz w:val="24"/>
          <w:szCs w:val="24"/>
          <w:lang w:val="ro-MD"/>
        </w:rPr>
        <w:t>e prezentarea</w:t>
      </w:r>
      <w:r w:rsidR="00924542"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pentru efectuarea construcției</w:t>
      </w:r>
      <w:r w:rsidR="00924542" w:rsidRPr="009E5B39">
        <w:rPr>
          <w:rFonts w:asciiTheme="majorHAnsi" w:hAnsiTheme="majorHAnsi" w:cstheme="majorHAnsi"/>
          <w:sz w:val="24"/>
          <w:szCs w:val="24"/>
          <w:lang w:val="ro-MD"/>
        </w:rPr>
        <w:t>, a</w:t>
      </w:r>
      <w:r w:rsidRPr="009E5B39">
        <w:rPr>
          <w:rFonts w:asciiTheme="majorHAnsi" w:hAnsiTheme="majorHAnsi" w:cstheme="majorHAnsi"/>
          <w:sz w:val="24"/>
          <w:szCs w:val="24"/>
          <w:lang w:val="ro-MD"/>
        </w:rPr>
        <w:t xml:space="preserve"> avizel</w:t>
      </w:r>
      <w:r w:rsidR="00924542" w:rsidRPr="009E5B39">
        <w:rPr>
          <w:rFonts w:asciiTheme="majorHAnsi" w:hAnsiTheme="majorHAnsi" w:cstheme="majorHAnsi"/>
          <w:sz w:val="24"/>
          <w:szCs w:val="24"/>
          <w:lang w:val="ro-MD"/>
        </w:rPr>
        <w:t>or</w:t>
      </w:r>
      <w:r w:rsidRPr="009E5B39">
        <w:rPr>
          <w:rFonts w:asciiTheme="majorHAnsi" w:hAnsiTheme="majorHAnsi" w:cstheme="majorHAnsi"/>
          <w:sz w:val="24"/>
          <w:szCs w:val="24"/>
          <w:lang w:val="ro-MD"/>
        </w:rPr>
        <w:t xml:space="preserve"> instituțiilor responsabile, DGAURF</w:t>
      </w:r>
      <w:r w:rsidR="00924542"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neasigurându-se</w:t>
      </w:r>
      <w:r w:rsidR="00924542"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 eliberat autorizații de construcții în lipsa acestor avize.</w:t>
      </w:r>
      <w:r w:rsidRPr="009E5B39">
        <w:rPr>
          <w:rFonts w:asciiTheme="majorHAnsi" w:hAnsiTheme="majorHAnsi" w:cstheme="majorHAnsi"/>
          <w:b/>
          <w:sz w:val="24"/>
          <w:szCs w:val="24"/>
          <w:lang w:val="ro-MD"/>
        </w:rPr>
        <w:t xml:space="preserve"> </w:t>
      </w:r>
      <w:r w:rsidR="000B6284" w:rsidRPr="009E5B39">
        <w:rPr>
          <w:rFonts w:asciiTheme="majorHAnsi" w:hAnsiTheme="majorHAnsi" w:cstheme="majorHAnsi"/>
          <w:i/>
          <w:sz w:val="24"/>
          <w:szCs w:val="24"/>
          <w:lang w:val="ro-MD"/>
        </w:rPr>
        <w:t>(</w:t>
      </w:r>
      <w:r w:rsidR="00924542" w:rsidRPr="009E5B39">
        <w:rPr>
          <w:rFonts w:asciiTheme="majorHAnsi" w:hAnsiTheme="majorHAnsi" w:cstheme="majorHAnsi"/>
          <w:i/>
          <w:sz w:val="24"/>
          <w:szCs w:val="24"/>
          <w:lang w:val="ro-MD"/>
        </w:rPr>
        <w:t>E</w:t>
      </w:r>
      <w:r w:rsidR="000B6284" w:rsidRPr="009E5B39">
        <w:rPr>
          <w:rFonts w:asciiTheme="majorHAnsi" w:hAnsiTheme="majorHAnsi" w:cstheme="majorHAnsi"/>
          <w:i/>
          <w:sz w:val="24"/>
          <w:szCs w:val="24"/>
          <w:lang w:val="ro-MD"/>
        </w:rPr>
        <w:t>xemple la acest subiect sunt expuse în Anexa nr.1</w:t>
      </w:r>
      <w:r w:rsidR="00076181" w:rsidRPr="009E5B39">
        <w:rPr>
          <w:rFonts w:asciiTheme="majorHAnsi" w:hAnsiTheme="majorHAnsi" w:cstheme="majorHAnsi"/>
          <w:i/>
          <w:sz w:val="24"/>
          <w:szCs w:val="24"/>
          <w:lang w:val="ro-MD"/>
        </w:rPr>
        <w:t>8</w:t>
      </w:r>
      <w:r w:rsidR="000B6284" w:rsidRPr="009E5B39">
        <w:rPr>
          <w:rFonts w:asciiTheme="majorHAnsi" w:hAnsiTheme="majorHAnsi" w:cstheme="majorHAnsi"/>
          <w:i/>
          <w:sz w:val="24"/>
          <w:szCs w:val="24"/>
          <w:lang w:val="ro-MD"/>
        </w:rPr>
        <w:t xml:space="preserve"> la Raportul de audit</w:t>
      </w:r>
      <w:r w:rsidR="00924542" w:rsidRPr="009E5B39">
        <w:rPr>
          <w:rFonts w:asciiTheme="majorHAnsi" w:hAnsiTheme="majorHAnsi" w:cstheme="majorHAnsi"/>
          <w:i/>
          <w:sz w:val="24"/>
          <w:szCs w:val="24"/>
          <w:lang w:val="ro-MD"/>
        </w:rPr>
        <w:t>.</w:t>
      </w:r>
      <w:r w:rsidR="000B6284" w:rsidRPr="009E5B39">
        <w:rPr>
          <w:rFonts w:asciiTheme="majorHAnsi" w:hAnsiTheme="majorHAnsi" w:cstheme="majorHAnsi"/>
          <w:i/>
          <w:sz w:val="24"/>
          <w:szCs w:val="24"/>
          <w:lang w:val="ro-MD"/>
        </w:rPr>
        <w:t>)</w:t>
      </w:r>
    </w:p>
    <w:p w14:paraId="6C5D7BDB" w14:textId="63DCE3A3" w:rsidR="000B6284" w:rsidRPr="009E5B39" w:rsidRDefault="004D5476" w:rsidP="00D26E82">
      <w:pPr>
        <w:pStyle w:val="ListParagraph"/>
        <w:numPr>
          <w:ilvl w:val="0"/>
          <w:numId w:val="36"/>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În majoritatea cazurilor</w:t>
      </w:r>
      <w:r w:rsidR="00924542"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autorizațiile de construire continuă să fie emise fără a fi respectate prevederile stabilite în certificatul de urbanism privind Procentul de Ocupare a Teritoriului sub construcție</w:t>
      </w:r>
      <w:r w:rsidRPr="009E5B39">
        <w:rPr>
          <w:rFonts w:asciiTheme="majorHAnsi" w:hAnsiTheme="majorHAnsi" w:cstheme="majorHAnsi"/>
          <w:sz w:val="24"/>
          <w:szCs w:val="24"/>
          <w:lang w:val="ro-MD"/>
        </w:rPr>
        <w:t xml:space="preserve">. Astfel, prin nerespectarea prevederilor certificatului de urbanism, </w:t>
      </w:r>
      <w:r w:rsidR="002637C6" w:rsidRPr="009E5B39">
        <w:rPr>
          <w:rFonts w:asciiTheme="majorHAnsi" w:hAnsiTheme="majorHAnsi" w:cstheme="majorHAnsi"/>
          <w:sz w:val="24"/>
          <w:szCs w:val="24"/>
          <w:lang w:val="ro-MD"/>
        </w:rPr>
        <w:t xml:space="preserve">care indică că </w:t>
      </w:r>
      <w:r w:rsidRPr="009E5B39">
        <w:rPr>
          <w:rFonts w:asciiTheme="majorHAnsi" w:hAnsiTheme="majorHAnsi" w:cstheme="majorHAnsi"/>
          <w:sz w:val="24"/>
          <w:szCs w:val="24"/>
          <w:lang w:val="ro-MD"/>
        </w:rPr>
        <w:t xml:space="preserve"> construcțiile</w:t>
      </w:r>
      <w:r w:rsidRPr="009E5B39" w:rsidDel="007F2985">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urmau să fie amplasate pe maxim 30% din suprafața terenului, iar terenul rămas urma a fi amenajat pentru odihna maturilor, joaca copiilor și locuri de parcare pentru cel puțin 70% din numărul apartamentelor construite</w:t>
      </w:r>
      <w:r w:rsidR="002637C6"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au fost eliberate </w:t>
      </w:r>
      <w:r w:rsidR="00A26ABC" w:rsidRPr="009E5B39">
        <w:rPr>
          <w:rFonts w:asciiTheme="majorHAnsi" w:hAnsiTheme="majorHAnsi" w:cstheme="majorHAnsi"/>
          <w:sz w:val="24"/>
          <w:szCs w:val="24"/>
          <w:lang w:val="ro-MD"/>
        </w:rPr>
        <w:t xml:space="preserve">mai multe </w:t>
      </w:r>
      <w:r w:rsidRPr="009E5B39">
        <w:rPr>
          <w:rFonts w:asciiTheme="majorHAnsi" w:hAnsiTheme="majorHAnsi" w:cstheme="majorHAnsi"/>
          <w:sz w:val="24"/>
          <w:szCs w:val="24"/>
          <w:lang w:val="ro-MD"/>
        </w:rPr>
        <w:t xml:space="preserve">autorizații de construcție. </w:t>
      </w:r>
      <w:r w:rsidR="000B6284" w:rsidRPr="009E5B39">
        <w:rPr>
          <w:rFonts w:asciiTheme="majorHAnsi" w:hAnsiTheme="majorHAnsi" w:cstheme="majorHAnsi"/>
          <w:i/>
          <w:sz w:val="24"/>
          <w:szCs w:val="24"/>
          <w:lang w:val="ro-MD"/>
        </w:rPr>
        <w:t>(</w:t>
      </w:r>
      <w:r w:rsidR="002637C6" w:rsidRPr="009E5B39">
        <w:rPr>
          <w:rFonts w:asciiTheme="majorHAnsi" w:hAnsiTheme="majorHAnsi" w:cstheme="majorHAnsi"/>
          <w:i/>
          <w:sz w:val="24"/>
          <w:szCs w:val="24"/>
          <w:lang w:val="ro-MD"/>
        </w:rPr>
        <w:t>E</w:t>
      </w:r>
      <w:r w:rsidR="000B6284" w:rsidRPr="009E5B39">
        <w:rPr>
          <w:rFonts w:asciiTheme="majorHAnsi" w:hAnsiTheme="majorHAnsi" w:cstheme="majorHAnsi"/>
          <w:i/>
          <w:sz w:val="24"/>
          <w:szCs w:val="24"/>
          <w:lang w:val="ro-MD"/>
        </w:rPr>
        <w:t>xemple la acest subiect sunt expuse în Anexa nr.1</w:t>
      </w:r>
      <w:r w:rsidR="00076181" w:rsidRPr="009E5B39">
        <w:rPr>
          <w:rFonts w:asciiTheme="majorHAnsi" w:hAnsiTheme="majorHAnsi" w:cstheme="majorHAnsi"/>
          <w:i/>
          <w:sz w:val="24"/>
          <w:szCs w:val="24"/>
          <w:lang w:val="ro-MD"/>
        </w:rPr>
        <w:t>8</w:t>
      </w:r>
      <w:r w:rsidR="000B6284" w:rsidRPr="009E5B39">
        <w:rPr>
          <w:rFonts w:asciiTheme="majorHAnsi" w:hAnsiTheme="majorHAnsi" w:cstheme="majorHAnsi"/>
          <w:i/>
          <w:sz w:val="24"/>
          <w:szCs w:val="24"/>
          <w:lang w:val="ro-MD"/>
        </w:rPr>
        <w:t xml:space="preserve"> la Raportul de audit).</w:t>
      </w:r>
    </w:p>
    <w:p w14:paraId="55C28409" w14:textId="2DFCB4D1" w:rsidR="00DD4073" w:rsidRPr="009E5B39" w:rsidRDefault="000B6284" w:rsidP="00EF4BC3">
      <w:pPr>
        <w:spacing w:after="0" w:line="276" w:lineRule="auto"/>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b/>
      </w:r>
      <w:r w:rsidR="004D5476" w:rsidRPr="009E5B39">
        <w:rPr>
          <w:rFonts w:asciiTheme="majorHAnsi" w:hAnsiTheme="majorHAnsi" w:cstheme="majorHAnsi"/>
          <w:sz w:val="24"/>
          <w:szCs w:val="24"/>
          <w:lang w:val="ro-MD"/>
        </w:rPr>
        <w:t xml:space="preserve">Analiza privind </w:t>
      </w:r>
      <w:r w:rsidR="004D5476" w:rsidRPr="009E5B39">
        <w:rPr>
          <w:rFonts w:asciiTheme="majorHAnsi" w:hAnsiTheme="majorHAnsi" w:cstheme="majorHAnsi"/>
          <w:b/>
          <w:sz w:val="24"/>
          <w:szCs w:val="24"/>
          <w:lang w:val="ro-MD"/>
        </w:rPr>
        <w:t xml:space="preserve">disponibilitatea infrastructurii orașului de a susține </w:t>
      </w:r>
      <w:r w:rsidR="002637C6" w:rsidRPr="009E5B39">
        <w:rPr>
          <w:rFonts w:asciiTheme="majorHAnsi" w:hAnsiTheme="majorHAnsi" w:cstheme="majorHAnsi"/>
          <w:b/>
          <w:sz w:val="24"/>
          <w:szCs w:val="24"/>
          <w:lang w:val="ro-MD"/>
        </w:rPr>
        <w:t>c</w:t>
      </w:r>
      <w:r w:rsidR="004D5476" w:rsidRPr="009E5B39">
        <w:rPr>
          <w:rFonts w:asciiTheme="majorHAnsi" w:hAnsiTheme="majorHAnsi" w:cstheme="majorHAnsi"/>
          <w:b/>
          <w:sz w:val="24"/>
          <w:szCs w:val="24"/>
          <w:lang w:val="ro-MD"/>
        </w:rPr>
        <w:t>onstrucțiile noi,</w:t>
      </w:r>
      <w:r w:rsidR="004D5476" w:rsidRPr="009E5B39">
        <w:rPr>
          <w:rFonts w:asciiTheme="majorHAnsi" w:hAnsiTheme="majorHAnsi" w:cstheme="majorHAnsi"/>
          <w:sz w:val="24"/>
          <w:szCs w:val="24"/>
          <w:lang w:val="ro-MD"/>
        </w:rPr>
        <w:t xml:space="preserve"> efectuată de audit în zona bd. Renașterii Naționale, a </w:t>
      </w:r>
      <w:r w:rsidR="002637C6" w:rsidRPr="009E5B39">
        <w:rPr>
          <w:rFonts w:asciiTheme="majorHAnsi" w:hAnsiTheme="majorHAnsi" w:cstheme="majorHAnsi"/>
          <w:sz w:val="24"/>
          <w:szCs w:val="24"/>
          <w:lang w:val="ro-MD"/>
        </w:rPr>
        <w:t>relevat</w:t>
      </w:r>
      <w:r w:rsidR="004D5476" w:rsidRPr="009E5B39">
        <w:rPr>
          <w:rFonts w:asciiTheme="majorHAnsi" w:hAnsiTheme="majorHAnsi" w:cstheme="majorHAnsi"/>
          <w:sz w:val="24"/>
          <w:szCs w:val="24"/>
          <w:lang w:val="ro-MD"/>
        </w:rPr>
        <w:t xml:space="preserve"> că în locul a circa 15 case de locuit particulare au fost construite circa 1011 apartamente și circa 482 locuri de parcare. De asemenea, în aceste blocuri au fost construite spații pentru oficii și comerț. Pentru acoperirea necesarului de locuri de parcare este utilizat terenul proprietate publică în lipsa contractelor de arendă/folosință a terenurilor publice locale, amenajarea unora (0100423.373, 059, 063, 332 etc.) fiind efectuată din contul bugetu</w:t>
      </w:r>
      <w:r w:rsidR="00DD4073" w:rsidRPr="009E5B39">
        <w:rPr>
          <w:rFonts w:asciiTheme="majorHAnsi" w:hAnsiTheme="majorHAnsi" w:cstheme="majorHAnsi"/>
          <w:sz w:val="24"/>
          <w:szCs w:val="24"/>
          <w:lang w:val="ro-MD"/>
        </w:rPr>
        <w:t>lui municipal în anii 2021-2022:</w:t>
      </w: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2591"/>
        <w:gridCol w:w="2591"/>
        <w:gridCol w:w="2396"/>
      </w:tblGrid>
      <w:tr w:rsidR="00EF4BC3" w:rsidRPr="009E5B39" w14:paraId="6DE84FDA" w14:textId="77777777" w:rsidTr="00AB1276">
        <w:trPr>
          <w:trHeight w:val="29"/>
        </w:trPr>
        <w:tc>
          <w:tcPr>
            <w:tcW w:w="1643" w:type="dxa"/>
          </w:tcPr>
          <w:p w14:paraId="465F9077" w14:textId="7AE5A5E5" w:rsidR="000B6284" w:rsidRPr="009E5B39" w:rsidRDefault="004D5476" w:rsidP="00D97F1D">
            <w:pPr>
              <w:pStyle w:val="ListParagraph"/>
              <w:spacing w:after="0" w:line="240" w:lineRule="auto"/>
              <w:ind w:left="0"/>
              <w:jc w:val="both"/>
              <w:rPr>
                <w:rFonts w:asciiTheme="majorHAnsi" w:hAnsiTheme="majorHAnsi" w:cstheme="majorHAnsi"/>
                <w:b/>
                <w:sz w:val="20"/>
                <w:szCs w:val="20"/>
                <w:lang w:val="ro-MD"/>
              </w:rPr>
            </w:pPr>
            <w:r w:rsidRPr="009E5B39">
              <w:rPr>
                <w:rFonts w:asciiTheme="majorHAnsi" w:hAnsiTheme="majorHAnsi" w:cstheme="majorHAnsi"/>
                <w:b/>
                <w:sz w:val="24"/>
                <w:szCs w:val="24"/>
                <w:lang w:val="ro-MD"/>
              </w:rPr>
              <w:t xml:space="preserve"> </w:t>
            </w:r>
            <w:r w:rsidR="000B6284" w:rsidRPr="009E5B39">
              <w:rPr>
                <w:rFonts w:asciiTheme="majorHAnsi" w:hAnsiTheme="majorHAnsi" w:cstheme="majorHAnsi"/>
                <w:b/>
                <w:sz w:val="20"/>
                <w:szCs w:val="20"/>
                <w:lang w:val="ro-MD"/>
              </w:rPr>
              <w:t>Codul cadastral</w:t>
            </w:r>
          </w:p>
        </w:tc>
        <w:tc>
          <w:tcPr>
            <w:tcW w:w="2591" w:type="dxa"/>
          </w:tcPr>
          <w:p w14:paraId="5B35FC72" w14:textId="77777777" w:rsidR="000B6284" w:rsidRPr="009E5B39" w:rsidRDefault="000B6284" w:rsidP="00D97F1D">
            <w:pPr>
              <w:pStyle w:val="ListParagraph"/>
              <w:spacing w:after="0" w:line="240" w:lineRule="auto"/>
              <w:ind w:left="0"/>
              <w:jc w:val="both"/>
              <w:rPr>
                <w:rFonts w:asciiTheme="majorHAnsi" w:hAnsiTheme="majorHAnsi" w:cstheme="majorHAnsi"/>
                <w:b/>
                <w:sz w:val="20"/>
                <w:szCs w:val="20"/>
                <w:lang w:val="ro-MD"/>
              </w:rPr>
            </w:pPr>
            <w:r w:rsidRPr="009E5B39">
              <w:rPr>
                <w:rFonts w:asciiTheme="majorHAnsi" w:hAnsiTheme="majorHAnsi" w:cstheme="majorHAnsi"/>
                <w:b/>
                <w:sz w:val="20"/>
                <w:szCs w:val="20"/>
                <w:lang w:val="ro-MD"/>
              </w:rPr>
              <w:t>Numărul apartamentelor construite/proiectate</w:t>
            </w:r>
          </w:p>
        </w:tc>
        <w:tc>
          <w:tcPr>
            <w:tcW w:w="2591" w:type="dxa"/>
          </w:tcPr>
          <w:p w14:paraId="41228BBD" w14:textId="77777777" w:rsidR="000B6284" w:rsidRPr="009E5B39" w:rsidRDefault="000B6284" w:rsidP="00D97F1D">
            <w:pPr>
              <w:pStyle w:val="ListParagraph"/>
              <w:spacing w:after="0" w:line="240" w:lineRule="auto"/>
              <w:ind w:left="0"/>
              <w:jc w:val="both"/>
              <w:rPr>
                <w:rFonts w:asciiTheme="majorHAnsi" w:hAnsiTheme="majorHAnsi" w:cstheme="majorHAnsi"/>
                <w:b/>
                <w:sz w:val="20"/>
                <w:szCs w:val="20"/>
                <w:lang w:val="ro-MD"/>
              </w:rPr>
            </w:pPr>
            <w:r w:rsidRPr="009E5B39">
              <w:rPr>
                <w:rFonts w:asciiTheme="majorHAnsi" w:hAnsiTheme="majorHAnsi" w:cstheme="majorHAnsi"/>
                <w:b/>
                <w:sz w:val="20"/>
                <w:szCs w:val="20"/>
                <w:lang w:val="ro-MD"/>
              </w:rPr>
              <w:t>Numărul locurilor de parcare construite/proiectate</w:t>
            </w:r>
          </w:p>
        </w:tc>
        <w:tc>
          <w:tcPr>
            <w:tcW w:w="2396" w:type="dxa"/>
          </w:tcPr>
          <w:p w14:paraId="6557A1D5" w14:textId="77777777" w:rsidR="000B6284" w:rsidRPr="009E5B39" w:rsidRDefault="000B6284" w:rsidP="00D97F1D">
            <w:pPr>
              <w:pStyle w:val="ListParagraph"/>
              <w:spacing w:after="0" w:line="240" w:lineRule="auto"/>
              <w:ind w:left="0"/>
              <w:jc w:val="both"/>
              <w:rPr>
                <w:rFonts w:asciiTheme="majorHAnsi" w:hAnsiTheme="majorHAnsi" w:cstheme="majorHAnsi"/>
                <w:b/>
                <w:sz w:val="20"/>
                <w:szCs w:val="20"/>
                <w:lang w:val="ro-MD"/>
              </w:rPr>
            </w:pPr>
            <w:r w:rsidRPr="009E5B39">
              <w:rPr>
                <w:rFonts w:asciiTheme="majorHAnsi" w:hAnsiTheme="majorHAnsi" w:cstheme="majorHAnsi"/>
                <w:b/>
                <w:sz w:val="20"/>
                <w:szCs w:val="20"/>
                <w:lang w:val="ro-MD"/>
              </w:rPr>
              <w:t>% acoperii cu locuri de parcare pe terenul construit</w:t>
            </w:r>
          </w:p>
        </w:tc>
      </w:tr>
      <w:tr w:rsidR="00EF4BC3" w:rsidRPr="009E5B39" w14:paraId="60CBB3A3" w14:textId="77777777" w:rsidTr="00AB1276">
        <w:trPr>
          <w:trHeight w:val="29"/>
        </w:trPr>
        <w:tc>
          <w:tcPr>
            <w:tcW w:w="1643" w:type="dxa"/>
          </w:tcPr>
          <w:p w14:paraId="044C587B" w14:textId="77777777" w:rsidR="000B6284" w:rsidRPr="009E5B39" w:rsidRDefault="000B6284" w:rsidP="00D97F1D">
            <w:pPr>
              <w:pStyle w:val="ListParagraph"/>
              <w:spacing w:after="0" w:line="240" w:lineRule="auto"/>
              <w:ind w:left="0"/>
              <w:jc w:val="both"/>
              <w:rPr>
                <w:rFonts w:asciiTheme="majorHAnsi" w:hAnsiTheme="majorHAnsi" w:cstheme="majorHAnsi"/>
                <w:sz w:val="20"/>
                <w:szCs w:val="20"/>
                <w:lang w:val="ro-MD"/>
              </w:rPr>
            </w:pPr>
            <w:r w:rsidRPr="009E5B39">
              <w:rPr>
                <w:rFonts w:asciiTheme="majorHAnsi" w:hAnsiTheme="majorHAnsi" w:cstheme="majorHAnsi"/>
                <w:sz w:val="20"/>
                <w:szCs w:val="20"/>
                <w:lang w:val="ro-MD"/>
              </w:rPr>
              <w:t>0100423.533</w:t>
            </w:r>
          </w:p>
        </w:tc>
        <w:tc>
          <w:tcPr>
            <w:tcW w:w="2591" w:type="dxa"/>
          </w:tcPr>
          <w:p w14:paraId="7FEB2AF1"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166</w:t>
            </w:r>
          </w:p>
        </w:tc>
        <w:tc>
          <w:tcPr>
            <w:tcW w:w="2591" w:type="dxa"/>
          </w:tcPr>
          <w:p w14:paraId="7BDB4B98"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116</w:t>
            </w:r>
          </w:p>
        </w:tc>
        <w:tc>
          <w:tcPr>
            <w:tcW w:w="2396" w:type="dxa"/>
            <w:shd w:val="clear" w:color="auto" w:fill="auto"/>
            <w:vAlign w:val="bottom"/>
          </w:tcPr>
          <w:p w14:paraId="26F003BA"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69,9</w:t>
            </w:r>
          </w:p>
        </w:tc>
      </w:tr>
      <w:tr w:rsidR="00EF4BC3" w:rsidRPr="009E5B39" w14:paraId="6187FE4E" w14:textId="77777777" w:rsidTr="00AB1276">
        <w:trPr>
          <w:trHeight w:val="29"/>
        </w:trPr>
        <w:tc>
          <w:tcPr>
            <w:tcW w:w="1643" w:type="dxa"/>
          </w:tcPr>
          <w:p w14:paraId="01B74F7B" w14:textId="77777777" w:rsidR="000B6284" w:rsidRPr="009E5B39" w:rsidRDefault="000B6284" w:rsidP="00D97F1D">
            <w:pPr>
              <w:pStyle w:val="ListParagraph"/>
              <w:spacing w:after="0" w:line="240" w:lineRule="auto"/>
              <w:ind w:left="0"/>
              <w:jc w:val="both"/>
              <w:rPr>
                <w:rFonts w:asciiTheme="majorHAnsi" w:hAnsiTheme="majorHAnsi" w:cstheme="majorHAnsi"/>
                <w:sz w:val="20"/>
                <w:szCs w:val="20"/>
                <w:lang w:val="ro-MD"/>
              </w:rPr>
            </w:pPr>
            <w:r w:rsidRPr="009E5B39">
              <w:rPr>
                <w:rFonts w:asciiTheme="majorHAnsi" w:hAnsiTheme="majorHAnsi" w:cstheme="majorHAnsi"/>
                <w:sz w:val="20"/>
                <w:szCs w:val="20"/>
                <w:lang w:val="ro-MD"/>
              </w:rPr>
              <w:t>0100423.529</w:t>
            </w:r>
          </w:p>
        </w:tc>
        <w:tc>
          <w:tcPr>
            <w:tcW w:w="2591" w:type="dxa"/>
          </w:tcPr>
          <w:p w14:paraId="7070DE4C"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67</w:t>
            </w:r>
          </w:p>
        </w:tc>
        <w:tc>
          <w:tcPr>
            <w:tcW w:w="2591" w:type="dxa"/>
          </w:tcPr>
          <w:p w14:paraId="350D07CB"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21</w:t>
            </w:r>
          </w:p>
        </w:tc>
        <w:tc>
          <w:tcPr>
            <w:tcW w:w="2396" w:type="dxa"/>
            <w:shd w:val="clear" w:color="auto" w:fill="auto"/>
            <w:vAlign w:val="bottom"/>
          </w:tcPr>
          <w:p w14:paraId="4FF0BCCE"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31,3</w:t>
            </w:r>
          </w:p>
        </w:tc>
      </w:tr>
      <w:tr w:rsidR="00EF4BC3" w:rsidRPr="009E5B39" w14:paraId="1C591E1F" w14:textId="77777777" w:rsidTr="00AB1276">
        <w:trPr>
          <w:trHeight w:val="29"/>
        </w:trPr>
        <w:tc>
          <w:tcPr>
            <w:tcW w:w="1643" w:type="dxa"/>
          </w:tcPr>
          <w:p w14:paraId="3933DD83" w14:textId="77777777" w:rsidR="000B6284" w:rsidRPr="009E5B39" w:rsidRDefault="000B6284" w:rsidP="00D97F1D">
            <w:pPr>
              <w:pStyle w:val="ListParagraph"/>
              <w:spacing w:after="0" w:line="240" w:lineRule="auto"/>
              <w:ind w:left="0"/>
              <w:jc w:val="both"/>
              <w:rPr>
                <w:rFonts w:asciiTheme="majorHAnsi" w:hAnsiTheme="majorHAnsi" w:cstheme="majorHAnsi"/>
                <w:sz w:val="20"/>
                <w:szCs w:val="20"/>
                <w:lang w:val="ro-MD"/>
              </w:rPr>
            </w:pPr>
            <w:r w:rsidRPr="009E5B39">
              <w:rPr>
                <w:rFonts w:asciiTheme="majorHAnsi" w:hAnsiTheme="majorHAnsi" w:cstheme="majorHAnsi"/>
                <w:sz w:val="20"/>
                <w:szCs w:val="20"/>
                <w:lang w:val="ro-MD"/>
              </w:rPr>
              <w:t>0100423.524</w:t>
            </w:r>
          </w:p>
        </w:tc>
        <w:tc>
          <w:tcPr>
            <w:tcW w:w="2591" w:type="dxa"/>
          </w:tcPr>
          <w:p w14:paraId="15C5C901"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195</w:t>
            </w:r>
          </w:p>
        </w:tc>
        <w:tc>
          <w:tcPr>
            <w:tcW w:w="2591" w:type="dxa"/>
          </w:tcPr>
          <w:p w14:paraId="5FBCD9BE"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66</w:t>
            </w:r>
          </w:p>
        </w:tc>
        <w:tc>
          <w:tcPr>
            <w:tcW w:w="2396" w:type="dxa"/>
            <w:shd w:val="clear" w:color="auto" w:fill="auto"/>
            <w:vAlign w:val="bottom"/>
          </w:tcPr>
          <w:p w14:paraId="6AFA3892"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33,8</w:t>
            </w:r>
          </w:p>
        </w:tc>
      </w:tr>
      <w:tr w:rsidR="00EF4BC3" w:rsidRPr="009E5B39" w14:paraId="6E2C9695" w14:textId="77777777" w:rsidTr="00AB1276">
        <w:trPr>
          <w:trHeight w:val="29"/>
        </w:trPr>
        <w:tc>
          <w:tcPr>
            <w:tcW w:w="1643" w:type="dxa"/>
          </w:tcPr>
          <w:p w14:paraId="21E54017" w14:textId="77777777" w:rsidR="000B6284" w:rsidRPr="009E5B39" w:rsidRDefault="000B6284" w:rsidP="00D97F1D">
            <w:pPr>
              <w:pStyle w:val="ListParagraph"/>
              <w:spacing w:after="0" w:line="240" w:lineRule="auto"/>
              <w:ind w:left="0"/>
              <w:jc w:val="both"/>
              <w:rPr>
                <w:rFonts w:asciiTheme="majorHAnsi" w:hAnsiTheme="majorHAnsi" w:cstheme="majorHAnsi"/>
                <w:sz w:val="20"/>
                <w:szCs w:val="20"/>
                <w:lang w:val="ro-MD"/>
              </w:rPr>
            </w:pPr>
            <w:r w:rsidRPr="009E5B39">
              <w:rPr>
                <w:rFonts w:asciiTheme="majorHAnsi" w:hAnsiTheme="majorHAnsi" w:cstheme="majorHAnsi"/>
                <w:sz w:val="20"/>
                <w:szCs w:val="20"/>
                <w:lang w:val="ro-MD"/>
              </w:rPr>
              <w:t>0100423.536</w:t>
            </w:r>
          </w:p>
        </w:tc>
        <w:tc>
          <w:tcPr>
            <w:tcW w:w="2591" w:type="dxa"/>
          </w:tcPr>
          <w:p w14:paraId="72D86800"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196</w:t>
            </w:r>
          </w:p>
        </w:tc>
        <w:tc>
          <w:tcPr>
            <w:tcW w:w="2591" w:type="dxa"/>
          </w:tcPr>
          <w:p w14:paraId="731ACA4C"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137</w:t>
            </w:r>
          </w:p>
        </w:tc>
        <w:tc>
          <w:tcPr>
            <w:tcW w:w="2396" w:type="dxa"/>
            <w:shd w:val="clear" w:color="auto" w:fill="auto"/>
            <w:vAlign w:val="bottom"/>
          </w:tcPr>
          <w:p w14:paraId="65CFC104"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69,9</w:t>
            </w:r>
          </w:p>
        </w:tc>
      </w:tr>
      <w:tr w:rsidR="00EF4BC3" w:rsidRPr="009E5B39" w14:paraId="7CB532FB" w14:textId="77777777" w:rsidTr="00AB1276">
        <w:trPr>
          <w:trHeight w:val="29"/>
        </w:trPr>
        <w:tc>
          <w:tcPr>
            <w:tcW w:w="1643" w:type="dxa"/>
          </w:tcPr>
          <w:p w14:paraId="3F99D40E" w14:textId="77777777" w:rsidR="000B6284" w:rsidRPr="009E5B39" w:rsidRDefault="000B6284" w:rsidP="00D97F1D">
            <w:pPr>
              <w:pStyle w:val="ListParagraph"/>
              <w:spacing w:after="0" w:line="240" w:lineRule="auto"/>
              <w:ind w:left="0"/>
              <w:jc w:val="both"/>
              <w:rPr>
                <w:rFonts w:asciiTheme="majorHAnsi" w:hAnsiTheme="majorHAnsi" w:cstheme="majorHAnsi"/>
                <w:sz w:val="20"/>
                <w:szCs w:val="20"/>
                <w:lang w:val="ro-MD"/>
              </w:rPr>
            </w:pPr>
            <w:r w:rsidRPr="009E5B39">
              <w:rPr>
                <w:rFonts w:asciiTheme="majorHAnsi" w:hAnsiTheme="majorHAnsi" w:cstheme="majorHAnsi"/>
                <w:sz w:val="20"/>
                <w:szCs w:val="20"/>
                <w:lang w:val="ro-MD"/>
              </w:rPr>
              <w:t>0100423.004</w:t>
            </w:r>
          </w:p>
        </w:tc>
        <w:tc>
          <w:tcPr>
            <w:tcW w:w="2591" w:type="dxa"/>
          </w:tcPr>
          <w:p w14:paraId="0B68F5BB"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73</w:t>
            </w:r>
          </w:p>
        </w:tc>
        <w:tc>
          <w:tcPr>
            <w:tcW w:w="2591" w:type="dxa"/>
          </w:tcPr>
          <w:p w14:paraId="54A7B5D6"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14</w:t>
            </w:r>
          </w:p>
        </w:tc>
        <w:tc>
          <w:tcPr>
            <w:tcW w:w="2396" w:type="dxa"/>
            <w:shd w:val="clear" w:color="auto" w:fill="auto"/>
            <w:vAlign w:val="bottom"/>
          </w:tcPr>
          <w:p w14:paraId="40F7C7B5"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19,2</w:t>
            </w:r>
          </w:p>
        </w:tc>
      </w:tr>
      <w:tr w:rsidR="00EF4BC3" w:rsidRPr="009E5B39" w14:paraId="344EBAA8" w14:textId="77777777" w:rsidTr="00AB1276">
        <w:trPr>
          <w:trHeight w:val="29"/>
        </w:trPr>
        <w:tc>
          <w:tcPr>
            <w:tcW w:w="1643" w:type="dxa"/>
          </w:tcPr>
          <w:p w14:paraId="4E71CB48" w14:textId="77777777" w:rsidR="000B6284" w:rsidRPr="009E5B39" w:rsidRDefault="000B6284" w:rsidP="00D97F1D">
            <w:pPr>
              <w:pStyle w:val="ListParagraph"/>
              <w:spacing w:after="0" w:line="240" w:lineRule="auto"/>
              <w:ind w:left="0"/>
              <w:jc w:val="both"/>
              <w:rPr>
                <w:rFonts w:asciiTheme="majorHAnsi" w:hAnsiTheme="majorHAnsi" w:cstheme="majorHAnsi"/>
                <w:sz w:val="20"/>
                <w:szCs w:val="20"/>
                <w:lang w:val="ro-MD"/>
              </w:rPr>
            </w:pPr>
            <w:r w:rsidRPr="009E5B39">
              <w:rPr>
                <w:rFonts w:asciiTheme="majorHAnsi" w:hAnsiTheme="majorHAnsi" w:cstheme="majorHAnsi"/>
                <w:sz w:val="20"/>
                <w:szCs w:val="20"/>
                <w:lang w:val="ro-MD"/>
              </w:rPr>
              <w:t>0100423.155</w:t>
            </w:r>
          </w:p>
        </w:tc>
        <w:tc>
          <w:tcPr>
            <w:tcW w:w="2591" w:type="dxa"/>
          </w:tcPr>
          <w:p w14:paraId="7E906BFC"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45</w:t>
            </w:r>
          </w:p>
        </w:tc>
        <w:tc>
          <w:tcPr>
            <w:tcW w:w="2591" w:type="dxa"/>
          </w:tcPr>
          <w:p w14:paraId="058B92CB"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p>
        </w:tc>
        <w:tc>
          <w:tcPr>
            <w:tcW w:w="2396" w:type="dxa"/>
            <w:shd w:val="clear" w:color="auto" w:fill="auto"/>
            <w:vAlign w:val="bottom"/>
          </w:tcPr>
          <w:p w14:paraId="568B2D1E"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0,0</w:t>
            </w:r>
          </w:p>
        </w:tc>
      </w:tr>
      <w:tr w:rsidR="00EF4BC3" w:rsidRPr="009E5B39" w14:paraId="07BC66D9" w14:textId="77777777" w:rsidTr="00AB1276">
        <w:trPr>
          <w:trHeight w:val="29"/>
        </w:trPr>
        <w:tc>
          <w:tcPr>
            <w:tcW w:w="1643" w:type="dxa"/>
          </w:tcPr>
          <w:p w14:paraId="4B5B81F1" w14:textId="77777777" w:rsidR="000B6284" w:rsidRPr="009E5B39" w:rsidRDefault="000B6284" w:rsidP="00D97F1D">
            <w:pPr>
              <w:pStyle w:val="ListParagraph"/>
              <w:spacing w:after="0" w:line="240" w:lineRule="auto"/>
              <w:ind w:left="0"/>
              <w:jc w:val="both"/>
              <w:rPr>
                <w:rFonts w:asciiTheme="majorHAnsi" w:hAnsiTheme="majorHAnsi" w:cstheme="majorHAnsi"/>
                <w:sz w:val="20"/>
                <w:szCs w:val="20"/>
                <w:lang w:val="ro-MD"/>
              </w:rPr>
            </w:pPr>
            <w:r w:rsidRPr="009E5B39">
              <w:rPr>
                <w:rFonts w:asciiTheme="majorHAnsi" w:hAnsiTheme="majorHAnsi" w:cstheme="majorHAnsi"/>
                <w:sz w:val="20"/>
                <w:szCs w:val="20"/>
                <w:lang w:val="ro-MD"/>
              </w:rPr>
              <w:t>0100423.535</w:t>
            </w:r>
          </w:p>
        </w:tc>
        <w:tc>
          <w:tcPr>
            <w:tcW w:w="2591" w:type="dxa"/>
          </w:tcPr>
          <w:p w14:paraId="1094DC43"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219</w:t>
            </w:r>
          </w:p>
        </w:tc>
        <w:tc>
          <w:tcPr>
            <w:tcW w:w="2591" w:type="dxa"/>
          </w:tcPr>
          <w:p w14:paraId="39D2A46C"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91</w:t>
            </w:r>
          </w:p>
        </w:tc>
        <w:tc>
          <w:tcPr>
            <w:tcW w:w="2396" w:type="dxa"/>
            <w:shd w:val="clear" w:color="auto" w:fill="auto"/>
            <w:vAlign w:val="bottom"/>
          </w:tcPr>
          <w:p w14:paraId="60FA91E8"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41,6</w:t>
            </w:r>
          </w:p>
        </w:tc>
      </w:tr>
      <w:tr w:rsidR="00EF4BC3" w:rsidRPr="009E5B39" w14:paraId="5FBCB7D4" w14:textId="77777777" w:rsidTr="00AB1276">
        <w:trPr>
          <w:trHeight w:val="29"/>
        </w:trPr>
        <w:tc>
          <w:tcPr>
            <w:tcW w:w="1643" w:type="dxa"/>
          </w:tcPr>
          <w:p w14:paraId="61C24615" w14:textId="77777777" w:rsidR="000B6284" w:rsidRPr="009E5B39" w:rsidRDefault="000B6284" w:rsidP="00D97F1D">
            <w:pPr>
              <w:pStyle w:val="ListParagraph"/>
              <w:spacing w:after="0" w:line="240" w:lineRule="auto"/>
              <w:ind w:left="0"/>
              <w:jc w:val="both"/>
              <w:rPr>
                <w:rFonts w:asciiTheme="majorHAnsi" w:hAnsiTheme="majorHAnsi" w:cstheme="majorHAnsi"/>
                <w:sz w:val="20"/>
                <w:szCs w:val="20"/>
                <w:lang w:val="ro-MD"/>
              </w:rPr>
            </w:pPr>
            <w:r w:rsidRPr="009E5B39">
              <w:rPr>
                <w:rFonts w:asciiTheme="majorHAnsi" w:hAnsiTheme="majorHAnsi" w:cstheme="majorHAnsi"/>
                <w:sz w:val="20"/>
                <w:szCs w:val="20"/>
                <w:lang w:val="ro-MD"/>
              </w:rPr>
              <w:t>0100423.265</w:t>
            </w:r>
          </w:p>
        </w:tc>
        <w:tc>
          <w:tcPr>
            <w:tcW w:w="2591" w:type="dxa"/>
          </w:tcPr>
          <w:p w14:paraId="750776C2"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50</w:t>
            </w:r>
          </w:p>
        </w:tc>
        <w:tc>
          <w:tcPr>
            <w:tcW w:w="2591" w:type="dxa"/>
          </w:tcPr>
          <w:p w14:paraId="3A63D63B"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37</w:t>
            </w:r>
          </w:p>
        </w:tc>
        <w:tc>
          <w:tcPr>
            <w:tcW w:w="2396" w:type="dxa"/>
            <w:shd w:val="clear" w:color="auto" w:fill="auto"/>
            <w:vAlign w:val="bottom"/>
          </w:tcPr>
          <w:p w14:paraId="231E62B0"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74,0</w:t>
            </w:r>
          </w:p>
        </w:tc>
      </w:tr>
      <w:tr w:rsidR="00EF4BC3" w:rsidRPr="009E5B39" w14:paraId="25F4AC22" w14:textId="77777777" w:rsidTr="00AB1276">
        <w:trPr>
          <w:trHeight w:val="29"/>
        </w:trPr>
        <w:tc>
          <w:tcPr>
            <w:tcW w:w="1643" w:type="dxa"/>
          </w:tcPr>
          <w:p w14:paraId="65E51B34" w14:textId="77777777" w:rsidR="000B6284" w:rsidRPr="009E5B39" w:rsidRDefault="000B6284" w:rsidP="00D97F1D">
            <w:pPr>
              <w:pStyle w:val="ListParagraph"/>
              <w:spacing w:after="0" w:line="240" w:lineRule="auto"/>
              <w:ind w:left="0"/>
              <w:jc w:val="both"/>
              <w:rPr>
                <w:rFonts w:asciiTheme="majorHAnsi" w:hAnsiTheme="majorHAnsi" w:cstheme="majorHAnsi"/>
                <w:sz w:val="20"/>
                <w:szCs w:val="20"/>
                <w:lang w:val="ro-MD"/>
              </w:rPr>
            </w:pPr>
            <w:r w:rsidRPr="009E5B39">
              <w:rPr>
                <w:rFonts w:asciiTheme="majorHAnsi" w:hAnsiTheme="majorHAnsi" w:cstheme="majorHAnsi"/>
                <w:sz w:val="20"/>
                <w:szCs w:val="20"/>
                <w:lang w:val="ro-MD"/>
              </w:rPr>
              <w:t xml:space="preserve">Total </w:t>
            </w:r>
          </w:p>
        </w:tc>
        <w:tc>
          <w:tcPr>
            <w:tcW w:w="2591" w:type="dxa"/>
            <w:shd w:val="clear" w:color="auto" w:fill="auto"/>
            <w:vAlign w:val="bottom"/>
          </w:tcPr>
          <w:p w14:paraId="215175E8"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1011</w:t>
            </w:r>
          </w:p>
        </w:tc>
        <w:tc>
          <w:tcPr>
            <w:tcW w:w="2591" w:type="dxa"/>
            <w:shd w:val="clear" w:color="auto" w:fill="auto"/>
            <w:vAlign w:val="bottom"/>
          </w:tcPr>
          <w:p w14:paraId="4D24FADB"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482</w:t>
            </w:r>
          </w:p>
        </w:tc>
        <w:tc>
          <w:tcPr>
            <w:tcW w:w="2396" w:type="dxa"/>
            <w:shd w:val="clear" w:color="auto" w:fill="auto"/>
            <w:vAlign w:val="bottom"/>
          </w:tcPr>
          <w:p w14:paraId="1EB87888" w14:textId="77777777" w:rsidR="000B6284" w:rsidRPr="009E5B39" w:rsidRDefault="000B6284" w:rsidP="00D97F1D">
            <w:pPr>
              <w:pStyle w:val="ListParagraph"/>
              <w:spacing w:after="0" w:line="240" w:lineRule="auto"/>
              <w:ind w:left="0"/>
              <w:jc w:val="right"/>
              <w:rPr>
                <w:rFonts w:asciiTheme="majorHAnsi" w:hAnsiTheme="majorHAnsi" w:cstheme="majorHAnsi"/>
                <w:sz w:val="20"/>
                <w:szCs w:val="20"/>
                <w:lang w:val="ro-MD"/>
              </w:rPr>
            </w:pPr>
            <w:r w:rsidRPr="009E5B39">
              <w:rPr>
                <w:rFonts w:asciiTheme="majorHAnsi" w:hAnsiTheme="majorHAnsi" w:cstheme="majorHAnsi"/>
                <w:sz w:val="20"/>
                <w:szCs w:val="20"/>
                <w:lang w:val="ro-MD"/>
              </w:rPr>
              <w:t>47,7</w:t>
            </w:r>
          </w:p>
        </w:tc>
      </w:tr>
    </w:tbl>
    <w:p w14:paraId="252A20E9" w14:textId="3B3D7090" w:rsidR="004D5476" w:rsidRPr="009E5B39" w:rsidRDefault="000B6284" w:rsidP="00EF4BC3">
      <w:pPr>
        <w:tabs>
          <w:tab w:val="left" w:pos="284"/>
        </w:tabs>
        <w:spacing w:after="0" w:line="276" w:lineRule="auto"/>
        <w:jc w:val="both"/>
        <w:rPr>
          <w:rFonts w:asciiTheme="majorHAnsi" w:hAnsiTheme="majorHAnsi" w:cstheme="majorHAnsi"/>
          <w:sz w:val="24"/>
          <w:szCs w:val="24"/>
          <w:lang w:val="ro-MD"/>
        </w:rPr>
      </w:pPr>
      <w:r w:rsidRPr="009E5B39" w:rsidDel="000B6284">
        <w:rPr>
          <w:rFonts w:asciiTheme="majorHAnsi" w:hAnsiTheme="majorHAnsi" w:cstheme="majorHAnsi"/>
          <w:i/>
          <w:sz w:val="24"/>
          <w:szCs w:val="24"/>
          <w:lang w:val="ro-MD"/>
        </w:rPr>
        <w:t xml:space="preserve"> </w:t>
      </w:r>
    </w:p>
    <w:p w14:paraId="5C3D3F8B" w14:textId="2C15D62F" w:rsidR="004D5476" w:rsidRPr="009E5B39" w:rsidRDefault="00675EF1" w:rsidP="00EF4BC3">
      <w:pPr>
        <w:pStyle w:val="ListParagraph"/>
        <w:numPr>
          <w:ilvl w:val="0"/>
          <w:numId w:val="36"/>
        </w:numPr>
        <w:spacing w:after="0"/>
        <w:ind w:left="0" w:firstLine="0"/>
        <w:jc w:val="both"/>
        <w:rPr>
          <w:rFonts w:asciiTheme="majorHAnsi" w:hAnsiTheme="majorHAnsi" w:cstheme="majorHAnsi"/>
          <w:b/>
          <w:i/>
          <w:sz w:val="24"/>
          <w:szCs w:val="24"/>
          <w:lang w:val="ro-MD"/>
        </w:rPr>
      </w:pPr>
      <w:r w:rsidRPr="009E5B39">
        <w:rPr>
          <w:rFonts w:asciiTheme="majorHAnsi" w:hAnsiTheme="majorHAnsi" w:cstheme="majorHAnsi"/>
          <w:b/>
          <w:sz w:val="24"/>
          <w:szCs w:val="24"/>
          <w:lang w:val="ro-MD"/>
        </w:rPr>
        <w:t>Schimbarea zonei urbanistice a terenului în scopul efectuării construcției blocului locativ multietajat</w:t>
      </w:r>
      <w:r w:rsidRPr="009E5B39">
        <w:rPr>
          <w:rFonts w:asciiTheme="majorHAnsi" w:hAnsiTheme="majorHAnsi" w:cstheme="majorHAnsi"/>
          <w:b/>
          <w:i/>
          <w:sz w:val="24"/>
          <w:szCs w:val="24"/>
          <w:lang w:val="ro-MD"/>
        </w:rPr>
        <w:t xml:space="preserve"> (limitele zonării, destinația terenului, codul zonei, regimul de înălțime). </w:t>
      </w:r>
      <w:r w:rsidR="004D5476" w:rsidRPr="009E5B39">
        <w:rPr>
          <w:rFonts w:asciiTheme="majorHAnsi" w:hAnsiTheme="majorHAnsi" w:cstheme="majorHAnsi"/>
          <w:sz w:val="24"/>
          <w:szCs w:val="24"/>
          <w:lang w:val="ro-MD"/>
        </w:rPr>
        <w:t xml:space="preserve">Deși mun. Chișinău deține un Plan Urbanistic General și un </w:t>
      </w:r>
      <w:r w:rsidR="002637C6" w:rsidRPr="009E5B39">
        <w:rPr>
          <w:rFonts w:asciiTheme="majorHAnsi" w:hAnsiTheme="majorHAnsi" w:cstheme="majorHAnsi"/>
          <w:sz w:val="24"/>
          <w:szCs w:val="24"/>
          <w:lang w:val="ro-MD"/>
        </w:rPr>
        <w:t>R</w:t>
      </w:r>
      <w:r w:rsidR="004D5476" w:rsidRPr="009E5B39">
        <w:rPr>
          <w:rFonts w:asciiTheme="majorHAnsi" w:hAnsiTheme="majorHAnsi" w:cstheme="majorHAnsi"/>
          <w:sz w:val="24"/>
          <w:szCs w:val="24"/>
          <w:lang w:val="ro-MD"/>
        </w:rPr>
        <w:t>egulament urbanistic local</w:t>
      </w:r>
      <w:r w:rsidR="002637C6" w:rsidRPr="009E5B39">
        <w:rPr>
          <w:rFonts w:asciiTheme="majorHAnsi" w:hAnsiTheme="majorHAnsi" w:cstheme="majorHAnsi"/>
          <w:sz w:val="24"/>
          <w:szCs w:val="24"/>
          <w:lang w:val="ro-MD"/>
        </w:rPr>
        <w:t>,</w:t>
      </w:r>
      <w:r w:rsidR="004D5476" w:rsidRPr="009E5B39">
        <w:rPr>
          <w:rFonts w:asciiTheme="majorHAnsi" w:hAnsiTheme="majorHAnsi" w:cstheme="majorHAnsi"/>
          <w:sz w:val="24"/>
          <w:szCs w:val="24"/>
          <w:lang w:val="ro-MD"/>
        </w:rPr>
        <w:t xml:space="preserve"> adoptat încă în </w:t>
      </w:r>
      <w:r w:rsidR="002637C6" w:rsidRPr="009E5B39">
        <w:rPr>
          <w:rFonts w:asciiTheme="majorHAnsi" w:hAnsiTheme="majorHAnsi" w:cstheme="majorHAnsi"/>
          <w:sz w:val="24"/>
          <w:szCs w:val="24"/>
          <w:lang w:val="ro-MD"/>
        </w:rPr>
        <w:t xml:space="preserve">anul </w:t>
      </w:r>
      <w:r w:rsidR="004D5476" w:rsidRPr="009E5B39">
        <w:rPr>
          <w:rFonts w:asciiTheme="majorHAnsi" w:hAnsiTheme="majorHAnsi" w:cstheme="majorHAnsi"/>
          <w:sz w:val="24"/>
          <w:szCs w:val="24"/>
          <w:lang w:val="ro-MD"/>
        </w:rPr>
        <w:t xml:space="preserve">2008, APL </w:t>
      </w:r>
      <w:r w:rsidR="002637C6" w:rsidRPr="009E5B39">
        <w:rPr>
          <w:rFonts w:asciiTheme="majorHAnsi" w:hAnsiTheme="majorHAnsi" w:cstheme="majorHAnsi"/>
          <w:sz w:val="24"/>
          <w:szCs w:val="24"/>
          <w:lang w:val="ro-MD"/>
        </w:rPr>
        <w:t xml:space="preserve">a </w:t>
      </w:r>
      <w:r w:rsidR="004D5476" w:rsidRPr="009E5B39">
        <w:rPr>
          <w:rFonts w:asciiTheme="majorHAnsi" w:hAnsiTheme="majorHAnsi" w:cstheme="majorHAnsi"/>
          <w:sz w:val="24"/>
          <w:szCs w:val="24"/>
          <w:lang w:val="ro-MD"/>
        </w:rPr>
        <w:t>mun. Chișinău modifică frecvent codurile zonificării (PUZ), indicii urbanistici pentru intervenții investiționale, fără a efectua analize complexe ale zonelor de intervenție și fără a propune soluții generale de infrastructură în condițiile modificărilor propuse.</w:t>
      </w:r>
    </w:p>
    <w:p w14:paraId="34BBB17B" w14:textId="01667E0F" w:rsidR="004D5476" w:rsidRPr="009E5B39" w:rsidRDefault="004D5476" w:rsidP="00EF4BC3">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Din acest motiv, au fost eliberate CUP și AC pentru construcția blocurilor locative multietajate, prin schimbarea zonei urbanistice a terenului, în baza deciziei CMC, fără plan urbanistic zonal și fără a fi respectat</w:t>
      </w:r>
      <w:r w:rsidR="002637C6"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prevederile planului urbanistic general. </w:t>
      </w:r>
      <w:r w:rsidRPr="009E5B39">
        <w:rPr>
          <w:rFonts w:asciiTheme="majorHAnsi" w:hAnsiTheme="majorHAnsi" w:cstheme="majorHAnsi"/>
          <w:i/>
          <w:sz w:val="24"/>
          <w:szCs w:val="24"/>
          <w:lang w:val="ro-MD"/>
        </w:rPr>
        <w:t>(</w:t>
      </w:r>
      <w:r w:rsidR="002637C6" w:rsidRPr="009E5B39">
        <w:rPr>
          <w:rFonts w:asciiTheme="majorHAnsi" w:hAnsiTheme="majorHAnsi" w:cstheme="majorHAnsi"/>
          <w:i/>
          <w:sz w:val="24"/>
          <w:szCs w:val="24"/>
          <w:lang w:val="ro-MD"/>
        </w:rPr>
        <w:t>E</w:t>
      </w:r>
      <w:r w:rsidRPr="009E5B39">
        <w:rPr>
          <w:rFonts w:asciiTheme="majorHAnsi" w:hAnsiTheme="majorHAnsi" w:cstheme="majorHAnsi"/>
          <w:i/>
          <w:sz w:val="24"/>
          <w:szCs w:val="24"/>
          <w:lang w:val="ro-MD"/>
        </w:rPr>
        <w:t>xemple la acest su</w:t>
      </w:r>
      <w:r w:rsidR="007A1B7F" w:rsidRPr="009E5B39">
        <w:rPr>
          <w:rFonts w:asciiTheme="majorHAnsi" w:hAnsiTheme="majorHAnsi" w:cstheme="majorHAnsi"/>
          <w:i/>
          <w:sz w:val="24"/>
          <w:szCs w:val="24"/>
          <w:lang w:val="ro-MD"/>
        </w:rPr>
        <w:t>biect sunt expuse în Anexa nr.1</w:t>
      </w:r>
      <w:r w:rsidR="00076181" w:rsidRPr="009E5B39">
        <w:rPr>
          <w:rFonts w:asciiTheme="majorHAnsi" w:hAnsiTheme="majorHAnsi" w:cstheme="majorHAnsi"/>
          <w:i/>
          <w:sz w:val="24"/>
          <w:szCs w:val="24"/>
          <w:lang w:val="ro-MD"/>
        </w:rPr>
        <w:t>8</w:t>
      </w:r>
      <w:r w:rsidRPr="009E5B39">
        <w:rPr>
          <w:rFonts w:asciiTheme="majorHAnsi" w:hAnsiTheme="majorHAnsi" w:cstheme="majorHAnsi"/>
          <w:i/>
          <w:sz w:val="24"/>
          <w:szCs w:val="24"/>
          <w:lang w:val="ro-MD"/>
        </w:rPr>
        <w:t xml:space="preserve"> la prezentul Raport de audit</w:t>
      </w:r>
      <w:r w:rsidR="002637C6"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w:t>
      </w:r>
    </w:p>
    <w:p w14:paraId="1F948A6F" w14:textId="5CC6871D" w:rsidR="004D5476" w:rsidRPr="009E5B39" w:rsidRDefault="004D5476" w:rsidP="00EF4BC3">
      <w:pPr>
        <w:pStyle w:val="ListParagraph"/>
        <w:numPr>
          <w:ilvl w:val="0"/>
          <w:numId w:val="36"/>
        </w:numPr>
        <w:spacing w:after="0" w:line="276" w:lineRule="auto"/>
        <w:ind w:left="0" w:firstLine="284"/>
        <w:jc w:val="both"/>
        <w:rPr>
          <w:rFonts w:asciiTheme="majorHAnsi" w:hAnsiTheme="majorHAnsi" w:cstheme="majorHAnsi"/>
          <w:b/>
          <w:sz w:val="24"/>
          <w:szCs w:val="24"/>
          <w:lang w:val="ro-MD"/>
        </w:rPr>
      </w:pPr>
      <w:r w:rsidRPr="009E5B39">
        <w:rPr>
          <w:rFonts w:asciiTheme="majorHAnsi" w:hAnsiTheme="majorHAnsi" w:cstheme="majorHAnsi"/>
          <w:b/>
          <w:sz w:val="24"/>
          <w:szCs w:val="24"/>
          <w:lang w:val="ro-MD"/>
        </w:rPr>
        <w:t xml:space="preserve">Unele dosare aferente documentelor permisive în construcție </w:t>
      </w:r>
      <w:r w:rsidRPr="009E5B39">
        <w:rPr>
          <w:rFonts w:asciiTheme="majorHAnsi" w:hAnsiTheme="majorHAnsi" w:cstheme="majorHAnsi"/>
          <w:sz w:val="24"/>
          <w:szCs w:val="24"/>
          <w:lang w:val="ro-MD"/>
        </w:rPr>
        <w:t>sunt întocmite neconform, cu abater</w:t>
      </w:r>
      <w:r w:rsidR="002637C6" w:rsidRPr="009E5B39">
        <w:rPr>
          <w:rFonts w:asciiTheme="majorHAnsi" w:hAnsiTheme="majorHAnsi" w:cstheme="majorHAnsi"/>
          <w:sz w:val="24"/>
          <w:szCs w:val="24"/>
          <w:lang w:val="ro-MD"/>
        </w:rPr>
        <w:t>i</w:t>
      </w:r>
      <w:r w:rsidRPr="009E5B39">
        <w:rPr>
          <w:rFonts w:asciiTheme="majorHAnsi" w:hAnsiTheme="majorHAnsi" w:cstheme="majorHAnsi"/>
          <w:sz w:val="24"/>
          <w:szCs w:val="24"/>
          <w:lang w:val="ro-MD"/>
        </w:rPr>
        <w:t xml:space="preserve"> de la prevederile Legii </w:t>
      </w:r>
      <w:r w:rsidR="002637C6" w:rsidRPr="009E5B39">
        <w:rPr>
          <w:rFonts w:asciiTheme="majorHAnsi" w:hAnsiTheme="majorHAnsi" w:cstheme="majorHAnsi"/>
          <w:sz w:val="24"/>
          <w:szCs w:val="24"/>
          <w:lang w:val="ro-MD"/>
        </w:rPr>
        <w:t>nr.</w:t>
      </w:r>
      <w:r w:rsidRPr="009E5B39">
        <w:rPr>
          <w:rFonts w:asciiTheme="majorHAnsi" w:hAnsiTheme="majorHAnsi" w:cstheme="majorHAnsi"/>
          <w:sz w:val="24"/>
          <w:szCs w:val="24"/>
          <w:lang w:val="ro-MD"/>
        </w:rPr>
        <w:t>163/2010, c</w:t>
      </w:r>
      <w:r w:rsidR="002637C6" w:rsidRPr="009E5B39">
        <w:rPr>
          <w:rFonts w:asciiTheme="majorHAnsi" w:hAnsiTheme="majorHAnsi" w:cstheme="majorHAnsi"/>
          <w:sz w:val="24"/>
          <w:szCs w:val="24"/>
          <w:lang w:val="ro-MD"/>
        </w:rPr>
        <w:t>ar</w:t>
      </w:r>
      <w:r w:rsidRPr="009E5B39">
        <w:rPr>
          <w:rFonts w:asciiTheme="majorHAnsi" w:hAnsiTheme="majorHAnsi" w:cstheme="majorHAnsi"/>
          <w:sz w:val="24"/>
          <w:szCs w:val="24"/>
          <w:lang w:val="ro-MD"/>
        </w:rPr>
        <w:t>e se manifestă prin conținutul exagerat al documentelor incluse în dosar (100-200 file), aranjarea lor dezordonată în lipsa înregistrării lor în borderou, dosarul nefiind cusut și numerotat, ceea ce nu asigură plenitudinea și integritatea acestora, precum și determină imposibilitatea urmăririi conformității procedurilor de obținere a documentelor permisive în construcție.</w:t>
      </w:r>
      <w:r w:rsidR="006B75DD" w:rsidRPr="009E5B39">
        <w:rPr>
          <w:rFonts w:asciiTheme="majorHAnsi" w:hAnsiTheme="majorHAnsi" w:cstheme="majorHAnsi"/>
          <w:sz w:val="24"/>
          <w:szCs w:val="24"/>
          <w:lang w:val="ro-MD"/>
        </w:rPr>
        <w:t xml:space="preserve"> </w:t>
      </w:r>
      <w:r w:rsidR="006B75DD" w:rsidRPr="009E5B39">
        <w:rPr>
          <w:rFonts w:asciiTheme="majorHAnsi" w:hAnsiTheme="majorHAnsi" w:cstheme="majorHAnsi"/>
          <w:i/>
          <w:sz w:val="24"/>
          <w:szCs w:val="24"/>
          <w:lang w:val="ro-MD"/>
        </w:rPr>
        <w:t>Informații cu privire la autorizațiile de construcție verificate sunt prezentate în Anexa nr.</w:t>
      </w:r>
      <w:r w:rsidR="00B45C24" w:rsidRPr="009E5B39">
        <w:rPr>
          <w:rFonts w:asciiTheme="majorHAnsi" w:hAnsiTheme="majorHAnsi" w:cstheme="majorHAnsi"/>
          <w:i/>
          <w:sz w:val="24"/>
          <w:szCs w:val="24"/>
          <w:lang w:val="ro-MD"/>
        </w:rPr>
        <w:t>19</w:t>
      </w:r>
      <w:r w:rsidR="006B75DD" w:rsidRPr="009E5B39">
        <w:rPr>
          <w:rFonts w:asciiTheme="majorHAnsi" w:hAnsiTheme="majorHAnsi" w:cstheme="majorHAnsi"/>
          <w:i/>
          <w:sz w:val="24"/>
          <w:szCs w:val="24"/>
          <w:lang w:val="ro-MD"/>
        </w:rPr>
        <w:t xml:space="preserve"> la Rapor</w:t>
      </w:r>
      <w:r w:rsidR="006442AA" w:rsidRPr="009E5B39">
        <w:rPr>
          <w:rFonts w:asciiTheme="majorHAnsi" w:hAnsiTheme="majorHAnsi" w:cstheme="majorHAnsi"/>
          <w:i/>
          <w:sz w:val="24"/>
          <w:szCs w:val="24"/>
          <w:lang w:val="ro-MD"/>
        </w:rPr>
        <w:t>tul de audit</w:t>
      </w:r>
      <w:r w:rsidR="006B75DD" w:rsidRPr="009E5B39">
        <w:rPr>
          <w:rFonts w:asciiTheme="majorHAnsi" w:hAnsiTheme="majorHAnsi" w:cstheme="majorHAnsi"/>
          <w:i/>
          <w:sz w:val="24"/>
          <w:szCs w:val="24"/>
          <w:lang w:val="ro-MD"/>
        </w:rPr>
        <w:t>.</w:t>
      </w:r>
    </w:p>
    <w:p w14:paraId="157511AE" w14:textId="1949D2D5" w:rsidR="006234A9" w:rsidRPr="009E5B39" w:rsidRDefault="00A20B3C" w:rsidP="00F67731">
      <w:pPr>
        <w:pStyle w:val="ListParagraph"/>
        <w:numPr>
          <w:ilvl w:val="2"/>
          <w:numId w:val="78"/>
        </w:numPr>
        <w:tabs>
          <w:tab w:val="left" w:pos="0"/>
          <w:tab w:val="left" w:pos="851"/>
          <w:tab w:val="left" w:pos="993"/>
        </w:tabs>
        <w:spacing w:after="0" w:line="276" w:lineRule="auto"/>
        <w:ind w:left="0" w:firstLine="0"/>
        <w:jc w:val="both"/>
        <w:rPr>
          <w:rFonts w:asciiTheme="majorHAnsi" w:hAnsiTheme="majorHAnsi" w:cstheme="majorHAnsi"/>
          <w:b/>
          <w:bCs/>
          <w:i/>
          <w:sz w:val="24"/>
          <w:szCs w:val="24"/>
          <w:lang w:val="ro-MD"/>
        </w:rPr>
      </w:pPr>
      <w:r w:rsidRPr="009E5B39">
        <w:rPr>
          <w:rFonts w:asciiTheme="majorHAnsi" w:hAnsiTheme="majorHAnsi" w:cstheme="majorHAnsi"/>
          <w:b/>
          <w:i/>
          <w:sz w:val="24"/>
          <w:szCs w:val="24"/>
          <w:lang w:val="ro-MD"/>
        </w:rPr>
        <w:t>Recomandările aprobate prin HCC nr.</w:t>
      </w:r>
      <w:r w:rsidR="00B967BB" w:rsidRPr="009E5B39">
        <w:rPr>
          <w:rFonts w:asciiTheme="majorHAnsi" w:hAnsiTheme="majorHAnsi" w:cstheme="majorHAnsi"/>
          <w:b/>
          <w:i/>
          <w:sz w:val="24"/>
          <w:szCs w:val="24"/>
          <w:lang w:val="ro-MD"/>
        </w:rPr>
        <w:t xml:space="preserve">16 </w:t>
      </w:r>
      <w:r w:rsidRPr="009E5B39">
        <w:rPr>
          <w:rFonts w:asciiTheme="majorHAnsi" w:hAnsiTheme="majorHAnsi" w:cstheme="majorHAnsi"/>
          <w:b/>
          <w:i/>
          <w:sz w:val="24"/>
          <w:szCs w:val="24"/>
          <w:lang w:val="ro-MD"/>
        </w:rPr>
        <w:t>din</w:t>
      </w:r>
      <w:r w:rsidR="00B967BB" w:rsidRPr="009E5B39">
        <w:rPr>
          <w:rFonts w:asciiTheme="majorHAnsi" w:hAnsiTheme="majorHAnsi" w:cstheme="majorHAnsi"/>
          <w:b/>
          <w:i/>
          <w:sz w:val="24"/>
          <w:szCs w:val="24"/>
          <w:lang w:val="ro-MD"/>
        </w:rPr>
        <w:t xml:space="preserve"> 29.04.2020 privind aprobarea Raportului misiunii de follow-up asupra implementării cerințelor și recomandărilor aprobate prin </w:t>
      </w:r>
      <w:r w:rsidR="00F67731" w:rsidRPr="009E5B39">
        <w:rPr>
          <w:rFonts w:asciiTheme="majorHAnsi" w:hAnsiTheme="majorHAnsi" w:cstheme="majorHAnsi"/>
          <w:b/>
          <w:i/>
          <w:sz w:val="24"/>
          <w:szCs w:val="24"/>
          <w:lang w:val="ro-MD"/>
        </w:rPr>
        <w:t>Hotărârea</w:t>
      </w:r>
      <w:r w:rsidR="00B967BB" w:rsidRPr="009E5B39">
        <w:rPr>
          <w:rFonts w:asciiTheme="majorHAnsi" w:hAnsiTheme="majorHAnsi" w:cstheme="majorHAnsi"/>
          <w:b/>
          <w:i/>
          <w:sz w:val="24"/>
          <w:szCs w:val="24"/>
          <w:lang w:val="ro-MD"/>
        </w:rPr>
        <w:t xml:space="preserve"> Curții de Conturi nr.43 din 22 septembrie 2017 cu privire la </w:t>
      </w:r>
      <w:r w:rsidR="006442AA" w:rsidRPr="009E5B39">
        <w:rPr>
          <w:rFonts w:asciiTheme="majorHAnsi" w:hAnsiTheme="majorHAnsi" w:cstheme="majorHAnsi"/>
          <w:b/>
          <w:i/>
          <w:sz w:val="24"/>
          <w:szCs w:val="24"/>
          <w:lang w:val="ro-MD"/>
        </w:rPr>
        <w:t>a</w:t>
      </w:r>
      <w:r w:rsidR="00B967BB" w:rsidRPr="009E5B39">
        <w:rPr>
          <w:rFonts w:asciiTheme="majorHAnsi" w:hAnsiTheme="majorHAnsi" w:cstheme="majorHAnsi"/>
          <w:b/>
          <w:i/>
          <w:sz w:val="24"/>
          <w:szCs w:val="24"/>
          <w:lang w:val="ro-MD"/>
        </w:rPr>
        <w:t>uditul performanței „Eficiența gestiunii economico-financiare și administrării patrimoniului de către întreprinderile care prestează servicii de aprovizionare cu apă a populației”</w:t>
      </w:r>
      <w:r w:rsidR="00931B79" w:rsidRPr="009E5B39">
        <w:rPr>
          <w:rFonts w:asciiTheme="majorHAnsi" w:hAnsiTheme="majorHAnsi" w:cstheme="majorHAnsi"/>
          <w:b/>
          <w:i/>
          <w:sz w:val="24"/>
          <w:szCs w:val="24"/>
          <w:lang w:val="ro-MD"/>
        </w:rPr>
        <w:t>, înaintate SA „Apă Canal Chișinău”</w:t>
      </w:r>
      <w:r w:rsidR="006442AA" w:rsidRPr="009E5B39">
        <w:rPr>
          <w:rFonts w:asciiTheme="majorHAnsi" w:hAnsiTheme="majorHAnsi" w:cstheme="majorHAnsi"/>
          <w:b/>
          <w:i/>
          <w:sz w:val="24"/>
          <w:szCs w:val="24"/>
          <w:lang w:val="ro-MD"/>
        </w:rPr>
        <w:t>,</w:t>
      </w:r>
      <w:r w:rsidR="006234A9" w:rsidRPr="009E5B39">
        <w:rPr>
          <w:rFonts w:asciiTheme="majorHAnsi" w:hAnsiTheme="majorHAnsi" w:cstheme="majorHAnsi"/>
          <w:b/>
          <w:bCs/>
          <w:i/>
          <w:sz w:val="24"/>
          <w:szCs w:val="24"/>
          <w:lang w:val="ro-MD"/>
        </w:rPr>
        <w:t xml:space="preserve"> </w:t>
      </w:r>
      <w:r w:rsidR="00931B79" w:rsidRPr="009E5B39">
        <w:rPr>
          <w:rFonts w:asciiTheme="majorHAnsi" w:hAnsiTheme="majorHAnsi" w:cstheme="majorHAnsi"/>
          <w:b/>
          <w:bCs/>
          <w:i/>
          <w:sz w:val="24"/>
          <w:szCs w:val="24"/>
          <w:lang w:val="ro-MD"/>
        </w:rPr>
        <w:t>au fost implementate parțial.</w:t>
      </w:r>
    </w:p>
    <w:p w14:paraId="6AF80941" w14:textId="1218555C" w:rsidR="00D91A18" w:rsidRPr="009E5B39" w:rsidRDefault="00D91A18" w:rsidP="00EF4BC3">
      <w:pPr>
        <w:pStyle w:val="ListParagraph"/>
        <w:numPr>
          <w:ilvl w:val="0"/>
          <w:numId w:val="79"/>
        </w:numPr>
        <w:tabs>
          <w:tab w:val="left" w:pos="0"/>
          <w:tab w:val="left" w:pos="851"/>
          <w:tab w:val="left" w:pos="993"/>
        </w:tabs>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b/>
          <w:bCs/>
          <w:i/>
          <w:sz w:val="24"/>
          <w:szCs w:val="24"/>
          <w:lang w:val="ro-MD"/>
        </w:rPr>
        <w:t xml:space="preserve">Deși SA ACC a întreprins măsuri pentru a se conforma la recomandările anterioare ale Curții de Conturi, aceasta nu a eliminat toate </w:t>
      </w:r>
      <w:r w:rsidR="00197403" w:rsidRPr="009E5B39">
        <w:rPr>
          <w:rFonts w:asciiTheme="majorHAnsi" w:hAnsiTheme="majorHAnsi" w:cstheme="majorHAnsi"/>
          <w:b/>
          <w:bCs/>
          <w:i/>
          <w:sz w:val="24"/>
          <w:szCs w:val="24"/>
          <w:lang w:val="ro-MD"/>
        </w:rPr>
        <w:t>premisele</w:t>
      </w:r>
      <w:r w:rsidRPr="009E5B39">
        <w:rPr>
          <w:rFonts w:asciiTheme="majorHAnsi" w:hAnsiTheme="majorHAnsi" w:cstheme="majorHAnsi"/>
          <w:b/>
          <w:bCs/>
          <w:i/>
          <w:sz w:val="24"/>
          <w:szCs w:val="24"/>
          <w:lang w:val="ro-MD"/>
        </w:rPr>
        <w:t xml:space="preserve"> gestiun</w:t>
      </w:r>
      <w:r w:rsidR="006442AA" w:rsidRPr="009E5B39">
        <w:rPr>
          <w:rFonts w:asciiTheme="majorHAnsi" w:hAnsiTheme="majorHAnsi" w:cstheme="majorHAnsi"/>
          <w:b/>
          <w:bCs/>
          <w:i/>
          <w:sz w:val="24"/>
          <w:szCs w:val="24"/>
          <w:lang w:val="ro-MD"/>
        </w:rPr>
        <w:t>ii</w:t>
      </w:r>
      <w:r w:rsidRPr="009E5B39">
        <w:rPr>
          <w:rFonts w:asciiTheme="majorHAnsi" w:hAnsiTheme="majorHAnsi" w:cstheme="majorHAnsi"/>
          <w:b/>
          <w:bCs/>
          <w:i/>
          <w:sz w:val="24"/>
          <w:szCs w:val="24"/>
          <w:lang w:val="ro-MD"/>
        </w:rPr>
        <w:t xml:space="preserve"> ineficient</w:t>
      </w:r>
      <w:r w:rsidR="006442AA" w:rsidRPr="009E5B39">
        <w:rPr>
          <w:rFonts w:asciiTheme="majorHAnsi" w:hAnsiTheme="majorHAnsi" w:cstheme="majorHAnsi"/>
          <w:b/>
          <w:bCs/>
          <w:i/>
          <w:sz w:val="24"/>
          <w:szCs w:val="24"/>
          <w:lang w:val="ro-MD"/>
        </w:rPr>
        <w:t>e</w:t>
      </w:r>
      <w:r w:rsidRPr="009E5B39">
        <w:rPr>
          <w:rFonts w:asciiTheme="majorHAnsi" w:hAnsiTheme="majorHAnsi" w:cstheme="majorHAnsi"/>
          <w:b/>
          <w:bCs/>
          <w:i/>
          <w:sz w:val="24"/>
          <w:szCs w:val="24"/>
          <w:lang w:val="ro-MD"/>
        </w:rPr>
        <w:t xml:space="preserve"> a patrimoniului public local a</w:t>
      </w:r>
      <w:r w:rsidR="00197403" w:rsidRPr="009E5B39">
        <w:rPr>
          <w:rFonts w:asciiTheme="majorHAnsi" w:hAnsiTheme="majorHAnsi" w:cstheme="majorHAnsi"/>
          <w:b/>
          <w:bCs/>
          <w:i/>
          <w:sz w:val="24"/>
          <w:szCs w:val="24"/>
          <w:lang w:val="ro-MD"/>
        </w:rPr>
        <w:t>f</w:t>
      </w:r>
      <w:r w:rsidRPr="009E5B39">
        <w:rPr>
          <w:rFonts w:asciiTheme="majorHAnsi" w:hAnsiTheme="majorHAnsi" w:cstheme="majorHAnsi"/>
          <w:b/>
          <w:bCs/>
          <w:i/>
          <w:sz w:val="24"/>
          <w:szCs w:val="24"/>
          <w:lang w:val="ro-MD"/>
        </w:rPr>
        <w:t>lat în gestiunea sa.</w:t>
      </w:r>
      <w:r w:rsidR="00613521" w:rsidRPr="009E5B39">
        <w:rPr>
          <w:rFonts w:asciiTheme="majorHAnsi" w:hAnsiTheme="majorHAnsi" w:cstheme="majorHAnsi"/>
          <w:b/>
          <w:bCs/>
          <w:i/>
          <w:sz w:val="24"/>
          <w:szCs w:val="24"/>
          <w:lang w:val="ro-MD"/>
        </w:rPr>
        <w:t xml:space="preserve"> Din 17 recomandări înaintate SA ACC</w:t>
      </w:r>
      <w:r w:rsidR="006442AA" w:rsidRPr="009E5B39">
        <w:rPr>
          <w:rFonts w:asciiTheme="majorHAnsi" w:hAnsiTheme="majorHAnsi" w:cstheme="majorHAnsi"/>
          <w:b/>
          <w:bCs/>
          <w:i/>
          <w:sz w:val="24"/>
          <w:szCs w:val="24"/>
          <w:lang w:val="ro-MD"/>
        </w:rPr>
        <w:t xml:space="preserve">, </w:t>
      </w:r>
      <w:r w:rsidR="00613521" w:rsidRPr="009E5B39">
        <w:rPr>
          <w:rFonts w:asciiTheme="majorHAnsi" w:hAnsiTheme="majorHAnsi" w:cstheme="majorHAnsi"/>
          <w:b/>
          <w:bCs/>
          <w:i/>
          <w:sz w:val="24"/>
          <w:szCs w:val="24"/>
          <w:lang w:val="ro-MD"/>
        </w:rPr>
        <w:t>toate au fost parțial implementate.</w:t>
      </w:r>
      <w:r w:rsidRPr="009E5B39">
        <w:rPr>
          <w:rFonts w:asciiTheme="majorHAnsi" w:hAnsiTheme="majorHAnsi" w:cstheme="majorHAnsi"/>
          <w:b/>
          <w:bCs/>
          <w:i/>
          <w:sz w:val="24"/>
          <w:szCs w:val="24"/>
          <w:lang w:val="ro-MD"/>
        </w:rPr>
        <w:t xml:space="preserve"> Astfel, nu a fost asigurată evidența </w:t>
      </w:r>
      <w:r w:rsidR="005746A2" w:rsidRPr="009E5B39">
        <w:rPr>
          <w:rFonts w:asciiTheme="majorHAnsi" w:hAnsiTheme="majorHAnsi" w:cstheme="majorHAnsi"/>
          <w:b/>
          <w:bCs/>
          <w:i/>
          <w:sz w:val="24"/>
          <w:szCs w:val="24"/>
          <w:lang w:val="ro-MD"/>
        </w:rPr>
        <w:t xml:space="preserve">contabilă a </w:t>
      </w:r>
      <w:r w:rsidRPr="009E5B39">
        <w:rPr>
          <w:rFonts w:asciiTheme="majorHAnsi" w:hAnsiTheme="majorHAnsi" w:cstheme="majorHAnsi"/>
          <w:b/>
          <w:bCs/>
          <w:i/>
          <w:sz w:val="24"/>
          <w:szCs w:val="24"/>
          <w:lang w:val="ro-MD"/>
        </w:rPr>
        <w:t>costurilor pe etape tehnologice și determinarea valorii pierderilor de apă la diferite etape tehnologice. Nu a fost implementată nici evidența cantitativă a producției livrate – apa. Nu a fost actualizat prețul de livrare a apei brute. Nu au fost revăzute și eliminate relațiile de intermediere între prestatorul de servicii și consumatorii casnici din blocurile locative, ceea ce denaturează valoarea reală a creanțelor și nu asigură recuperarea acestora de la datornicii c</w:t>
      </w:r>
      <w:r w:rsidR="006442AA" w:rsidRPr="009E5B39">
        <w:rPr>
          <w:rFonts w:asciiTheme="majorHAnsi" w:hAnsiTheme="majorHAnsi" w:cstheme="majorHAnsi"/>
          <w:b/>
          <w:bCs/>
          <w:i/>
          <w:sz w:val="24"/>
          <w:szCs w:val="24"/>
          <w:lang w:val="ro-MD"/>
        </w:rPr>
        <w:t>ar</w:t>
      </w:r>
      <w:r w:rsidRPr="009E5B39">
        <w:rPr>
          <w:rFonts w:asciiTheme="majorHAnsi" w:hAnsiTheme="majorHAnsi" w:cstheme="majorHAnsi"/>
          <w:b/>
          <w:bCs/>
          <w:i/>
          <w:sz w:val="24"/>
          <w:szCs w:val="24"/>
          <w:lang w:val="ro-MD"/>
        </w:rPr>
        <w:t xml:space="preserve">e au patrimoniu ce poate fi urmărit, în schimb se suportă cheltuieli ineficiențe pentru încasarea creanțelor de la </w:t>
      </w:r>
      <w:r w:rsidR="00835991" w:rsidRPr="009E5B39">
        <w:rPr>
          <w:rFonts w:asciiTheme="majorHAnsi" w:hAnsiTheme="majorHAnsi" w:cstheme="majorHAnsi"/>
          <w:b/>
          <w:bCs/>
          <w:i/>
          <w:sz w:val="24"/>
          <w:szCs w:val="24"/>
          <w:lang w:val="ro-MD"/>
        </w:rPr>
        <w:t>gestionarii fondului locativ</w:t>
      </w:r>
      <w:r w:rsidRPr="009E5B39">
        <w:rPr>
          <w:rFonts w:asciiTheme="majorHAnsi" w:hAnsiTheme="majorHAnsi" w:cstheme="majorHAnsi"/>
          <w:b/>
          <w:bCs/>
          <w:i/>
          <w:sz w:val="24"/>
          <w:szCs w:val="24"/>
          <w:lang w:val="ro-MD"/>
        </w:rPr>
        <w:t xml:space="preserve"> c</w:t>
      </w:r>
      <w:r w:rsidR="006442AA" w:rsidRPr="009E5B39">
        <w:rPr>
          <w:rFonts w:asciiTheme="majorHAnsi" w:hAnsiTheme="majorHAnsi" w:cstheme="majorHAnsi"/>
          <w:b/>
          <w:bCs/>
          <w:i/>
          <w:sz w:val="24"/>
          <w:szCs w:val="24"/>
          <w:lang w:val="ro-MD"/>
        </w:rPr>
        <w:t>ar</w:t>
      </w:r>
      <w:r w:rsidRPr="009E5B39">
        <w:rPr>
          <w:rFonts w:asciiTheme="majorHAnsi" w:hAnsiTheme="majorHAnsi" w:cstheme="majorHAnsi"/>
          <w:b/>
          <w:bCs/>
          <w:i/>
          <w:sz w:val="24"/>
          <w:szCs w:val="24"/>
          <w:lang w:val="ro-MD"/>
        </w:rPr>
        <w:t>e nu dispun de patrimoniu ce poate fi urmărit. În acest context</w:t>
      </w:r>
      <w:r w:rsidR="006442AA" w:rsidRPr="009E5B39">
        <w:rPr>
          <w:rFonts w:asciiTheme="majorHAnsi" w:hAnsiTheme="majorHAnsi" w:cstheme="majorHAnsi"/>
          <w:b/>
          <w:bCs/>
          <w:i/>
          <w:sz w:val="24"/>
          <w:szCs w:val="24"/>
          <w:lang w:val="ro-MD"/>
        </w:rPr>
        <w:t>,</w:t>
      </w:r>
      <w:r w:rsidRPr="009E5B39">
        <w:rPr>
          <w:rFonts w:asciiTheme="majorHAnsi" w:hAnsiTheme="majorHAnsi" w:cstheme="majorHAnsi"/>
          <w:b/>
          <w:bCs/>
          <w:i/>
          <w:sz w:val="24"/>
          <w:szCs w:val="24"/>
          <w:lang w:val="ro-MD"/>
        </w:rPr>
        <w:t xml:space="preserve"> se indică despre procedurile </w:t>
      </w:r>
      <w:r w:rsidR="00197403" w:rsidRPr="009E5B39">
        <w:rPr>
          <w:rFonts w:asciiTheme="majorHAnsi" w:hAnsiTheme="majorHAnsi" w:cstheme="majorHAnsi"/>
          <w:b/>
          <w:bCs/>
          <w:i/>
          <w:sz w:val="24"/>
          <w:szCs w:val="24"/>
          <w:lang w:val="ro-MD"/>
        </w:rPr>
        <w:t>defectuoase</w:t>
      </w:r>
      <w:r w:rsidRPr="009E5B39">
        <w:rPr>
          <w:rFonts w:asciiTheme="majorHAnsi" w:hAnsiTheme="majorHAnsi" w:cstheme="majorHAnsi"/>
          <w:b/>
          <w:bCs/>
          <w:i/>
          <w:sz w:val="24"/>
          <w:szCs w:val="24"/>
          <w:lang w:val="ro-MD"/>
        </w:rPr>
        <w:t xml:space="preserve"> de contractare a prestării serviciilor de livrare a apei cu locatarii apartamentelor din blocurile locative, fiind încheiate preponderent contracte doar pentru prestarea serviciilor de apă potabilă, iar pentru apa caldă menajeră (unde apa este livrată de SA ACC</w:t>
      </w:r>
      <w:r w:rsidR="00950022" w:rsidRPr="009E5B39">
        <w:rPr>
          <w:rFonts w:asciiTheme="majorHAnsi" w:hAnsiTheme="majorHAnsi" w:cstheme="majorHAnsi"/>
          <w:b/>
          <w:bCs/>
          <w:i/>
          <w:sz w:val="24"/>
          <w:szCs w:val="24"/>
          <w:lang w:val="ro-MD"/>
        </w:rPr>
        <w:t>,</w:t>
      </w:r>
      <w:r w:rsidRPr="009E5B39">
        <w:rPr>
          <w:rFonts w:asciiTheme="majorHAnsi" w:hAnsiTheme="majorHAnsi" w:cstheme="majorHAnsi"/>
          <w:b/>
          <w:bCs/>
          <w:i/>
          <w:sz w:val="24"/>
          <w:szCs w:val="24"/>
          <w:lang w:val="ro-MD"/>
        </w:rPr>
        <w:t xml:space="preserve"> iar energia termică </w:t>
      </w:r>
      <w:r w:rsidR="00950022" w:rsidRPr="009E5B39">
        <w:rPr>
          <w:rFonts w:asciiTheme="majorHAnsi" w:hAnsiTheme="majorHAnsi" w:cstheme="majorHAnsi"/>
          <w:b/>
          <w:bCs/>
          <w:i/>
          <w:sz w:val="24"/>
          <w:szCs w:val="24"/>
          <w:lang w:val="ro-MD"/>
        </w:rPr>
        <w:t xml:space="preserve">- </w:t>
      </w:r>
      <w:r w:rsidRPr="009E5B39">
        <w:rPr>
          <w:rFonts w:asciiTheme="majorHAnsi" w:hAnsiTheme="majorHAnsi" w:cstheme="majorHAnsi"/>
          <w:b/>
          <w:bCs/>
          <w:i/>
          <w:sz w:val="24"/>
          <w:szCs w:val="24"/>
          <w:lang w:val="ro-MD"/>
        </w:rPr>
        <w:t>de SA Termoelectrica) nu se încheie contracte pentru livrarea apei, fiind suportate cheltuieli duble de facturare a serviciului pentru același apartament (apa rece se factureaz</w:t>
      </w:r>
      <w:r w:rsidR="00197403" w:rsidRPr="009E5B39">
        <w:rPr>
          <w:rFonts w:asciiTheme="majorHAnsi" w:hAnsiTheme="majorHAnsi" w:cstheme="majorHAnsi"/>
          <w:b/>
          <w:bCs/>
          <w:i/>
          <w:sz w:val="24"/>
          <w:szCs w:val="24"/>
          <w:lang w:val="ro-MD"/>
        </w:rPr>
        <w:t>ă</w:t>
      </w:r>
      <w:r w:rsidRPr="009E5B39">
        <w:rPr>
          <w:rFonts w:asciiTheme="majorHAnsi" w:hAnsiTheme="majorHAnsi" w:cstheme="majorHAnsi"/>
          <w:b/>
          <w:bCs/>
          <w:i/>
          <w:sz w:val="24"/>
          <w:szCs w:val="24"/>
          <w:lang w:val="ro-MD"/>
        </w:rPr>
        <w:t xml:space="preserve"> de SA ACC</w:t>
      </w:r>
      <w:r w:rsidR="00950022" w:rsidRPr="009E5B39">
        <w:rPr>
          <w:rFonts w:asciiTheme="majorHAnsi" w:hAnsiTheme="majorHAnsi" w:cstheme="majorHAnsi"/>
          <w:b/>
          <w:bCs/>
          <w:i/>
          <w:sz w:val="24"/>
          <w:szCs w:val="24"/>
          <w:lang w:val="ro-MD"/>
        </w:rPr>
        <w:t>,</w:t>
      </w:r>
      <w:r w:rsidRPr="009E5B39">
        <w:rPr>
          <w:rFonts w:asciiTheme="majorHAnsi" w:hAnsiTheme="majorHAnsi" w:cstheme="majorHAnsi"/>
          <w:b/>
          <w:bCs/>
          <w:i/>
          <w:sz w:val="24"/>
          <w:szCs w:val="24"/>
          <w:lang w:val="ro-MD"/>
        </w:rPr>
        <w:t xml:space="preserve"> iar apa men</w:t>
      </w:r>
      <w:r w:rsidR="00197403" w:rsidRPr="009E5B39">
        <w:rPr>
          <w:rFonts w:asciiTheme="majorHAnsi" w:hAnsiTheme="majorHAnsi" w:cstheme="majorHAnsi"/>
          <w:b/>
          <w:bCs/>
          <w:i/>
          <w:sz w:val="24"/>
          <w:szCs w:val="24"/>
          <w:lang w:val="ro-MD"/>
        </w:rPr>
        <w:t>a</w:t>
      </w:r>
      <w:r w:rsidRPr="009E5B39">
        <w:rPr>
          <w:rFonts w:asciiTheme="majorHAnsi" w:hAnsiTheme="majorHAnsi" w:cstheme="majorHAnsi"/>
          <w:b/>
          <w:bCs/>
          <w:i/>
          <w:sz w:val="24"/>
          <w:szCs w:val="24"/>
          <w:lang w:val="ro-MD"/>
        </w:rPr>
        <w:t>jer</w:t>
      </w:r>
      <w:r w:rsidR="00197403" w:rsidRPr="009E5B39">
        <w:rPr>
          <w:rFonts w:asciiTheme="majorHAnsi" w:hAnsiTheme="majorHAnsi" w:cstheme="majorHAnsi"/>
          <w:b/>
          <w:bCs/>
          <w:i/>
          <w:sz w:val="24"/>
          <w:szCs w:val="24"/>
          <w:lang w:val="ro-MD"/>
        </w:rPr>
        <w:t>ă</w:t>
      </w:r>
      <w:r w:rsidRPr="009E5B39">
        <w:rPr>
          <w:rFonts w:asciiTheme="majorHAnsi" w:hAnsiTheme="majorHAnsi" w:cstheme="majorHAnsi"/>
          <w:b/>
          <w:bCs/>
          <w:i/>
          <w:sz w:val="24"/>
          <w:szCs w:val="24"/>
          <w:lang w:val="ro-MD"/>
        </w:rPr>
        <w:t xml:space="preserve"> </w:t>
      </w:r>
      <w:r w:rsidR="00950022" w:rsidRPr="009E5B39">
        <w:rPr>
          <w:rFonts w:asciiTheme="majorHAnsi" w:hAnsiTheme="majorHAnsi" w:cstheme="majorHAnsi"/>
          <w:b/>
          <w:bCs/>
          <w:i/>
          <w:sz w:val="24"/>
          <w:szCs w:val="24"/>
          <w:lang w:val="ro-MD"/>
        </w:rPr>
        <w:t xml:space="preserve">- </w:t>
      </w:r>
      <w:r w:rsidRPr="009E5B39">
        <w:rPr>
          <w:rFonts w:asciiTheme="majorHAnsi" w:hAnsiTheme="majorHAnsi" w:cstheme="majorHAnsi"/>
          <w:b/>
          <w:bCs/>
          <w:i/>
          <w:sz w:val="24"/>
          <w:szCs w:val="24"/>
          <w:lang w:val="ro-MD"/>
        </w:rPr>
        <w:t xml:space="preserve">de ÎM </w:t>
      </w:r>
      <w:r w:rsidR="003B7B77" w:rsidRPr="009E5B39">
        <w:rPr>
          <w:rFonts w:asciiTheme="majorHAnsi" w:hAnsiTheme="majorHAnsi" w:cstheme="majorHAnsi"/>
          <w:b/>
          <w:bCs/>
          <w:i/>
          <w:sz w:val="24"/>
          <w:szCs w:val="24"/>
          <w:lang w:val="ro-MD"/>
        </w:rPr>
        <w:t>„</w:t>
      </w:r>
      <w:r w:rsidRPr="009E5B39">
        <w:rPr>
          <w:rFonts w:asciiTheme="majorHAnsi" w:hAnsiTheme="majorHAnsi" w:cstheme="majorHAnsi"/>
          <w:b/>
          <w:bCs/>
          <w:i/>
          <w:sz w:val="24"/>
          <w:szCs w:val="24"/>
          <w:lang w:val="ro-MD"/>
        </w:rPr>
        <w:t>Infocom</w:t>
      </w:r>
      <w:r w:rsidR="003B7B77" w:rsidRPr="009E5B39">
        <w:rPr>
          <w:rFonts w:asciiTheme="majorHAnsi" w:hAnsiTheme="majorHAnsi" w:cstheme="majorHAnsi"/>
          <w:b/>
          <w:bCs/>
          <w:i/>
          <w:sz w:val="24"/>
          <w:szCs w:val="24"/>
          <w:lang w:val="ro-MD"/>
        </w:rPr>
        <w:t>”</w:t>
      </w:r>
      <w:r w:rsidRPr="009E5B39">
        <w:rPr>
          <w:rFonts w:asciiTheme="majorHAnsi" w:hAnsiTheme="majorHAnsi" w:cstheme="majorHAnsi"/>
          <w:b/>
          <w:bCs/>
          <w:i/>
          <w:sz w:val="24"/>
          <w:szCs w:val="24"/>
          <w:lang w:val="ro-MD"/>
        </w:rPr>
        <w:t>), precum și cheltuieli duble suportate la verificarea metrologică și schimbarea contoarelor (la apa rece se suportă de SA ACC, iar la apa men</w:t>
      </w:r>
      <w:r w:rsidR="00197403" w:rsidRPr="009E5B39">
        <w:rPr>
          <w:rFonts w:asciiTheme="majorHAnsi" w:hAnsiTheme="majorHAnsi" w:cstheme="majorHAnsi"/>
          <w:b/>
          <w:bCs/>
          <w:i/>
          <w:sz w:val="24"/>
          <w:szCs w:val="24"/>
          <w:lang w:val="ro-MD"/>
        </w:rPr>
        <w:t>a</w:t>
      </w:r>
      <w:r w:rsidRPr="009E5B39">
        <w:rPr>
          <w:rFonts w:asciiTheme="majorHAnsi" w:hAnsiTheme="majorHAnsi" w:cstheme="majorHAnsi"/>
          <w:b/>
          <w:bCs/>
          <w:i/>
          <w:sz w:val="24"/>
          <w:szCs w:val="24"/>
          <w:lang w:val="ro-MD"/>
        </w:rPr>
        <w:t>jer</w:t>
      </w:r>
      <w:r w:rsidR="00197403" w:rsidRPr="009E5B39">
        <w:rPr>
          <w:rFonts w:asciiTheme="majorHAnsi" w:hAnsiTheme="majorHAnsi" w:cstheme="majorHAnsi"/>
          <w:b/>
          <w:bCs/>
          <w:i/>
          <w:sz w:val="24"/>
          <w:szCs w:val="24"/>
          <w:lang w:val="ro-MD"/>
        </w:rPr>
        <w:t>ă</w:t>
      </w:r>
      <w:r w:rsidRPr="009E5B39">
        <w:rPr>
          <w:rFonts w:asciiTheme="majorHAnsi" w:hAnsiTheme="majorHAnsi" w:cstheme="majorHAnsi"/>
          <w:b/>
          <w:bCs/>
          <w:i/>
          <w:sz w:val="24"/>
          <w:szCs w:val="24"/>
          <w:lang w:val="ro-MD"/>
        </w:rPr>
        <w:t xml:space="preserve"> de consumator).</w:t>
      </w:r>
    </w:p>
    <w:p w14:paraId="48880237" w14:textId="4A8F574E" w:rsidR="00D91A18" w:rsidRPr="009E5B39" w:rsidRDefault="00D91A18" w:rsidP="00EF4BC3">
      <w:pPr>
        <w:pStyle w:val="20"/>
        <w:numPr>
          <w:ilvl w:val="0"/>
          <w:numId w:val="35"/>
        </w:numPr>
        <w:shd w:val="clear" w:color="auto" w:fill="auto"/>
        <w:spacing w:after="0" w:line="276" w:lineRule="auto"/>
        <w:ind w:left="0" w:firstLine="284"/>
        <w:rPr>
          <w:rFonts w:asciiTheme="majorHAnsi" w:hAnsiTheme="majorHAnsi" w:cstheme="majorHAnsi"/>
          <w:b/>
          <w:sz w:val="24"/>
          <w:szCs w:val="24"/>
          <w:lang w:val="ro-MD"/>
        </w:rPr>
      </w:pPr>
      <w:r w:rsidRPr="009E5B39">
        <w:rPr>
          <w:rFonts w:asciiTheme="majorHAnsi" w:hAnsiTheme="majorHAnsi" w:cstheme="majorHAnsi"/>
          <w:b/>
          <w:sz w:val="24"/>
          <w:szCs w:val="24"/>
          <w:lang w:val="ro-MD"/>
        </w:rPr>
        <w:t>Efectuarea inventarierii fragmentar</w:t>
      </w:r>
      <w:r w:rsidR="00950022" w:rsidRPr="009E5B39">
        <w:rPr>
          <w:rFonts w:asciiTheme="majorHAnsi" w:hAnsiTheme="majorHAnsi" w:cstheme="majorHAnsi"/>
          <w:b/>
          <w:sz w:val="24"/>
          <w:szCs w:val="24"/>
          <w:lang w:val="ro-MD"/>
        </w:rPr>
        <w:t>e</w:t>
      </w:r>
      <w:r w:rsidRPr="009E5B39">
        <w:rPr>
          <w:rFonts w:asciiTheme="majorHAnsi" w:hAnsiTheme="majorHAnsi" w:cstheme="majorHAnsi"/>
          <w:b/>
          <w:sz w:val="24"/>
          <w:szCs w:val="24"/>
          <w:lang w:val="ro-MD"/>
        </w:rPr>
        <w:t xml:space="preserve"> a patrimoniului gestionat de către SA ACC a condiționat neînregistrarea integrală a bunurilor aferente infrastructurii tehnico-edilitare de apă și canalizare.</w:t>
      </w:r>
    </w:p>
    <w:p w14:paraId="6F71A0B7" w14:textId="78151D9B" w:rsidR="00D91A18" w:rsidRPr="009E5B39" w:rsidRDefault="00D91A18" w:rsidP="00EF4BC3">
      <w:pPr>
        <w:pStyle w:val="20"/>
        <w:shd w:val="clear" w:color="auto" w:fill="auto"/>
        <w:spacing w:after="0" w:line="276" w:lineRule="auto"/>
        <w:ind w:firstLine="709"/>
        <w:rPr>
          <w:rFonts w:asciiTheme="majorHAnsi" w:hAnsiTheme="majorHAnsi" w:cstheme="majorHAnsi"/>
          <w:bCs/>
          <w:sz w:val="24"/>
          <w:szCs w:val="24"/>
          <w:lang w:val="ro-MD"/>
        </w:rPr>
      </w:pPr>
      <w:r w:rsidRPr="009E5B39">
        <w:rPr>
          <w:rFonts w:asciiTheme="majorHAnsi" w:hAnsiTheme="majorHAnsi" w:cstheme="majorHAnsi"/>
          <w:sz w:val="24"/>
          <w:szCs w:val="24"/>
          <w:lang w:val="ro-MD"/>
        </w:rPr>
        <w:t xml:space="preserve">Conform rezultatelor inventarierii, SA Apă Canal Chișinău utilizează circa </w:t>
      </w:r>
      <w:r w:rsidRPr="009E5B39">
        <w:rPr>
          <w:rFonts w:asciiTheme="majorHAnsi" w:hAnsiTheme="majorHAnsi" w:cstheme="majorHAnsi"/>
          <w:b/>
          <w:sz w:val="24"/>
          <w:szCs w:val="24"/>
          <w:lang w:val="ro-MD"/>
        </w:rPr>
        <w:t>6095 km</w:t>
      </w:r>
      <w:r w:rsidRPr="009E5B39">
        <w:rPr>
          <w:rFonts w:asciiTheme="majorHAnsi" w:hAnsiTheme="majorHAnsi" w:cstheme="majorHAnsi"/>
          <w:sz w:val="24"/>
          <w:szCs w:val="24"/>
          <w:lang w:val="ro-MD"/>
        </w:rPr>
        <w:t xml:space="preserve"> de rețele de ap</w:t>
      </w:r>
      <w:r w:rsidR="00082708" w:rsidRPr="009E5B39">
        <w:rPr>
          <w:rFonts w:asciiTheme="majorHAnsi" w:hAnsiTheme="majorHAnsi" w:cstheme="majorHAnsi"/>
          <w:sz w:val="24"/>
          <w:szCs w:val="24"/>
          <w:lang w:val="ro-MD"/>
        </w:rPr>
        <w:t>ă și de canalizare</w:t>
      </w:r>
      <w:r w:rsidR="009552FB" w:rsidRPr="009E5B39">
        <w:rPr>
          <w:rFonts w:asciiTheme="majorHAnsi" w:hAnsiTheme="majorHAnsi" w:cstheme="majorHAnsi"/>
          <w:sz w:val="24"/>
          <w:szCs w:val="24"/>
          <w:lang w:val="ro-MD"/>
        </w:rPr>
        <w:t>,</w:t>
      </w:r>
      <w:r w:rsidR="00082708"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inclusiv rețele situate pe teren public fără stăpân</w:t>
      </w:r>
      <w:r w:rsidR="00FA319B" w:rsidRPr="009E5B39">
        <w:rPr>
          <w:rFonts w:asciiTheme="majorHAnsi" w:hAnsiTheme="majorHAnsi" w:cstheme="majorHAnsi"/>
          <w:sz w:val="24"/>
          <w:szCs w:val="24"/>
          <w:lang w:val="ro-MD"/>
        </w:rPr>
        <w:t>, din care</w:t>
      </w:r>
      <w:r w:rsidRPr="009E5B39">
        <w:rPr>
          <w:rFonts w:asciiTheme="majorHAnsi" w:hAnsiTheme="majorHAnsi" w:cstheme="majorHAnsi"/>
          <w:sz w:val="24"/>
          <w:szCs w:val="24"/>
          <w:lang w:val="ro-MD"/>
        </w:rPr>
        <w:t xml:space="preserve"> </w:t>
      </w:r>
      <w:r w:rsidRPr="009E5B39">
        <w:rPr>
          <w:rFonts w:asciiTheme="majorHAnsi" w:hAnsiTheme="majorHAnsi" w:cstheme="majorHAnsi"/>
          <w:b/>
          <w:sz w:val="24"/>
          <w:szCs w:val="24"/>
          <w:lang w:val="ro-MD"/>
        </w:rPr>
        <w:t>3054 km</w:t>
      </w:r>
      <w:r w:rsidRPr="009E5B39">
        <w:rPr>
          <w:rFonts w:asciiTheme="majorHAnsi" w:hAnsiTheme="majorHAnsi" w:cstheme="majorHAnsi"/>
          <w:sz w:val="24"/>
          <w:szCs w:val="24"/>
          <w:lang w:val="ro-MD"/>
        </w:rPr>
        <w:t xml:space="preserve"> (50,1 %)</w:t>
      </w:r>
      <w:r w:rsidR="00FA319B" w:rsidRPr="009E5B39">
        <w:rPr>
          <w:rStyle w:val="FootnoteReference"/>
          <w:rFonts w:asciiTheme="majorHAnsi" w:hAnsiTheme="majorHAnsi" w:cstheme="majorHAnsi"/>
          <w:sz w:val="24"/>
          <w:szCs w:val="24"/>
          <w:lang w:val="ro-MD"/>
        </w:rPr>
        <w:footnoteReference w:id="226"/>
      </w:r>
      <w:r w:rsidRPr="009E5B39">
        <w:rPr>
          <w:rFonts w:asciiTheme="majorHAnsi" w:hAnsiTheme="majorHAnsi" w:cstheme="majorHAnsi"/>
          <w:sz w:val="24"/>
          <w:szCs w:val="24"/>
          <w:lang w:val="ro-MD"/>
        </w:rPr>
        <w:t xml:space="preserve"> sunt înregistrate în evidența contabilă a întreprinderii, având statut și descrierea caracteristicilor tehnice, </w:t>
      </w:r>
      <w:r w:rsidR="00FA319B" w:rsidRPr="009E5B39">
        <w:rPr>
          <w:rFonts w:asciiTheme="majorHAnsi" w:hAnsiTheme="majorHAnsi" w:cstheme="majorHAnsi"/>
          <w:sz w:val="24"/>
          <w:szCs w:val="24"/>
          <w:lang w:val="ro-MD"/>
        </w:rPr>
        <w:t>iar</w:t>
      </w:r>
      <w:r w:rsidRPr="009E5B39">
        <w:rPr>
          <w:rFonts w:asciiTheme="majorHAnsi" w:hAnsiTheme="majorHAnsi" w:cstheme="majorHAnsi"/>
          <w:sz w:val="24"/>
          <w:szCs w:val="24"/>
          <w:lang w:val="ro-MD"/>
        </w:rPr>
        <w:t xml:space="preserve"> </w:t>
      </w:r>
      <w:r w:rsidRPr="009E5B39">
        <w:rPr>
          <w:rFonts w:asciiTheme="majorHAnsi" w:hAnsiTheme="majorHAnsi" w:cstheme="majorHAnsi"/>
          <w:b/>
          <w:sz w:val="24"/>
          <w:szCs w:val="24"/>
          <w:lang w:val="ro-MD"/>
        </w:rPr>
        <w:t>3041 km</w:t>
      </w:r>
      <w:r w:rsidRPr="009E5B39">
        <w:rPr>
          <w:rFonts w:asciiTheme="majorHAnsi" w:hAnsiTheme="majorHAnsi" w:cstheme="majorHAnsi"/>
          <w:sz w:val="24"/>
          <w:szCs w:val="24"/>
          <w:lang w:val="ro-MD"/>
        </w:rPr>
        <w:t xml:space="preserve"> (49,9 %) sunt exploatate și întreținute de către operator fără a fi stabilit proprietarul acestora.</w:t>
      </w:r>
      <w:r w:rsidR="009552FB" w:rsidRPr="009E5B39">
        <w:rPr>
          <w:rFonts w:asciiTheme="majorHAnsi" w:hAnsiTheme="majorHAnsi" w:cstheme="majorHAnsi"/>
          <w:sz w:val="24"/>
          <w:szCs w:val="24"/>
          <w:lang w:val="ro-MD"/>
        </w:rPr>
        <w:t xml:space="preserve"> </w:t>
      </w:r>
      <w:r w:rsidR="00FA319B" w:rsidRPr="009E5B39">
        <w:rPr>
          <w:rFonts w:asciiTheme="majorHAnsi" w:hAnsiTheme="majorHAnsi" w:cstheme="majorHAnsi"/>
          <w:bCs/>
          <w:sz w:val="24"/>
          <w:szCs w:val="24"/>
          <w:lang w:val="ro-MD"/>
        </w:rPr>
        <w:t>Cauza de bază a</w:t>
      </w:r>
      <w:r w:rsidRPr="009E5B39">
        <w:rPr>
          <w:rFonts w:asciiTheme="majorHAnsi" w:hAnsiTheme="majorHAnsi" w:cstheme="majorHAnsi"/>
          <w:bCs/>
          <w:sz w:val="24"/>
          <w:szCs w:val="24"/>
          <w:lang w:val="ro-MD"/>
        </w:rPr>
        <w:t xml:space="preserve"> necontabiliz</w:t>
      </w:r>
      <w:r w:rsidR="00FA319B" w:rsidRPr="009E5B39">
        <w:rPr>
          <w:rFonts w:asciiTheme="majorHAnsi" w:hAnsiTheme="majorHAnsi" w:cstheme="majorHAnsi"/>
          <w:bCs/>
          <w:sz w:val="24"/>
          <w:szCs w:val="24"/>
          <w:lang w:val="ro-MD"/>
        </w:rPr>
        <w:t>ării</w:t>
      </w:r>
      <w:r w:rsidRPr="009E5B39">
        <w:rPr>
          <w:rFonts w:asciiTheme="majorHAnsi" w:hAnsiTheme="majorHAnsi" w:cstheme="majorHAnsi"/>
          <w:bCs/>
          <w:sz w:val="24"/>
          <w:szCs w:val="24"/>
          <w:lang w:val="ro-MD"/>
        </w:rPr>
        <w:t xml:space="preserve"> tuturor bunurilor gestionate de către SA ACC este </w:t>
      </w:r>
      <w:r w:rsidR="00FA319B" w:rsidRPr="009E5B39">
        <w:rPr>
          <w:rFonts w:asciiTheme="majorHAnsi" w:hAnsiTheme="majorHAnsi" w:cstheme="majorHAnsi"/>
          <w:bCs/>
          <w:sz w:val="24"/>
          <w:szCs w:val="24"/>
          <w:lang w:val="ro-MD"/>
        </w:rPr>
        <w:t>ne</w:t>
      </w:r>
      <w:r w:rsidRPr="009E5B39">
        <w:rPr>
          <w:rFonts w:asciiTheme="majorHAnsi" w:hAnsiTheme="majorHAnsi" w:cstheme="majorHAnsi"/>
          <w:bCs/>
          <w:sz w:val="24"/>
          <w:szCs w:val="24"/>
          <w:lang w:val="ro-MD"/>
        </w:rPr>
        <w:t xml:space="preserve">inventarierea integrală a bunurilor imobile și mobile aferente sistemului de alimentare cu apă și de canalizare, </w:t>
      </w:r>
      <w:r w:rsidR="00950022" w:rsidRPr="009E5B39">
        <w:rPr>
          <w:rFonts w:asciiTheme="majorHAnsi" w:hAnsiTheme="majorHAnsi" w:cstheme="majorHAnsi"/>
          <w:bCs/>
          <w:sz w:val="24"/>
          <w:szCs w:val="24"/>
          <w:lang w:val="ro-MD"/>
        </w:rPr>
        <w:t>inventarierea</w:t>
      </w:r>
      <w:r w:rsidR="00FA319B" w:rsidRPr="009E5B39">
        <w:rPr>
          <w:rFonts w:asciiTheme="majorHAnsi" w:hAnsiTheme="majorHAnsi" w:cstheme="majorHAnsi"/>
          <w:bCs/>
          <w:sz w:val="24"/>
          <w:szCs w:val="24"/>
          <w:lang w:val="ro-MD"/>
        </w:rPr>
        <w:t xml:space="preserve"> </w:t>
      </w:r>
      <w:r w:rsidRPr="009E5B39">
        <w:rPr>
          <w:rFonts w:asciiTheme="majorHAnsi" w:hAnsiTheme="majorHAnsi" w:cstheme="majorHAnsi"/>
          <w:bCs/>
          <w:sz w:val="24"/>
          <w:szCs w:val="24"/>
          <w:lang w:val="ro-MD"/>
        </w:rPr>
        <w:t xml:space="preserve">fiind efectuată </w:t>
      </w:r>
      <w:r w:rsidR="00FA319B" w:rsidRPr="009E5B39">
        <w:rPr>
          <w:rFonts w:asciiTheme="majorHAnsi" w:hAnsiTheme="majorHAnsi" w:cstheme="majorHAnsi"/>
          <w:bCs/>
          <w:sz w:val="24"/>
          <w:szCs w:val="24"/>
          <w:lang w:val="ro-MD"/>
        </w:rPr>
        <w:t>doar</w:t>
      </w:r>
      <w:r w:rsidRPr="009E5B39">
        <w:rPr>
          <w:rFonts w:asciiTheme="majorHAnsi" w:hAnsiTheme="majorHAnsi" w:cstheme="majorHAnsi"/>
          <w:bCs/>
          <w:sz w:val="24"/>
          <w:szCs w:val="24"/>
          <w:lang w:val="ro-MD"/>
        </w:rPr>
        <w:t xml:space="preserve"> fragmentar</w:t>
      </w:r>
      <w:r w:rsidR="00FA319B"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w:t>
      </w:r>
    </w:p>
    <w:p w14:paraId="752F79F3" w14:textId="26A058DF" w:rsidR="00D91A18" w:rsidRPr="009E5B39" w:rsidRDefault="00D91A18" w:rsidP="00EF4BC3">
      <w:pPr>
        <w:pStyle w:val="CommentText"/>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În anul 2021</w:t>
      </w:r>
      <w:r w:rsidR="00950022"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SA Apă Canal Chișinău a efectuat inventarierea bunurilor imobile și mobile a</w:t>
      </w:r>
      <w:r w:rsidR="00950022" w:rsidRPr="009E5B39">
        <w:rPr>
          <w:rFonts w:asciiTheme="majorHAnsi" w:hAnsiTheme="majorHAnsi" w:cstheme="majorHAnsi"/>
          <w:sz w:val="24"/>
          <w:szCs w:val="24"/>
          <w:lang w:val="ro-MD"/>
        </w:rPr>
        <w:t>le</w:t>
      </w:r>
      <w:r w:rsidRPr="009E5B39">
        <w:rPr>
          <w:rFonts w:asciiTheme="majorHAnsi" w:hAnsiTheme="majorHAnsi" w:cstheme="majorHAnsi"/>
          <w:sz w:val="24"/>
          <w:szCs w:val="24"/>
          <w:lang w:val="ro-MD"/>
        </w:rPr>
        <w:t xml:space="preserve"> infrastructurii tehnico-edilitare aferente serviciului public de alimentare cu apă și de canalizare</w:t>
      </w:r>
      <w:r w:rsidR="009E77F3" w:rsidRPr="009E5B39">
        <w:rPr>
          <w:rFonts w:asciiTheme="majorHAnsi" w:hAnsiTheme="majorHAnsi" w:cstheme="majorHAnsi"/>
          <w:sz w:val="24"/>
          <w:szCs w:val="24"/>
          <w:lang w:val="ro-MD"/>
        </w:rPr>
        <w:t xml:space="preserve"> existente în evidența contabilă a întreprinderii</w:t>
      </w:r>
      <w:r w:rsidR="00E86BF9" w:rsidRPr="009E5B39">
        <w:rPr>
          <w:rFonts w:asciiTheme="majorHAnsi" w:hAnsiTheme="majorHAnsi" w:cstheme="majorHAnsi"/>
          <w:sz w:val="24"/>
          <w:szCs w:val="24"/>
          <w:lang w:val="ro-MD"/>
        </w:rPr>
        <w:t xml:space="preserve"> (3054 km)</w:t>
      </w:r>
      <w:r w:rsidRPr="009E5B39">
        <w:rPr>
          <w:rFonts w:asciiTheme="majorHAnsi" w:hAnsiTheme="majorHAnsi" w:cstheme="majorHAnsi"/>
          <w:sz w:val="24"/>
          <w:szCs w:val="24"/>
          <w:lang w:val="ro-MD"/>
        </w:rPr>
        <w:t>. Urmare a acesteia</w:t>
      </w:r>
      <w:r w:rsidR="00C7446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bunurile din domeniul public și </w:t>
      </w:r>
      <w:r w:rsidR="00C7446E" w:rsidRPr="009E5B39">
        <w:rPr>
          <w:rFonts w:asciiTheme="majorHAnsi" w:hAnsiTheme="majorHAnsi" w:cstheme="majorHAnsi"/>
          <w:sz w:val="24"/>
          <w:szCs w:val="24"/>
          <w:lang w:val="ro-MD"/>
        </w:rPr>
        <w:t xml:space="preserve">cel </w:t>
      </w:r>
      <w:r w:rsidRPr="009E5B39">
        <w:rPr>
          <w:rFonts w:asciiTheme="majorHAnsi" w:hAnsiTheme="majorHAnsi" w:cstheme="majorHAnsi"/>
          <w:sz w:val="24"/>
          <w:szCs w:val="24"/>
          <w:lang w:val="ro-MD"/>
        </w:rPr>
        <w:t xml:space="preserve">privat ale municipiului (inclusiv ale UAT suburbane), înregistrate în evidența contabilă la SA ACC, cu valoarea de bilanț de </w:t>
      </w:r>
      <w:r w:rsidRPr="009E5B39">
        <w:rPr>
          <w:rFonts w:asciiTheme="majorHAnsi" w:hAnsiTheme="majorHAnsi" w:cstheme="majorHAnsi"/>
          <w:b/>
          <w:sz w:val="24"/>
          <w:szCs w:val="24"/>
          <w:lang w:val="ro-MD"/>
        </w:rPr>
        <w:t>1</w:t>
      </w:r>
      <w:r w:rsidR="009E77F3"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454</w:t>
      </w:r>
      <w:r w:rsidR="009E77F3" w:rsidRPr="009E5B39">
        <w:rPr>
          <w:rFonts w:asciiTheme="majorHAnsi" w:hAnsiTheme="majorHAnsi" w:cstheme="majorHAnsi"/>
          <w:b/>
          <w:sz w:val="24"/>
          <w:szCs w:val="24"/>
          <w:lang w:val="ro-MD"/>
        </w:rPr>
        <w:t xml:space="preserve">,11 </w:t>
      </w:r>
      <w:r w:rsidRPr="009E5B39">
        <w:rPr>
          <w:rFonts w:asciiTheme="majorHAnsi" w:hAnsiTheme="majorHAnsi" w:cstheme="majorHAnsi"/>
          <w:b/>
          <w:sz w:val="24"/>
          <w:szCs w:val="24"/>
          <w:lang w:val="ro-MD"/>
        </w:rPr>
        <w:t>mi</w:t>
      </w:r>
      <w:r w:rsidR="009E77F3" w:rsidRPr="009E5B39">
        <w:rPr>
          <w:rFonts w:asciiTheme="majorHAnsi" w:hAnsiTheme="majorHAnsi" w:cstheme="majorHAnsi"/>
          <w:b/>
          <w:sz w:val="24"/>
          <w:szCs w:val="24"/>
          <w:lang w:val="ro-MD"/>
        </w:rPr>
        <w:t>l.</w:t>
      </w:r>
      <w:r w:rsidRPr="009E5B39">
        <w:rPr>
          <w:rFonts w:asciiTheme="majorHAnsi" w:hAnsiTheme="majorHAnsi" w:cstheme="majorHAnsi"/>
          <w:b/>
          <w:sz w:val="24"/>
          <w:szCs w:val="24"/>
          <w:lang w:val="ro-MD"/>
        </w:rPr>
        <w:t xml:space="preserve"> lei</w:t>
      </w:r>
      <w:r w:rsidR="009E77F3" w:rsidRPr="009E5B39">
        <w:rPr>
          <w:rStyle w:val="FootnoteReference"/>
          <w:rFonts w:asciiTheme="majorHAnsi" w:hAnsiTheme="majorHAnsi" w:cstheme="majorHAnsi"/>
          <w:b/>
          <w:sz w:val="24"/>
          <w:szCs w:val="24"/>
          <w:lang w:val="ro-MD"/>
        </w:rPr>
        <w:footnoteReference w:id="227"/>
      </w:r>
      <w:r w:rsidR="00C7446E"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au fost transmise</w:t>
      </w:r>
      <w:r w:rsidR="00115FF4" w:rsidRPr="009E5B39">
        <w:rPr>
          <w:rFonts w:asciiTheme="majorHAnsi" w:hAnsiTheme="majorHAnsi" w:cstheme="majorHAnsi"/>
          <w:sz w:val="24"/>
          <w:szCs w:val="24"/>
          <w:lang w:val="ro-MD"/>
        </w:rPr>
        <w:t xml:space="preserve"> pe 03.05.2022</w:t>
      </w:r>
      <w:r w:rsidR="00115FF4" w:rsidRPr="009E5B39">
        <w:rPr>
          <w:rStyle w:val="FootnoteReference"/>
          <w:rFonts w:asciiTheme="majorHAnsi" w:hAnsiTheme="majorHAnsi" w:cstheme="majorHAnsi"/>
          <w:sz w:val="24"/>
          <w:szCs w:val="24"/>
          <w:lang w:val="ro-MD"/>
        </w:rPr>
        <w:footnoteReference w:id="228"/>
      </w:r>
      <w:r w:rsidR="00E86BF9"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cu titlu gratuit din proprietatea SA </w:t>
      </w:r>
      <w:r w:rsidR="00E86BF9" w:rsidRPr="009E5B39">
        <w:rPr>
          <w:rFonts w:asciiTheme="majorHAnsi" w:hAnsiTheme="majorHAnsi" w:cstheme="majorHAnsi"/>
          <w:sz w:val="24"/>
          <w:szCs w:val="24"/>
          <w:lang w:val="ro-MD"/>
        </w:rPr>
        <w:t>ACC</w:t>
      </w:r>
      <w:r w:rsidRPr="009E5B39">
        <w:rPr>
          <w:rFonts w:asciiTheme="majorHAnsi" w:hAnsiTheme="majorHAnsi" w:cstheme="majorHAnsi"/>
          <w:sz w:val="24"/>
          <w:szCs w:val="24"/>
          <w:lang w:val="ro-MD"/>
        </w:rPr>
        <w:t xml:space="preserve"> în proprietatea </w:t>
      </w:r>
      <w:r w:rsidR="00E86BF9" w:rsidRPr="009E5B39">
        <w:rPr>
          <w:rFonts w:asciiTheme="majorHAnsi" w:hAnsiTheme="majorHAnsi" w:cstheme="majorHAnsi"/>
          <w:sz w:val="24"/>
          <w:szCs w:val="24"/>
          <w:lang w:val="ro-MD"/>
        </w:rPr>
        <w:t xml:space="preserve">mun. </w:t>
      </w:r>
      <w:r w:rsidRPr="009E5B39">
        <w:rPr>
          <w:rFonts w:asciiTheme="majorHAnsi" w:hAnsiTheme="majorHAnsi" w:cstheme="majorHAnsi"/>
          <w:sz w:val="24"/>
          <w:szCs w:val="24"/>
          <w:lang w:val="ro-MD"/>
        </w:rPr>
        <w:t xml:space="preserve">Chișinău. </w:t>
      </w:r>
      <w:r w:rsidR="008E2980" w:rsidRPr="009E5B39">
        <w:rPr>
          <w:rFonts w:asciiTheme="majorHAnsi" w:hAnsiTheme="majorHAnsi" w:cstheme="majorHAnsi"/>
          <w:sz w:val="24"/>
          <w:szCs w:val="24"/>
          <w:lang w:val="ro-MD"/>
        </w:rPr>
        <w:t>Concomitent, în baza Deciziei nr. 3/12 din 27.04.2022</w:t>
      </w:r>
      <w:r w:rsidR="00A86207" w:rsidRPr="009E5B39">
        <w:rPr>
          <w:rStyle w:val="FootnoteReference"/>
          <w:rFonts w:asciiTheme="majorHAnsi" w:hAnsiTheme="majorHAnsi" w:cstheme="majorHAnsi"/>
          <w:sz w:val="24"/>
          <w:szCs w:val="24"/>
          <w:lang w:val="ro-MD"/>
        </w:rPr>
        <w:footnoteReference w:id="229"/>
      </w:r>
      <w:r w:rsidR="008E2980" w:rsidRPr="009E5B39">
        <w:rPr>
          <w:rFonts w:asciiTheme="majorHAnsi" w:hAnsiTheme="majorHAnsi" w:cstheme="majorHAnsi"/>
          <w:sz w:val="24"/>
          <w:szCs w:val="24"/>
          <w:lang w:val="ro-MD"/>
        </w:rPr>
        <w:t>, pe 23.05.2022</w:t>
      </w:r>
      <w:r w:rsidR="00C7446E" w:rsidRPr="009E5B39">
        <w:rPr>
          <w:rFonts w:asciiTheme="majorHAnsi" w:hAnsiTheme="majorHAnsi" w:cstheme="majorHAnsi"/>
          <w:sz w:val="24"/>
          <w:szCs w:val="24"/>
          <w:lang w:val="ro-MD"/>
        </w:rPr>
        <w:t xml:space="preserve">, </w:t>
      </w:r>
      <w:r w:rsidR="002F024D" w:rsidRPr="009E5B39">
        <w:rPr>
          <w:rFonts w:asciiTheme="majorHAnsi" w:hAnsiTheme="majorHAnsi" w:cstheme="majorHAnsi"/>
          <w:sz w:val="24"/>
          <w:szCs w:val="24"/>
          <w:lang w:val="ro-MD"/>
        </w:rPr>
        <w:t xml:space="preserve">acestea </w:t>
      </w:r>
      <w:r w:rsidR="008E2980" w:rsidRPr="009E5B39">
        <w:rPr>
          <w:rFonts w:asciiTheme="majorHAnsi" w:hAnsiTheme="majorHAnsi" w:cstheme="majorHAnsi"/>
          <w:sz w:val="24"/>
          <w:szCs w:val="24"/>
          <w:lang w:val="ro-MD"/>
        </w:rPr>
        <w:t>au fost</w:t>
      </w:r>
      <w:r w:rsidR="002F024D" w:rsidRPr="009E5B39">
        <w:rPr>
          <w:rFonts w:asciiTheme="majorHAnsi" w:hAnsiTheme="majorHAnsi" w:cstheme="majorHAnsi"/>
          <w:sz w:val="24"/>
          <w:szCs w:val="24"/>
          <w:lang w:val="ro-MD"/>
        </w:rPr>
        <w:t xml:space="preserve"> transmise</w:t>
      </w:r>
      <w:r w:rsidR="002F024D" w:rsidRPr="009E5B39">
        <w:rPr>
          <w:rStyle w:val="FootnoteReference"/>
          <w:rFonts w:asciiTheme="majorHAnsi" w:hAnsiTheme="majorHAnsi" w:cstheme="majorHAnsi"/>
          <w:sz w:val="24"/>
          <w:szCs w:val="24"/>
          <w:lang w:val="ro-MD"/>
        </w:rPr>
        <w:footnoteReference w:id="230"/>
      </w:r>
      <w:r w:rsidR="002F024D" w:rsidRPr="009E5B39">
        <w:rPr>
          <w:rFonts w:asciiTheme="majorHAnsi" w:hAnsiTheme="majorHAnsi" w:cstheme="majorHAnsi"/>
          <w:sz w:val="24"/>
          <w:szCs w:val="24"/>
          <w:lang w:val="ro-MD"/>
        </w:rPr>
        <w:t xml:space="preserve"> în folosința SA ACC.</w:t>
      </w:r>
      <w:r w:rsidR="008E2980" w:rsidRPr="009E5B39">
        <w:rPr>
          <w:rFonts w:asciiTheme="majorHAnsi" w:hAnsiTheme="majorHAnsi" w:cstheme="majorHAnsi"/>
          <w:sz w:val="24"/>
          <w:szCs w:val="24"/>
          <w:lang w:val="ro-MD"/>
        </w:rPr>
        <w:t xml:space="preserve"> </w:t>
      </w:r>
      <w:r w:rsidRPr="009E5B39">
        <w:rPr>
          <w:rFonts w:asciiTheme="majorHAnsi" w:hAnsiTheme="majorHAnsi" w:cstheme="majorHAnsi"/>
          <w:i/>
          <w:sz w:val="24"/>
          <w:szCs w:val="24"/>
          <w:lang w:val="ro-MD"/>
        </w:rPr>
        <w:t xml:space="preserve">Urmare a efectuării delimitării bunurilor imobile și mobile aferente infrastructurii tehnico-edilitare a serviciului public de apă și de canalizare, APL </w:t>
      </w:r>
      <w:r w:rsidR="00A86207" w:rsidRPr="009E5B39">
        <w:rPr>
          <w:rFonts w:asciiTheme="majorHAnsi" w:hAnsiTheme="majorHAnsi" w:cstheme="majorHAnsi"/>
          <w:i/>
          <w:sz w:val="24"/>
          <w:szCs w:val="24"/>
          <w:lang w:val="ro-MD"/>
        </w:rPr>
        <w:t xml:space="preserve">a mun. Chișinău </w:t>
      </w:r>
      <w:r w:rsidRPr="009E5B39">
        <w:rPr>
          <w:rFonts w:asciiTheme="majorHAnsi" w:hAnsiTheme="majorHAnsi" w:cstheme="majorHAnsi"/>
          <w:i/>
          <w:sz w:val="24"/>
          <w:szCs w:val="24"/>
          <w:lang w:val="ro-MD"/>
        </w:rPr>
        <w:t>urmează să decidă modalitatea de transmitere în gestiune de către acestea a serviciului de alimentare cu apă și de canalizare pe teritoriul UAT.</w:t>
      </w:r>
      <w:r w:rsidR="009E77F3" w:rsidRPr="009E5B39">
        <w:rPr>
          <w:rFonts w:asciiTheme="majorHAnsi" w:hAnsiTheme="majorHAnsi" w:cstheme="majorHAnsi"/>
          <w:iCs/>
          <w:sz w:val="24"/>
          <w:szCs w:val="24"/>
          <w:lang w:val="ro-MD"/>
        </w:rPr>
        <w:t xml:space="preserve"> </w:t>
      </w:r>
    </w:p>
    <w:p w14:paraId="396647A7" w14:textId="2F6B84AA" w:rsidR="00D91A18" w:rsidRPr="009E5B39" w:rsidRDefault="00D91A18" w:rsidP="00EF4BC3">
      <w:pPr>
        <w:pStyle w:val="CommentText"/>
        <w:numPr>
          <w:ilvl w:val="0"/>
          <w:numId w:val="35"/>
        </w:numPr>
        <w:spacing w:after="0" w:line="276" w:lineRule="auto"/>
        <w:ind w:left="0" w:firstLine="284"/>
        <w:jc w:val="both"/>
        <w:rPr>
          <w:rFonts w:asciiTheme="majorHAnsi" w:hAnsiTheme="majorHAnsi" w:cstheme="majorHAnsi"/>
          <w:sz w:val="24"/>
          <w:szCs w:val="24"/>
          <w:lang w:val="ro-MD"/>
        </w:rPr>
      </w:pPr>
      <w:r w:rsidRPr="009E5B39">
        <w:rPr>
          <w:rFonts w:asciiTheme="majorHAnsi" w:eastAsia="Times New Roman" w:hAnsiTheme="majorHAnsi" w:cstheme="majorHAnsi"/>
          <w:b/>
          <w:sz w:val="24"/>
          <w:szCs w:val="24"/>
          <w:lang w:val="ro-MD"/>
        </w:rPr>
        <w:t>SA A</w:t>
      </w:r>
      <w:r w:rsidR="00C7446E" w:rsidRPr="009E5B39">
        <w:rPr>
          <w:rFonts w:asciiTheme="majorHAnsi" w:eastAsia="Times New Roman" w:hAnsiTheme="majorHAnsi" w:cstheme="majorHAnsi"/>
          <w:b/>
          <w:sz w:val="24"/>
          <w:szCs w:val="24"/>
          <w:lang w:val="ro-MD"/>
        </w:rPr>
        <w:t xml:space="preserve">pă </w:t>
      </w:r>
      <w:r w:rsidRPr="009E5B39">
        <w:rPr>
          <w:rFonts w:asciiTheme="majorHAnsi" w:eastAsia="Times New Roman" w:hAnsiTheme="majorHAnsi" w:cstheme="majorHAnsi"/>
          <w:b/>
          <w:sz w:val="24"/>
          <w:szCs w:val="24"/>
          <w:lang w:val="ro-MD"/>
        </w:rPr>
        <w:t>C</w:t>
      </w:r>
      <w:r w:rsidR="00C7446E" w:rsidRPr="009E5B39">
        <w:rPr>
          <w:rFonts w:asciiTheme="majorHAnsi" w:eastAsia="Times New Roman" w:hAnsiTheme="majorHAnsi" w:cstheme="majorHAnsi"/>
          <w:b/>
          <w:sz w:val="24"/>
          <w:szCs w:val="24"/>
          <w:lang w:val="ro-MD"/>
        </w:rPr>
        <w:t>anal</w:t>
      </w:r>
      <w:r w:rsidRPr="009E5B39">
        <w:rPr>
          <w:rFonts w:asciiTheme="majorHAnsi" w:eastAsia="Times New Roman" w:hAnsiTheme="majorHAnsi" w:cstheme="majorHAnsi"/>
          <w:b/>
          <w:sz w:val="24"/>
          <w:szCs w:val="24"/>
          <w:lang w:val="ro-MD"/>
        </w:rPr>
        <w:t xml:space="preserve"> Chișinău</w:t>
      </w:r>
      <w:r w:rsidRPr="009E5B39">
        <w:rPr>
          <w:rFonts w:asciiTheme="majorHAnsi" w:eastAsia="Times New Roman" w:hAnsiTheme="majorHAnsi" w:cstheme="majorHAnsi"/>
          <w:b/>
          <w:i/>
          <w:sz w:val="24"/>
          <w:szCs w:val="24"/>
          <w:lang w:val="ro-MD"/>
        </w:rPr>
        <w:t xml:space="preserve"> </w:t>
      </w:r>
      <w:r w:rsidRPr="009E5B39">
        <w:rPr>
          <w:rFonts w:asciiTheme="majorHAnsi" w:hAnsiTheme="majorHAnsi" w:cstheme="majorHAnsi"/>
          <w:b/>
          <w:sz w:val="24"/>
          <w:szCs w:val="24"/>
          <w:lang w:val="ro-MD"/>
        </w:rPr>
        <w:t xml:space="preserve">nu dispune de informație veridică despre numărul de consumatori ai serviciilor de aprovizionare cu apă și de canalizare atât casnici, cât și noncasnici, operatorul nu actualizează datele privind numărul consumatorilor (prin includerea sau radierea din evidență a contractelor care sunt încheiate sau reziliate), ca urmare, unii consumatori </w:t>
      </w:r>
      <w:r w:rsidR="002F024D" w:rsidRPr="009E5B39">
        <w:rPr>
          <w:rFonts w:asciiTheme="majorHAnsi" w:hAnsiTheme="majorHAnsi" w:cstheme="majorHAnsi"/>
          <w:b/>
          <w:sz w:val="24"/>
          <w:szCs w:val="24"/>
          <w:lang w:val="ro-MD"/>
        </w:rPr>
        <w:t xml:space="preserve">se </w:t>
      </w:r>
      <w:r w:rsidRPr="009E5B39">
        <w:rPr>
          <w:rFonts w:asciiTheme="majorHAnsi" w:hAnsiTheme="majorHAnsi" w:cstheme="majorHAnsi"/>
          <w:b/>
          <w:sz w:val="24"/>
          <w:szCs w:val="24"/>
          <w:lang w:val="ro-MD"/>
        </w:rPr>
        <w:t>eschiv</w:t>
      </w:r>
      <w:r w:rsidR="002F024D" w:rsidRPr="009E5B39">
        <w:rPr>
          <w:rFonts w:asciiTheme="majorHAnsi" w:hAnsiTheme="majorHAnsi" w:cstheme="majorHAnsi"/>
          <w:b/>
          <w:sz w:val="24"/>
          <w:szCs w:val="24"/>
          <w:lang w:val="ro-MD"/>
        </w:rPr>
        <w:t xml:space="preserve">ează </w:t>
      </w:r>
      <w:r w:rsidRPr="009E5B39">
        <w:rPr>
          <w:rFonts w:asciiTheme="majorHAnsi" w:hAnsiTheme="majorHAnsi" w:cstheme="majorHAnsi"/>
          <w:b/>
          <w:sz w:val="24"/>
          <w:szCs w:val="24"/>
          <w:lang w:val="ro-MD"/>
        </w:rPr>
        <w:t>de la achitarea serviciilor prestate de către operator.</w:t>
      </w:r>
      <w:r w:rsidRPr="009E5B39">
        <w:rPr>
          <w:rFonts w:asciiTheme="majorHAnsi" w:hAnsiTheme="majorHAnsi" w:cstheme="majorHAnsi"/>
          <w:b/>
          <w:i/>
          <w:sz w:val="24"/>
          <w:szCs w:val="24"/>
          <w:lang w:val="ro-MD"/>
        </w:rPr>
        <w:t xml:space="preserve"> </w:t>
      </w:r>
      <w:r w:rsidRPr="009E5B39">
        <w:rPr>
          <w:rFonts w:asciiTheme="majorHAnsi" w:hAnsiTheme="majorHAnsi" w:cstheme="majorHAnsi"/>
          <w:sz w:val="24"/>
          <w:szCs w:val="24"/>
          <w:lang w:val="ro-MD"/>
        </w:rPr>
        <w:t>Subdiviziunile SA A</w:t>
      </w:r>
      <w:r w:rsidR="00C7446E" w:rsidRPr="009E5B39">
        <w:rPr>
          <w:rFonts w:asciiTheme="majorHAnsi" w:hAnsiTheme="majorHAnsi" w:cstheme="majorHAnsi"/>
          <w:sz w:val="24"/>
          <w:szCs w:val="24"/>
          <w:lang w:val="ro-MD"/>
        </w:rPr>
        <w:t xml:space="preserve">pă </w:t>
      </w:r>
      <w:r w:rsidRPr="009E5B39">
        <w:rPr>
          <w:rFonts w:asciiTheme="majorHAnsi" w:hAnsiTheme="majorHAnsi" w:cstheme="majorHAnsi"/>
          <w:sz w:val="24"/>
          <w:szCs w:val="24"/>
          <w:lang w:val="ro-MD"/>
        </w:rPr>
        <w:t>C</w:t>
      </w:r>
      <w:r w:rsidR="00C7446E" w:rsidRPr="009E5B39">
        <w:rPr>
          <w:rFonts w:asciiTheme="majorHAnsi" w:hAnsiTheme="majorHAnsi" w:cstheme="majorHAnsi"/>
          <w:sz w:val="24"/>
          <w:szCs w:val="24"/>
          <w:lang w:val="ro-MD"/>
        </w:rPr>
        <w:t>anal</w:t>
      </w:r>
      <w:r w:rsidRPr="009E5B39">
        <w:rPr>
          <w:rFonts w:asciiTheme="majorHAnsi" w:hAnsiTheme="majorHAnsi" w:cstheme="majorHAnsi"/>
          <w:sz w:val="24"/>
          <w:szCs w:val="24"/>
          <w:lang w:val="ro-MD"/>
        </w:rPr>
        <w:t xml:space="preserve"> Chișinău, cu atribuții de gestionare a contractelor și de facturare a consumatorilor, dețin date diferite referitor la numărul consumatorilor atât casnici, cât și noncasnici, fiind înregistrată, la situația din 31.12.2021, o diferență de 3,6 mii de consumatori.  </w:t>
      </w:r>
    </w:p>
    <w:p w14:paraId="428331F8" w14:textId="77777777" w:rsidR="00DD4073" w:rsidRPr="009E5B39" w:rsidRDefault="00DD4073" w:rsidP="00EF4BC3">
      <w:pPr>
        <w:spacing w:after="0" w:line="240" w:lineRule="auto"/>
        <w:jc w:val="both"/>
        <w:rPr>
          <w:rFonts w:asciiTheme="majorHAnsi" w:hAnsiTheme="majorHAnsi" w:cstheme="majorHAnsi"/>
          <w:b/>
          <w:i/>
          <w:sz w:val="24"/>
          <w:szCs w:val="24"/>
          <w:lang w:val="ro-MD"/>
        </w:rPr>
      </w:pPr>
    </w:p>
    <w:p w14:paraId="23D7AC8F" w14:textId="06CB5B88" w:rsidR="00D91A18" w:rsidRPr="009E5B39" w:rsidRDefault="00D91A18" w:rsidP="00DD4073">
      <w:pPr>
        <w:spacing w:after="0" w:line="240" w:lineRule="auto"/>
        <w:jc w:val="center"/>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Datele privind numărul consumatorilor înregistrați la situația din 31.12.2021 și al celor facturați la această dată (pentru luna decembrie)</w:t>
      </w:r>
    </w:p>
    <w:tbl>
      <w:tblPr>
        <w:tblStyle w:val="TableGrid"/>
        <w:tblW w:w="9351" w:type="dxa"/>
        <w:tblLook w:val="04A0" w:firstRow="1" w:lastRow="0" w:firstColumn="1" w:lastColumn="0" w:noHBand="0" w:noVBand="1"/>
      </w:tblPr>
      <w:tblGrid>
        <w:gridCol w:w="931"/>
        <w:gridCol w:w="1042"/>
        <w:gridCol w:w="1261"/>
        <w:gridCol w:w="981"/>
        <w:gridCol w:w="1068"/>
        <w:gridCol w:w="1042"/>
        <w:gridCol w:w="942"/>
        <w:gridCol w:w="1042"/>
        <w:gridCol w:w="1042"/>
      </w:tblGrid>
      <w:tr w:rsidR="00EF4BC3" w:rsidRPr="009E5B39" w14:paraId="0669D212" w14:textId="77777777" w:rsidTr="00D82E26">
        <w:tc>
          <w:tcPr>
            <w:tcW w:w="3301" w:type="dxa"/>
            <w:gridSpan w:val="3"/>
          </w:tcPr>
          <w:p w14:paraId="2403AA17" w14:textId="77777777" w:rsidR="00D91A18" w:rsidRPr="009E5B39" w:rsidRDefault="00D91A18" w:rsidP="00EF4BC3">
            <w:pPr>
              <w:jc w:val="center"/>
              <w:rPr>
                <w:rFonts w:asciiTheme="majorHAnsi" w:hAnsiTheme="majorHAnsi" w:cstheme="majorHAnsi"/>
                <w:b/>
                <w:sz w:val="16"/>
                <w:szCs w:val="16"/>
                <w:lang w:val="ro-MD"/>
              </w:rPr>
            </w:pPr>
            <w:r w:rsidRPr="009E5B39">
              <w:rPr>
                <w:rFonts w:asciiTheme="majorHAnsi" w:hAnsiTheme="majorHAnsi" w:cstheme="majorHAnsi"/>
                <w:b/>
                <w:sz w:val="16"/>
                <w:szCs w:val="16"/>
                <w:lang w:val="ro-MD"/>
              </w:rPr>
              <w:t>Date prezentate de către Serviciul</w:t>
            </w:r>
          </w:p>
          <w:p w14:paraId="3BA0FA6A" w14:textId="77777777" w:rsidR="00D91A18" w:rsidRPr="009E5B39" w:rsidRDefault="00D91A18" w:rsidP="00EF4BC3">
            <w:pPr>
              <w:jc w:val="center"/>
              <w:rPr>
                <w:rFonts w:asciiTheme="majorHAnsi" w:hAnsiTheme="majorHAnsi" w:cstheme="majorHAnsi"/>
                <w:b/>
                <w:sz w:val="16"/>
                <w:szCs w:val="16"/>
                <w:lang w:val="ro-MD"/>
              </w:rPr>
            </w:pPr>
            <w:r w:rsidRPr="009E5B39">
              <w:rPr>
                <w:rFonts w:asciiTheme="majorHAnsi" w:hAnsiTheme="majorHAnsi" w:cstheme="majorHAnsi"/>
                <w:b/>
                <w:sz w:val="16"/>
                <w:szCs w:val="16"/>
                <w:lang w:val="ro-MD"/>
              </w:rPr>
              <w:t>gestionării contractelor( SGC)</w:t>
            </w:r>
          </w:p>
        </w:tc>
        <w:tc>
          <w:tcPr>
            <w:tcW w:w="3123" w:type="dxa"/>
            <w:gridSpan w:val="3"/>
          </w:tcPr>
          <w:p w14:paraId="29B387FB" w14:textId="707E350E" w:rsidR="00D91A18" w:rsidRPr="009E5B39" w:rsidRDefault="00D91A18" w:rsidP="00EF4BC3">
            <w:pPr>
              <w:jc w:val="center"/>
              <w:rPr>
                <w:rFonts w:asciiTheme="majorHAnsi" w:hAnsiTheme="majorHAnsi" w:cstheme="majorHAnsi"/>
                <w:b/>
                <w:sz w:val="16"/>
                <w:szCs w:val="16"/>
                <w:lang w:val="ro-MD"/>
              </w:rPr>
            </w:pPr>
            <w:r w:rsidRPr="009E5B39">
              <w:rPr>
                <w:rFonts w:asciiTheme="majorHAnsi" w:hAnsiTheme="majorHAnsi" w:cstheme="majorHAnsi"/>
                <w:b/>
                <w:sz w:val="16"/>
                <w:szCs w:val="16"/>
                <w:lang w:val="ro-MD"/>
              </w:rPr>
              <w:t>Datel</w:t>
            </w:r>
            <w:r w:rsidR="00C7446E" w:rsidRPr="009E5B39">
              <w:rPr>
                <w:rFonts w:asciiTheme="majorHAnsi" w:hAnsiTheme="majorHAnsi" w:cstheme="majorHAnsi"/>
                <w:b/>
                <w:sz w:val="16"/>
                <w:szCs w:val="16"/>
                <w:lang w:val="ro-MD"/>
              </w:rPr>
              <w:t>e</w:t>
            </w:r>
            <w:r w:rsidRPr="009E5B39">
              <w:rPr>
                <w:rFonts w:asciiTheme="majorHAnsi" w:hAnsiTheme="majorHAnsi" w:cstheme="majorHAnsi"/>
                <w:b/>
                <w:sz w:val="16"/>
                <w:szCs w:val="16"/>
                <w:lang w:val="ro-MD"/>
              </w:rPr>
              <w:t xml:space="preserve"> din evidența contabilă,</w:t>
            </w:r>
          </w:p>
          <w:p w14:paraId="677468FF" w14:textId="77777777" w:rsidR="00D91A18" w:rsidRPr="009E5B39" w:rsidRDefault="00D91A18" w:rsidP="00EF4BC3">
            <w:pPr>
              <w:jc w:val="center"/>
              <w:rPr>
                <w:rFonts w:asciiTheme="majorHAnsi" w:hAnsiTheme="majorHAnsi" w:cstheme="majorHAnsi"/>
                <w:b/>
                <w:sz w:val="16"/>
                <w:szCs w:val="16"/>
                <w:lang w:val="ro-MD"/>
              </w:rPr>
            </w:pPr>
            <w:r w:rsidRPr="009E5B39">
              <w:rPr>
                <w:rFonts w:asciiTheme="majorHAnsi" w:hAnsiTheme="majorHAnsi" w:cstheme="majorHAnsi"/>
                <w:b/>
                <w:sz w:val="16"/>
                <w:szCs w:val="16"/>
                <w:lang w:val="ro-MD"/>
              </w:rPr>
              <w:t>facturile eliberate</w:t>
            </w:r>
          </w:p>
        </w:tc>
        <w:tc>
          <w:tcPr>
            <w:tcW w:w="2927" w:type="dxa"/>
            <w:gridSpan w:val="3"/>
          </w:tcPr>
          <w:p w14:paraId="77ECDD0B" w14:textId="77777777" w:rsidR="00D91A18" w:rsidRPr="009E5B39" w:rsidRDefault="00D91A18" w:rsidP="00EF4BC3">
            <w:pPr>
              <w:jc w:val="center"/>
              <w:rPr>
                <w:rFonts w:asciiTheme="majorHAnsi" w:hAnsiTheme="majorHAnsi" w:cstheme="majorHAnsi"/>
                <w:b/>
                <w:sz w:val="16"/>
                <w:szCs w:val="16"/>
                <w:lang w:val="ro-MD"/>
              </w:rPr>
            </w:pPr>
            <w:r w:rsidRPr="009E5B39">
              <w:rPr>
                <w:rFonts w:asciiTheme="majorHAnsi" w:hAnsiTheme="majorHAnsi" w:cstheme="majorHAnsi"/>
                <w:b/>
                <w:sz w:val="16"/>
                <w:szCs w:val="16"/>
                <w:lang w:val="ro-MD"/>
              </w:rPr>
              <w:t>Diferența dintre datele prezentate de către</w:t>
            </w:r>
          </w:p>
          <w:p w14:paraId="54E8EA1A" w14:textId="77777777" w:rsidR="00D91A18" w:rsidRPr="009E5B39" w:rsidRDefault="00D91A18" w:rsidP="00EF4BC3">
            <w:pPr>
              <w:jc w:val="center"/>
              <w:rPr>
                <w:rFonts w:asciiTheme="majorHAnsi" w:hAnsiTheme="majorHAnsi" w:cstheme="majorHAnsi"/>
                <w:b/>
                <w:sz w:val="16"/>
                <w:szCs w:val="16"/>
                <w:lang w:val="ro-MD"/>
              </w:rPr>
            </w:pPr>
            <w:r w:rsidRPr="009E5B39">
              <w:rPr>
                <w:rFonts w:asciiTheme="majorHAnsi" w:hAnsiTheme="majorHAnsi" w:cstheme="majorHAnsi"/>
                <w:b/>
                <w:sz w:val="16"/>
                <w:szCs w:val="16"/>
                <w:lang w:val="ro-MD"/>
              </w:rPr>
              <w:t>SGC și Serviciul contabil</w:t>
            </w:r>
          </w:p>
        </w:tc>
      </w:tr>
      <w:tr w:rsidR="00EF4BC3" w:rsidRPr="009E5B39" w14:paraId="2333DA78" w14:textId="77777777" w:rsidTr="00D82E26">
        <w:tc>
          <w:tcPr>
            <w:tcW w:w="945" w:type="dxa"/>
          </w:tcPr>
          <w:p w14:paraId="24ACC239"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TOTAL contracte, inclusiv:</w:t>
            </w:r>
          </w:p>
        </w:tc>
        <w:tc>
          <w:tcPr>
            <w:tcW w:w="1042" w:type="dxa"/>
          </w:tcPr>
          <w:p w14:paraId="12A3DBB4"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Consumatori casnici</w:t>
            </w:r>
          </w:p>
        </w:tc>
        <w:tc>
          <w:tcPr>
            <w:tcW w:w="1314" w:type="dxa"/>
          </w:tcPr>
          <w:p w14:paraId="33303772"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Consumatori noncasnici</w:t>
            </w:r>
          </w:p>
        </w:tc>
        <w:tc>
          <w:tcPr>
            <w:tcW w:w="1007" w:type="dxa"/>
          </w:tcPr>
          <w:p w14:paraId="5BCBECF3"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TOTAL contracte, inclusiv:</w:t>
            </w:r>
          </w:p>
        </w:tc>
        <w:tc>
          <w:tcPr>
            <w:tcW w:w="1074" w:type="dxa"/>
          </w:tcPr>
          <w:p w14:paraId="394E0CA1"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Consumatori casnici</w:t>
            </w:r>
          </w:p>
        </w:tc>
        <w:tc>
          <w:tcPr>
            <w:tcW w:w="1042" w:type="dxa"/>
          </w:tcPr>
          <w:p w14:paraId="02475AFA"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Consumatori noncasnici</w:t>
            </w:r>
          </w:p>
        </w:tc>
        <w:tc>
          <w:tcPr>
            <w:tcW w:w="958" w:type="dxa"/>
          </w:tcPr>
          <w:p w14:paraId="0679DE2C"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TOTAL contracte, inclusiv:</w:t>
            </w:r>
          </w:p>
        </w:tc>
        <w:tc>
          <w:tcPr>
            <w:tcW w:w="1042" w:type="dxa"/>
          </w:tcPr>
          <w:p w14:paraId="0C4CFE0E"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Consumatori casnici</w:t>
            </w:r>
          </w:p>
        </w:tc>
        <w:tc>
          <w:tcPr>
            <w:tcW w:w="927" w:type="dxa"/>
          </w:tcPr>
          <w:p w14:paraId="00BB0ECF"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Consumatori noncasnici</w:t>
            </w:r>
          </w:p>
        </w:tc>
      </w:tr>
      <w:tr w:rsidR="00EF4BC3" w:rsidRPr="009E5B39" w14:paraId="62C09F40" w14:textId="77777777" w:rsidTr="00D82E26">
        <w:trPr>
          <w:trHeight w:val="201"/>
        </w:trPr>
        <w:tc>
          <w:tcPr>
            <w:tcW w:w="945" w:type="dxa"/>
          </w:tcPr>
          <w:p w14:paraId="1750F42C" w14:textId="77777777" w:rsidR="00D91A18" w:rsidRPr="009E5B39" w:rsidRDefault="00D91A18" w:rsidP="00EF4BC3">
            <w:pPr>
              <w:jc w:val="both"/>
              <w:rPr>
                <w:rFonts w:asciiTheme="majorHAnsi" w:hAnsiTheme="majorHAnsi" w:cstheme="majorHAnsi"/>
                <w:b/>
                <w:sz w:val="16"/>
                <w:szCs w:val="16"/>
                <w:lang w:val="ro-MD"/>
              </w:rPr>
            </w:pPr>
            <w:r w:rsidRPr="009E5B39">
              <w:rPr>
                <w:rFonts w:asciiTheme="majorHAnsi" w:hAnsiTheme="majorHAnsi" w:cstheme="majorHAnsi"/>
                <w:b/>
                <w:sz w:val="16"/>
                <w:szCs w:val="16"/>
                <w:lang w:val="ro-MD"/>
              </w:rPr>
              <w:t>108334</w:t>
            </w:r>
          </w:p>
        </w:tc>
        <w:tc>
          <w:tcPr>
            <w:tcW w:w="1042" w:type="dxa"/>
          </w:tcPr>
          <w:p w14:paraId="17B3EFC3"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97391</w:t>
            </w:r>
          </w:p>
        </w:tc>
        <w:tc>
          <w:tcPr>
            <w:tcW w:w="1314" w:type="dxa"/>
          </w:tcPr>
          <w:p w14:paraId="6D01D305"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10943</w:t>
            </w:r>
          </w:p>
        </w:tc>
        <w:tc>
          <w:tcPr>
            <w:tcW w:w="1007" w:type="dxa"/>
          </w:tcPr>
          <w:p w14:paraId="7A095615" w14:textId="77777777" w:rsidR="00D91A18" w:rsidRPr="009E5B39" w:rsidRDefault="00D91A18" w:rsidP="00EF4BC3">
            <w:pPr>
              <w:jc w:val="both"/>
              <w:rPr>
                <w:rFonts w:asciiTheme="majorHAnsi" w:hAnsiTheme="majorHAnsi" w:cstheme="majorHAnsi"/>
                <w:b/>
                <w:sz w:val="16"/>
                <w:szCs w:val="16"/>
                <w:lang w:val="ro-MD"/>
              </w:rPr>
            </w:pPr>
            <w:r w:rsidRPr="009E5B39">
              <w:rPr>
                <w:rFonts w:asciiTheme="majorHAnsi" w:hAnsiTheme="majorHAnsi" w:cstheme="majorHAnsi"/>
                <w:b/>
                <w:sz w:val="16"/>
                <w:szCs w:val="16"/>
                <w:lang w:val="ro-MD"/>
              </w:rPr>
              <w:t>104730</w:t>
            </w:r>
          </w:p>
        </w:tc>
        <w:tc>
          <w:tcPr>
            <w:tcW w:w="1074" w:type="dxa"/>
          </w:tcPr>
          <w:p w14:paraId="533859CA"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94226</w:t>
            </w:r>
          </w:p>
        </w:tc>
        <w:tc>
          <w:tcPr>
            <w:tcW w:w="1042" w:type="dxa"/>
          </w:tcPr>
          <w:p w14:paraId="33D98575"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10504</w:t>
            </w:r>
          </w:p>
        </w:tc>
        <w:tc>
          <w:tcPr>
            <w:tcW w:w="958" w:type="dxa"/>
          </w:tcPr>
          <w:p w14:paraId="3AE1A2A2" w14:textId="77777777" w:rsidR="00D91A18" w:rsidRPr="009E5B39" w:rsidRDefault="00D91A18" w:rsidP="00EF4BC3">
            <w:pPr>
              <w:jc w:val="both"/>
              <w:rPr>
                <w:rFonts w:asciiTheme="majorHAnsi" w:hAnsiTheme="majorHAnsi" w:cstheme="majorHAnsi"/>
                <w:b/>
                <w:sz w:val="16"/>
                <w:szCs w:val="16"/>
                <w:lang w:val="ro-MD"/>
              </w:rPr>
            </w:pPr>
            <w:r w:rsidRPr="009E5B39">
              <w:rPr>
                <w:rFonts w:asciiTheme="majorHAnsi" w:hAnsiTheme="majorHAnsi" w:cstheme="majorHAnsi"/>
                <w:b/>
                <w:sz w:val="16"/>
                <w:szCs w:val="16"/>
                <w:lang w:val="ro-MD"/>
              </w:rPr>
              <w:t>3604</w:t>
            </w:r>
          </w:p>
        </w:tc>
        <w:tc>
          <w:tcPr>
            <w:tcW w:w="1042" w:type="dxa"/>
          </w:tcPr>
          <w:p w14:paraId="7D29057A"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3165</w:t>
            </w:r>
          </w:p>
        </w:tc>
        <w:tc>
          <w:tcPr>
            <w:tcW w:w="927" w:type="dxa"/>
          </w:tcPr>
          <w:p w14:paraId="29C4175A" w14:textId="77777777" w:rsidR="00D91A18" w:rsidRPr="009E5B39" w:rsidRDefault="00D91A18" w:rsidP="00EF4BC3">
            <w:pPr>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439</w:t>
            </w:r>
          </w:p>
        </w:tc>
      </w:tr>
    </w:tbl>
    <w:p w14:paraId="12AA4600" w14:textId="473A4CA9" w:rsidR="00D91A18" w:rsidRPr="009E5B39" w:rsidRDefault="00D91A18" w:rsidP="00EF4BC3">
      <w:pPr>
        <w:spacing w:after="0"/>
        <w:ind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  Datele din tabel denotă că în luna decembrie 2021 nu au fost eliberate facturi pentru serviciile prestate de aprovizionare cu apă și de canalizare la 3604 de consumatori, dintre care: 439 de consumatori noncasnici și 3165 consumatori casnici, creându-se riscul ca operatorul să rateze venituri din cauza nefacturării tuturor consumatorilor. </w:t>
      </w:r>
    </w:p>
    <w:p w14:paraId="294C291F" w14:textId="37EA418F" w:rsidR="00D91A18" w:rsidRPr="009E5B39" w:rsidRDefault="00D91A18" w:rsidP="00EF4BC3">
      <w:pPr>
        <w:pStyle w:val="ListParagraph"/>
        <w:numPr>
          <w:ilvl w:val="0"/>
          <w:numId w:val="37"/>
        </w:numPr>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Deși cadrul normativ</w:t>
      </w:r>
      <w:r w:rsidRPr="009E5B39">
        <w:rPr>
          <w:rStyle w:val="FootnoteReference"/>
          <w:rFonts w:asciiTheme="majorHAnsi" w:hAnsiTheme="majorHAnsi" w:cstheme="majorHAnsi"/>
          <w:b/>
          <w:sz w:val="24"/>
          <w:szCs w:val="24"/>
          <w:lang w:val="ro-MD"/>
        </w:rPr>
        <w:footnoteReference w:id="231"/>
      </w:r>
      <w:r w:rsidRPr="009E5B39">
        <w:rPr>
          <w:rFonts w:asciiTheme="majorHAnsi" w:hAnsiTheme="majorHAnsi" w:cstheme="majorHAnsi"/>
          <w:b/>
          <w:sz w:val="24"/>
          <w:szCs w:val="24"/>
          <w:lang w:val="ro-MD"/>
        </w:rPr>
        <w:t xml:space="preserve"> prevede încheierea </w:t>
      </w:r>
      <w:r w:rsidRPr="009E5B39">
        <w:rPr>
          <w:rFonts w:asciiTheme="majorHAnsi" w:hAnsiTheme="majorHAnsi" w:cstheme="majorHAnsi"/>
          <w:b/>
          <w:bCs/>
          <w:sz w:val="24"/>
          <w:szCs w:val="24"/>
          <w:lang w:val="ro-MD"/>
        </w:rPr>
        <w:t>contractelor individuale cu fiecare proprietar/locatar de apartament în parte din blocurile locative, SA ACC</w:t>
      </w:r>
      <w:r w:rsidR="00E46D38" w:rsidRPr="009E5B39">
        <w:rPr>
          <w:rFonts w:asciiTheme="majorHAnsi" w:hAnsiTheme="majorHAnsi" w:cstheme="majorHAnsi"/>
          <w:b/>
          <w:bCs/>
          <w:sz w:val="24"/>
          <w:szCs w:val="24"/>
          <w:lang w:val="ro-MD"/>
        </w:rPr>
        <w:t>,</w:t>
      </w:r>
      <w:r w:rsidRPr="009E5B39">
        <w:rPr>
          <w:rFonts w:asciiTheme="majorHAnsi" w:hAnsiTheme="majorHAnsi" w:cstheme="majorHAnsi"/>
          <w:b/>
          <w:bCs/>
          <w:sz w:val="24"/>
          <w:szCs w:val="24"/>
          <w:lang w:val="ro-MD"/>
        </w:rPr>
        <w:t xml:space="preserve"> până la momentul desfășurării misiunii de audit, nu s-a conformat în totalmente acestor prevederi.</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La finele anului 2021</w:t>
      </w:r>
      <w:r w:rsidR="00E46D38"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SA AAC are încheiate 108 334 contracte cu consumatorii casnici și noncasnici, cărora le prestează serviciul de alimentare cu apă și de canalizare. Din numărul total de contracte încheiate, 14557 contracte au fost încheiate în anul 2021. Până la momentul desfășurării misiunii de audit, operatorul prestează servicii de alimentare cu apă și de canalizare, în lipsa contractelor, la 1079 de locuințe necontorizate, facturarea serviciilor prestate fiind efectuată prin aplicarea normei de consum aprobată. </w:t>
      </w:r>
      <w:r w:rsidR="00C052C7" w:rsidRPr="009E5B39">
        <w:rPr>
          <w:rFonts w:asciiTheme="majorHAnsi" w:hAnsiTheme="majorHAnsi" w:cstheme="majorHAnsi"/>
          <w:sz w:val="24"/>
          <w:szCs w:val="24"/>
          <w:lang w:val="ro-MD"/>
        </w:rPr>
        <w:t>P</w:t>
      </w:r>
      <w:r w:rsidRPr="009E5B39">
        <w:rPr>
          <w:rFonts w:asciiTheme="majorHAnsi" w:hAnsiTheme="majorHAnsi" w:cstheme="majorHAnsi"/>
          <w:sz w:val="24"/>
          <w:szCs w:val="24"/>
          <w:lang w:val="ro-MD"/>
        </w:rPr>
        <w:t xml:space="preserve">otrivit datelor </w:t>
      </w:r>
      <w:r w:rsidR="002F024D" w:rsidRPr="009E5B39">
        <w:rPr>
          <w:rFonts w:asciiTheme="majorHAnsi" w:hAnsiTheme="majorHAnsi" w:cstheme="majorHAnsi"/>
          <w:sz w:val="24"/>
          <w:szCs w:val="24"/>
          <w:lang w:val="ro-MD"/>
        </w:rPr>
        <w:t>ÎM</w:t>
      </w:r>
      <w:r w:rsidRPr="009E5B39">
        <w:rPr>
          <w:rFonts w:asciiTheme="majorHAnsi" w:hAnsiTheme="majorHAnsi" w:cstheme="majorHAnsi"/>
          <w:sz w:val="24"/>
          <w:szCs w:val="24"/>
          <w:lang w:val="ro-MD"/>
        </w:rPr>
        <w:t xml:space="preserve"> </w:t>
      </w:r>
      <w:r w:rsidR="003B7B7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Infocom</w:t>
      </w:r>
      <w:r w:rsidR="003B7B7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numărul apartamentelor </w:t>
      </w:r>
      <w:r w:rsidR="004E23EF" w:rsidRPr="009E5B39">
        <w:rPr>
          <w:rFonts w:asciiTheme="majorHAnsi" w:hAnsiTheme="majorHAnsi" w:cstheme="majorHAnsi"/>
          <w:sz w:val="24"/>
          <w:szCs w:val="24"/>
          <w:lang w:val="ro-MD"/>
        </w:rPr>
        <w:t xml:space="preserve">pentru </w:t>
      </w:r>
      <w:r w:rsidRPr="009E5B39">
        <w:rPr>
          <w:rFonts w:asciiTheme="majorHAnsi" w:hAnsiTheme="majorHAnsi" w:cstheme="majorHAnsi"/>
          <w:sz w:val="24"/>
          <w:szCs w:val="24"/>
          <w:lang w:val="ro-MD"/>
        </w:rPr>
        <w:t xml:space="preserve">care </w:t>
      </w:r>
      <w:r w:rsidR="004E23EF" w:rsidRPr="009E5B39">
        <w:rPr>
          <w:rFonts w:asciiTheme="majorHAnsi" w:hAnsiTheme="majorHAnsi" w:cstheme="majorHAnsi"/>
          <w:sz w:val="24"/>
          <w:szCs w:val="24"/>
          <w:lang w:val="ro-MD"/>
        </w:rPr>
        <w:t xml:space="preserve">nu sunt prestate servicii de facturare și distribuție a apei consumate </w:t>
      </w:r>
      <w:r w:rsidRPr="009E5B39">
        <w:rPr>
          <w:rFonts w:asciiTheme="majorHAnsi" w:hAnsiTheme="majorHAnsi" w:cstheme="majorHAnsi"/>
          <w:sz w:val="24"/>
          <w:szCs w:val="24"/>
          <w:lang w:val="ro-MD"/>
        </w:rPr>
        <w:t>este în creștere și constituie la 31.12.2021 – 3398 apartamente – pentru apa potabilă</w:t>
      </w:r>
      <w:r w:rsidR="00375DB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și 22539 apartamente – pentru apa menajeră</w:t>
      </w:r>
      <w:r w:rsidR="005746A2" w:rsidRPr="009E5B39">
        <w:rPr>
          <w:rFonts w:asciiTheme="majorHAnsi" w:hAnsiTheme="majorHAnsi" w:cstheme="majorHAnsi"/>
          <w:sz w:val="24"/>
          <w:szCs w:val="24"/>
          <w:lang w:val="ro-MD"/>
        </w:rPr>
        <w:t>, comparativ cu 1494 și</w:t>
      </w:r>
      <w:r w:rsidR="00375DB0" w:rsidRPr="009E5B39">
        <w:rPr>
          <w:rFonts w:asciiTheme="majorHAnsi" w:hAnsiTheme="majorHAnsi" w:cstheme="majorHAnsi"/>
          <w:sz w:val="24"/>
          <w:szCs w:val="24"/>
          <w:lang w:val="ro-MD"/>
        </w:rPr>
        <w:t xml:space="preserve">, </w:t>
      </w:r>
      <w:r w:rsidR="005746A2" w:rsidRPr="009E5B39">
        <w:rPr>
          <w:rFonts w:asciiTheme="majorHAnsi" w:hAnsiTheme="majorHAnsi" w:cstheme="majorHAnsi"/>
          <w:sz w:val="24"/>
          <w:szCs w:val="24"/>
          <w:lang w:val="ro-MD"/>
        </w:rPr>
        <w:t>respectiv, 21648 apartamente existente la 31.12.2018</w:t>
      </w:r>
      <w:r w:rsidRPr="009E5B39">
        <w:rPr>
          <w:rFonts w:asciiTheme="majorHAnsi" w:hAnsiTheme="majorHAnsi" w:cstheme="majorHAnsi"/>
          <w:sz w:val="24"/>
          <w:szCs w:val="24"/>
          <w:lang w:val="ro-MD"/>
        </w:rPr>
        <w:t xml:space="preserve">. </w:t>
      </w:r>
    </w:p>
    <w:p w14:paraId="69D249CC" w14:textId="5F95C399" w:rsidR="00D91A18" w:rsidRPr="009E5B39" w:rsidRDefault="00D91A18" w:rsidP="00EF4BC3">
      <w:pPr>
        <w:pStyle w:val="ListParagraph"/>
        <w:numPr>
          <w:ilvl w:val="0"/>
          <w:numId w:val="37"/>
        </w:numPr>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b/>
          <w:bCs/>
          <w:i/>
          <w:sz w:val="24"/>
          <w:szCs w:val="24"/>
          <w:lang w:val="ro-MD"/>
        </w:rPr>
        <w:t>SA ACC nu deține informație veridică despre blocurile locative și apartamentele necontorizate</w:t>
      </w:r>
      <w:r w:rsidR="00375DB0" w:rsidRPr="009E5B39">
        <w:rPr>
          <w:rFonts w:asciiTheme="majorHAnsi" w:hAnsiTheme="majorHAnsi" w:cstheme="majorHAnsi"/>
          <w:b/>
          <w:bCs/>
          <w:i/>
          <w:sz w:val="24"/>
          <w:szCs w:val="24"/>
          <w:lang w:val="ro-MD"/>
        </w:rPr>
        <w:t>, i</w:t>
      </w:r>
      <w:r w:rsidRPr="009E5B39">
        <w:rPr>
          <w:rFonts w:asciiTheme="majorHAnsi" w:hAnsiTheme="majorHAnsi" w:cstheme="majorHAnsi"/>
          <w:b/>
          <w:bCs/>
          <w:i/>
          <w:sz w:val="24"/>
          <w:szCs w:val="24"/>
          <w:lang w:val="ro-MD"/>
        </w:rPr>
        <w:t xml:space="preserve">ar faptul că nu toți consumatorii dispun de contoare pentru apă creează premise pentru a consuma apă în volum mai mare decât se facturează, ceea ce condiționează </w:t>
      </w:r>
      <w:r w:rsidRPr="009E5B39">
        <w:rPr>
          <w:rFonts w:asciiTheme="majorHAnsi" w:hAnsiTheme="majorHAnsi" w:cstheme="majorHAnsi"/>
          <w:b/>
          <w:i/>
          <w:sz w:val="24"/>
          <w:szCs w:val="24"/>
          <w:lang w:val="ro-MD"/>
        </w:rPr>
        <w:t>lipsa unei evidențe veridice a livrărilor efectuate către consumatorii casnici din blocurile locative.</w:t>
      </w:r>
      <w:r w:rsidRPr="009E5B39">
        <w:rPr>
          <w:rFonts w:asciiTheme="majorHAnsi" w:hAnsiTheme="majorHAnsi" w:cstheme="majorHAnsi"/>
          <w:b/>
          <w:bCs/>
          <w:i/>
          <w:sz w:val="24"/>
          <w:szCs w:val="24"/>
          <w:lang w:val="ro-MD"/>
        </w:rPr>
        <w:t xml:space="preserve"> </w:t>
      </w:r>
      <w:r w:rsidRPr="009E5B39">
        <w:rPr>
          <w:rFonts w:asciiTheme="majorHAnsi" w:hAnsiTheme="majorHAnsi" w:cstheme="majorHAnsi"/>
          <w:bCs/>
          <w:sz w:val="24"/>
          <w:szCs w:val="24"/>
          <w:lang w:val="ro-MD"/>
        </w:rPr>
        <w:t>Potrivit datelor prezentate de către SA ACC, la situația din 31.12.</w:t>
      </w:r>
      <w:r w:rsidR="005746A2" w:rsidRPr="009E5B39">
        <w:rPr>
          <w:rFonts w:asciiTheme="majorHAnsi" w:hAnsiTheme="majorHAnsi" w:cstheme="majorHAnsi"/>
          <w:bCs/>
          <w:sz w:val="24"/>
          <w:szCs w:val="24"/>
          <w:lang w:val="ro-MD"/>
        </w:rPr>
        <w:t>2021</w:t>
      </w:r>
      <w:r w:rsidRPr="009E5B39">
        <w:rPr>
          <w:rFonts w:asciiTheme="majorHAnsi" w:hAnsiTheme="majorHAnsi" w:cstheme="majorHAnsi"/>
          <w:bCs/>
          <w:sz w:val="24"/>
          <w:szCs w:val="24"/>
          <w:lang w:val="ro-MD"/>
        </w:rPr>
        <w:t>, în mun. Chișinău existau 2 blocuri locative</w:t>
      </w:r>
      <w:r w:rsidRPr="009E5B39">
        <w:rPr>
          <w:rStyle w:val="FootnoteReference"/>
          <w:rFonts w:asciiTheme="majorHAnsi" w:hAnsiTheme="majorHAnsi" w:cstheme="majorHAnsi"/>
          <w:bCs/>
          <w:sz w:val="24"/>
          <w:szCs w:val="24"/>
          <w:lang w:val="ro-MD"/>
        </w:rPr>
        <w:footnoteReference w:id="232"/>
      </w:r>
      <w:r w:rsidRPr="009E5B39">
        <w:rPr>
          <w:rFonts w:asciiTheme="majorHAnsi" w:hAnsiTheme="majorHAnsi" w:cstheme="majorHAnsi"/>
          <w:bCs/>
          <w:sz w:val="24"/>
          <w:szCs w:val="24"/>
          <w:lang w:val="ro-MD"/>
        </w:rPr>
        <w:t xml:space="preserve"> care nu dispuneau de contor la branșamentul blocului </w:t>
      </w:r>
      <w:r w:rsidR="00DC2C49"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în anul 2022 au fost </w:t>
      </w:r>
      <w:r w:rsidR="00DC2C49" w:rsidRPr="009E5B39">
        <w:rPr>
          <w:rFonts w:asciiTheme="majorHAnsi" w:hAnsiTheme="majorHAnsi" w:cstheme="majorHAnsi"/>
          <w:bCs/>
          <w:sz w:val="24"/>
          <w:szCs w:val="24"/>
          <w:lang w:val="ro-MD"/>
        </w:rPr>
        <w:t>contorizate);</w:t>
      </w:r>
      <w:r w:rsidRPr="009E5B39">
        <w:rPr>
          <w:rFonts w:asciiTheme="majorHAnsi" w:hAnsiTheme="majorHAnsi" w:cstheme="majorHAnsi"/>
          <w:bCs/>
          <w:sz w:val="24"/>
          <w:szCs w:val="24"/>
          <w:lang w:val="ro-MD"/>
        </w:rPr>
        <w:t xml:space="preserve"> </w:t>
      </w:r>
      <w:r w:rsidRPr="009E5B39">
        <w:rPr>
          <w:rFonts w:asciiTheme="majorHAnsi" w:hAnsiTheme="majorHAnsi" w:cstheme="majorHAnsi"/>
          <w:b/>
          <w:bCs/>
          <w:sz w:val="24"/>
          <w:szCs w:val="24"/>
          <w:lang w:val="ro-MD"/>
        </w:rPr>
        <w:t>1079</w:t>
      </w:r>
      <w:r w:rsidRPr="009E5B39">
        <w:rPr>
          <w:rFonts w:asciiTheme="majorHAnsi" w:hAnsiTheme="majorHAnsi" w:cstheme="majorHAnsi"/>
          <w:bCs/>
          <w:sz w:val="24"/>
          <w:szCs w:val="24"/>
          <w:lang w:val="ro-MD"/>
        </w:rPr>
        <w:t xml:space="preserve"> apartamente necontorizate și </w:t>
      </w:r>
      <w:r w:rsidRPr="009E5B39">
        <w:rPr>
          <w:rFonts w:asciiTheme="majorHAnsi" w:hAnsiTheme="majorHAnsi" w:cstheme="majorHAnsi"/>
          <w:b/>
          <w:bCs/>
          <w:sz w:val="24"/>
          <w:szCs w:val="24"/>
          <w:lang w:val="ro-MD"/>
        </w:rPr>
        <w:t>3873</w:t>
      </w:r>
      <w:r w:rsidRPr="009E5B39">
        <w:rPr>
          <w:rFonts w:asciiTheme="majorHAnsi" w:hAnsiTheme="majorHAnsi" w:cstheme="majorHAnsi"/>
          <w:bCs/>
          <w:sz w:val="24"/>
          <w:szCs w:val="24"/>
          <w:lang w:val="ro-MD"/>
        </w:rPr>
        <w:t xml:space="preserve"> – abonați din sectorul particular</w:t>
      </w:r>
      <w:r w:rsidR="001767AD" w:rsidRPr="009E5B39">
        <w:rPr>
          <w:rFonts w:asciiTheme="majorHAnsi" w:hAnsiTheme="majorHAnsi" w:cstheme="majorHAnsi"/>
          <w:bCs/>
          <w:sz w:val="24"/>
          <w:szCs w:val="24"/>
          <w:lang w:val="ro-MD"/>
        </w:rPr>
        <w:t xml:space="preserve">. Conform </w:t>
      </w:r>
      <w:r w:rsidRPr="009E5B39">
        <w:rPr>
          <w:rFonts w:asciiTheme="majorHAnsi" w:hAnsiTheme="majorHAnsi" w:cstheme="majorHAnsi"/>
          <w:bCs/>
          <w:sz w:val="24"/>
          <w:szCs w:val="24"/>
          <w:lang w:val="ro-MD"/>
        </w:rPr>
        <w:t xml:space="preserve"> datelor prezentate de către ÎM </w:t>
      </w:r>
      <w:r w:rsidR="003B7B77"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I</w:t>
      </w:r>
      <w:r w:rsidR="003B7B77" w:rsidRPr="009E5B39">
        <w:rPr>
          <w:rFonts w:asciiTheme="majorHAnsi" w:hAnsiTheme="majorHAnsi" w:cstheme="majorHAnsi"/>
          <w:bCs/>
          <w:sz w:val="24"/>
          <w:szCs w:val="24"/>
          <w:lang w:val="ro-MD"/>
        </w:rPr>
        <w:t>nfocom”</w:t>
      </w:r>
      <w:r w:rsidRPr="009E5B39">
        <w:rPr>
          <w:rFonts w:asciiTheme="majorHAnsi" w:hAnsiTheme="majorHAnsi" w:cstheme="majorHAnsi"/>
          <w:bCs/>
          <w:sz w:val="24"/>
          <w:szCs w:val="24"/>
          <w:lang w:val="ro-MD"/>
        </w:rPr>
        <w:t>, la ace</w:t>
      </w:r>
      <w:r w:rsidR="001767AD" w:rsidRPr="009E5B39">
        <w:rPr>
          <w:rFonts w:asciiTheme="majorHAnsi" w:hAnsiTheme="majorHAnsi" w:cstheme="majorHAnsi"/>
          <w:bCs/>
          <w:sz w:val="24"/>
          <w:szCs w:val="24"/>
          <w:lang w:val="ro-MD"/>
        </w:rPr>
        <w:t>e</w:t>
      </w:r>
      <w:r w:rsidR="004E23EF" w:rsidRPr="009E5B39">
        <w:rPr>
          <w:rFonts w:asciiTheme="majorHAnsi" w:hAnsiTheme="majorHAnsi" w:cstheme="majorHAnsi"/>
          <w:bCs/>
          <w:sz w:val="24"/>
          <w:szCs w:val="24"/>
          <w:lang w:val="ro-MD"/>
        </w:rPr>
        <w:t xml:space="preserve">ași </w:t>
      </w:r>
      <w:r w:rsidRPr="009E5B39">
        <w:rPr>
          <w:rFonts w:asciiTheme="majorHAnsi" w:hAnsiTheme="majorHAnsi" w:cstheme="majorHAnsi"/>
          <w:bCs/>
          <w:sz w:val="24"/>
          <w:szCs w:val="24"/>
          <w:lang w:val="ro-MD"/>
        </w:rPr>
        <w:t>dată nu dispun</w:t>
      </w:r>
      <w:r w:rsidR="004E23EF" w:rsidRPr="009E5B39">
        <w:rPr>
          <w:rFonts w:asciiTheme="majorHAnsi" w:hAnsiTheme="majorHAnsi" w:cstheme="majorHAnsi"/>
          <w:bCs/>
          <w:sz w:val="24"/>
          <w:szCs w:val="24"/>
          <w:lang w:val="ro-MD"/>
        </w:rPr>
        <w:t>eau</w:t>
      </w:r>
      <w:r w:rsidRPr="009E5B39">
        <w:rPr>
          <w:rFonts w:asciiTheme="majorHAnsi" w:hAnsiTheme="majorHAnsi" w:cstheme="majorHAnsi"/>
          <w:bCs/>
          <w:sz w:val="24"/>
          <w:szCs w:val="24"/>
          <w:lang w:val="ro-MD"/>
        </w:rPr>
        <w:t xml:space="preserve"> de contoare pentru apa potabilă 5 blocuri locative</w:t>
      </w:r>
      <w:r w:rsidRPr="009E5B39">
        <w:rPr>
          <w:rStyle w:val="FootnoteReference"/>
          <w:rFonts w:asciiTheme="majorHAnsi" w:hAnsiTheme="majorHAnsi" w:cstheme="majorHAnsi"/>
          <w:bCs/>
          <w:sz w:val="24"/>
          <w:szCs w:val="24"/>
          <w:lang w:val="ro-MD"/>
        </w:rPr>
        <w:footnoteReference w:id="233"/>
      </w:r>
      <w:r w:rsidRPr="009E5B39">
        <w:rPr>
          <w:rFonts w:asciiTheme="majorHAnsi" w:hAnsiTheme="majorHAnsi" w:cstheme="majorHAnsi"/>
          <w:bCs/>
          <w:sz w:val="24"/>
          <w:szCs w:val="24"/>
          <w:lang w:val="ro-MD"/>
        </w:rPr>
        <w:t xml:space="preserve"> și</w:t>
      </w:r>
      <w:r w:rsidRPr="009E5B39">
        <w:rPr>
          <w:rFonts w:asciiTheme="majorHAnsi" w:hAnsiTheme="majorHAnsi" w:cstheme="majorHAnsi"/>
          <w:b/>
          <w:bCs/>
          <w:sz w:val="24"/>
          <w:szCs w:val="24"/>
          <w:lang w:val="ro-MD"/>
        </w:rPr>
        <w:t xml:space="preserve"> 8193</w:t>
      </w:r>
      <w:r w:rsidRPr="009E5B39">
        <w:rPr>
          <w:rFonts w:asciiTheme="majorHAnsi" w:hAnsiTheme="majorHAnsi" w:cstheme="majorHAnsi"/>
          <w:bCs/>
          <w:sz w:val="24"/>
          <w:szCs w:val="24"/>
          <w:lang w:val="ro-MD"/>
        </w:rPr>
        <w:t xml:space="preserve"> apartamente, iar pentru apa menajeră - 4 blocuri locative</w:t>
      </w:r>
      <w:r w:rsidRPr="009E5B39">
        <w:rPr>
          <w:rStyle w:val="FootnoteReference"/>
          <w:rFonts w:asciiTheme="majorHAnsi" w:hAnsiTheme="majorHAnsi" w:cstheme="majorHAnsi"/>
          <w:bCs/>
          <w:sz w:val="24"/>
          <w:szCs w:val="24"/>
          <w:lang w:val="ro-MD"/>
        </w:rPr>
        <w:footnoteReference w:id="234"/>
      </w:r>
      <w:r w:rsidRPr="009E5B39">
        <w:rPr>
          <w:rFonts w:asciiTheme="majorHAnsi" w:hAnsiTheme="majorHAnsi" w:cstheme="majorHAnsi"/>
          <w:bCs/>
          <w:sz w:val="24"/>
          <w:szCs w:val="24"/>
          <w:lang w:val="ro-MD"/>
        </w:rPr>
        <w:t xml:space="preserve">  și </w:t>
      </w:r>
      <w:r w:rsidRPr="009E5B39">
        <w:rPr>
          <w:rFonts w:asciiTheme="majorHAnsi" w:hAnsiTheme="majorHAnsi" w:cstheme="majorHAnsi"/>
          <w:b/>
          <w:bCs/>
          <w:sz w:val="24"/>
          <w:szCs w:val="24"/>
          <w:lang w:val="ro-MD"/>
        </w:rPr>
        <w:t>24</w:t>
      </w:r>
      <w:r w:rsidR="00DC2C49" w:rsidRPr="009E5B39">
        <w:rPr>
          <w:rFonts w:asciiTheme="majorHAnsi" w:hAnsiTheme="majorHAnsi" w:cstheme="majorHAnsi"/>
          <w:b/>
          <w:bCs/>
          <w:sz w:val="24"/>
          <w:szCs w:val="24"/>
          <w:lang w:val="ro-MD"/>
        </w:rPr>
        <w:t>.</w:t>
      </w:r>
      <w:r w:rsidRPr="009E5B39">
        <w:rPr>
          <w:rFonts w:asciiTheme="majorHAnsi" w:hAnsiTheme="majorHAnsi" w:cstheme="majorHAnsi"/>
          <w:b/>
          <w:bCs/>
          <w:sz w:val="24"/>
          <w:szCs w:val="24"/>
          <w:lang w:val="ro-MD"/>
        </w:rPr>
        <w:t>941</w:t>
      </w:r>
      <w:r w:rsidRPr="009E5B39">
        <w:rPr>
          <w:rFonts w:asciiTheme="majorHAnsi" w:hAnsiTheme="majorHAnsi" w:cstheme="majorHAnsi"/>
          <w:bCs/>
          <w:sz w:val="24"/>
          <w:szCs w:val="24"/>
          <w:lang w:val="ro-MD"/>
        </w:rPr>
        <w:t xml:space="preserve"> apartamente.</w:t>
      </w:r>
    </w:p>
    <w:p w14:paraId="361BFCEA" w14:textId="4C9AFEF2" w:rsidR="00D91A18" w:rsidRPr="009E5B39" w:rsidRDefault="00D91A18" w:rsidP="00EF4BC3">
      <w:pPr>
        <w:spacing w:after="0" w:line="276" w:lineRule="auto"/>
        <w:ind w:firstLine="720"/>
        <w:jc w:val="both"/>
        <w:rPr>
          <w:rStyle w:val="CommentReference"/>
          <w:rFonts w:asciiTheme="majorHAnsi" w:hAnsiTheme="majorHAnsi" w:cstheme="majorHAnsi"/>
          <w:sz w:val="24"/>
          <w:szCs w:val="24"/>
          <w:lang w:val="ro-MD"/>
        </w:rPr>
      </w:pPr>
      <w:r w:rsidRPr="009E5B39">
        <w:rPr>
          <w:rFonts w:asciiTheme="majorHAnsi" w:hAnsiTheme="majorHAnsi" w:cstheme="majorHAnsi"/>
          <w:b/>
          <w:bCs/>
          <w:sz w:val="24"/>
          <w:szCs w:val="24"/>
          <w:lang w:val="ro-MD"/>
        </w:rPr>
        <w:t xml:space="preserve">Faptul că </w:t>
      </w:r>
      <w:r w:rsidR="00CA4DAD" w:rsidRPr="009E5B39">
        <w:rPr>
          <w:rFonts w:asciiTheme="majorHAnsi" w:hAnsiTheme="majorHAnsi" w:cstheme="majorHAnsi"/>
          <w:b/>
          <w:bCs/>
          <w:sz w:val="24"/>
          <w:szCs w:val="24"/>
          <w:lang w:val="ro-MD"/>
        </w:rPr>
        <w:t xml:space="preserve">SA ACC încheie contracte cu consumatorii din blocurile locative doar pentru prestarea serviciului de livrare a apei reci, </w:t>
      </w:r>
      <w:r w:rsidR="00495068" w:rsidRPr="009E5B39">
        <w:rPr>
          <w:rFonts w:asciiTheme="majorHAnsi" w:hAnsiTheme="majorHAnsi" w:cstheme="majorHAnsi"/>
          <w:b/>
          <w:bCs/>
          <w:sz w:val="24"/>
          <w:szCs w:val="24"/>
          <w:lang w:val="ro-MD"/>
        </w:rPr>
        <w:t>nu și pentru livrarea apei în cadrul serviciului de apă menajeră</w:t>
      </w:r>
      <w:r w:rsidR="00F8217F" w:rsidRPr="009E5B39">
        <w:rPr>
          <w:rFonts w:asciiTheme="majorHAnsi" w:hAnsiTheme="majorHAnsi" w:cstheme="majorHAnsi"/>
          <w:b/>
          <w:bCs/>
          <w:sz w:val="24"/>
          <w:szCs w:val="24"/>
          <w:lang w:val="ro-MD"/>
        </w:rPr>
        <w:t>/caldă</w:t>
      </w:r>
      <w:r w:rsidR="00495068" w:rsidRPr="009E5B39">
        <w:rPr>
          <w:rFonts w:asciiTheme="majorHAnsi" w:hAnsiTheme="majorHAnsi" w:cstheme="majorHAnsi"/>
          <w:b/>
          <w:bCs/>
          <w:sz w:val="24"/>
          <w:szCs w:val="24"/>
          <w:lang w:val="ro-MD"/>
        </w:rPr>
        <w:t xml:space="preserve"> (ap</w:t>
      </w:r>
      <w:r w:rsidR="001767AD" w:rsidRPr="009E5B39">
        <w:rPr>
          <w:rFonts w:asciiTheme="majorHAnsi" w:hAnsiTheme="majorHAnsi" w:cstheme="majorHAnsi"/>
          <w:b/>
          <w:bCs/>
          <w:sz w:val="24"/>
          <w:szCs w:val="24"/>
          <w:lang w:val="ro-MD"/>
        </w:rPr>
        <w:t>a</w:t>
      </w:r>
      <w:r w:rsidR="00495068" w:rsidRPr="009E5B39">
        <w:rPr>
          <w:rFonts w:asciiTheme="majorHAnsi" w:hAnsiTheme="majorHAnsi" w:cstheme="majorHAnsi"/>
          <w:b/>
          <w:bCs/>
          <w:sz w:val="24"/>
          <w:szCs w:val="24"/>
          <w:lang w:val="ro-MD"/>
        </w:rPr>
        <w:t xml:space="preserve"> - livrată de SA ACC, energia termică – de SA Termoelectrica), pentru același apartament fiind emise două facturi, una de SA ACC, iar alta </w:t>
      </w:r>
      <w:r w:rsidR="001767AD" w:rsidRPr="009E5B39">
        <w:rPr>
          <w:rFonts w:asciiTheme="majorHAnsi" w:hAnsiTheme="majorHAnsi" w:cstheme="majorHAnsi"/>
          <w:b/>
          <w:bCs/>
          <w:sz w:val="24"/>
          <w:szCs w:val="24"/>
          <w:lang w:val="ro-MD"/>
        </w:rPr>
        <w:t xml:space="preserve">- </w:t>
      </w:r>
      <w:r w:rsidR="00495068" w:rsidRPr="009E5B39">
        <w:rPr>
          <w:rFonts w:asciiTheme="majorHAnsi" w:hAnsiTheme="majorHAnsi" w:cstheme="majorHAnsi"/>
          <w:b/>
          <w:bCs/>
          <w:sz w:val="24"/>
          <w:szCs w:val="24"/>
          <w:lang w:val="ro-MD"/>
        </w:rPr>
        <w:t xml:space="preserve">de ÎM </w:t>
      </w:r>
      <w:r w:rsidR="003B7B77" w:rsidRPr="009E5B39">
        <w:rPr>
          <w:rFonts w:asciiTheme="majorHAnsi" w:hAnsiTheme="majorHAnsi" w:cstheme="majorHAnsi"/>
          <w:b/>
          <w:bCs/>
          <w:sz w:val="24"/>
          <w:szCs w:val="24"/>
          <w:lang w:val="ro-MD"/>
        </w:rPr>
        <w:t>„</w:t>
      </w:r>
      <w:r w:rsidR="00495068" w:rsidRPr="009E5B39">
        <w:rPr>
          <w:rFonts w:asciiTheme="majorHAnsi" w:hAnsiTheme="majorHAnsi" w:cstheme="majorHAnsi"/>
          <w:b/>
          <w:bCs/>
          <w:sz w:val="24"/>
          <w:szCs w:val="24"/>
          <w:lang w:val="ro-MD"/>
        </w:rPr>
        <w:t>Infocom</w:t>
      </w:r>
      <w:r w:rsidR="003B7B77" w:rsidRPr="009E5B39">
        <w:rPr>
          <w:rFonts w:asciiTheme="majorHAnsi" w:hAnsiTheme="majorHAnsi" w:cstheme="majorHAnsi"/>
          <w:b/>
          <w:bCs/>
          <w:sz w:val="24"/>
          <w:szCs w:val="24"/>
          <w:lang w:val="ro-MD"/>
        </w:rPr>
        <w:t>”</w:t>
      </w:r>
      <w:r w:rsidR="00495068" w:rsidRPr="009E5B39">
        <w:rPr>
          <w:rFonts w:asciiTheme="majorHAnsi" w:hAnsiTheme="majorHAnsi" w:cstheme="majorHAnsi"/>
          <w:b/>
          <w:bCs/>
          <w:sz w:val="24"/>
          <w:szCs w:val="24"/>
          <w:lang w:val="ro-MD"/>
        </w:rPr>
        <w:t xml:space="preserve"> (care ulterior transferă banii încasați pentru factură la SA ACC)</w:t>
      </w:r>
      <w:r w:rsidRPr="009E5B39">
        <w:rPr>
          <w:rFonts w:asciiTheme="majorHAnsi" w:hAnsiTheme="majorHAnsi" w:cstheme="majorHAnsi"/>
          <w:b/>
          <w:bCs/>
          <w:sz w:val="24"/>
          <w:szCs w:val="24"/>
          <w:lang w:val="ro-MD"/>
        </w:rPr>
        <w:t xml:space="preserve">,  generează cheltuieli ineficiente pentru serviciile prestate de către ÎM </w:t>
      </w:r>
      <w:r w:rsidR="003B7B77" w:rsidRPr="009E5B39">
        <w:rPr>
          <w:rFonts w:asciiTheme="majorHAnsi" w:hAnsiTheme="majorHAnsi" w:cstheme="majorHAnsi"/>
          <w:b/>
          <w:bCs/>
          <w:sz w:val="24"/>
          <w:szCs w:val="24"/>
          <w:lang w:val="ro-MD"/>
        </w:rPr>
        <w:t>„</w:t>
      </w:r>
      <w:r w:rsidRPr="009E5B39">
        <w:rPr>
          <w:rFonts w:asciiTheme="majorHAnsi" w:hAnsiTheme="majorHAnsi" w:cstheme="majorHAnsi"/>
          <w:b/>
          <w:bCs/>
          <w:sz w:val="24"/>
          <w:szCs w:val="24"/>
          <w:lang w:val="ro-MD"/>
        </w:rPr>
        <w:t>I</w:t>
      </w:r>
      <w:r w:rsidR="003B7B77" w:rsidRPr="009E5B39">
        <w:rPr>
          <w:rFonts w:asciiTheme="majorHAnsi" w:hAnsiTheme="majorHAnsi" w:cstheme="majorHAnsi"/>
          <w:b/>
          <w:bCs/>
          <w:sz w:val="24"/>
          <w:szCs w:val="24"/>
          <w:lang w:val="ro-MD"/>
        </w:rPr>
        <w:t>nfocom”</w:t>
      </w:r>
      <w:r w:rsidRPr="009E5B39">
        <w:rPr>
          <w:rFonts w:asciiTheme="majorHAnsi" w:hAnsiTheme="majorHAnsi" w:cstheme="majorHAnsi"/>
          <w:b/>
          <w:bCs/>
          <w:sz w:val="24"/>
          <w:szCs w:val="24"/>
          <w:lang w:val="ro-MD"/>
        </w:rPr>
        <w:t>, care la moment lunar însumează 10,4 mii lei.</w:t>
      </w:r>
      <w:r w:rsidRPr="009E5B39">
        <w:rPr>
          <w:rFonts w:asciiTheme="majorHAnsi" w:hAnsiTheme="majorHAnsi" w:cstheme="majorHAnsi"/>
          <w:bCs/>
          <w:sz w:val="24"/>
          <w:szCs w:val="24"/>
          <w:lang w:val="ro-MD"/>
        </w:rPr>
        <w:t xml:space="preserve"> </w:t>
      </w:r>
      <w:r w:rsidR="00AE544E" w:rsidRPr="009E5B39">
        <w:rPr>
          <w:rFonts w:asciiTheme="majorHAnsi" w:hAnsiTheme="majorHAnsi" w:cstheme="majorHAnsi"/>
          <w:bCs/>
          <w:sz w:val="24"/>
          <w:szCs w:val="24"/>
          <w:lang w:val="ro-MD"/>
        </w:rPr>
        <w:t>Conform datelor SA ACC l</w:t>
      </w:r>
      <w:r w:rsidRPr="009E5B39">
        <w:rPr>
          <w:rFonts w:asciiTheme="majorHAnsi" w:hAnsiTheme="majorHAnsi" w:cstheme="majorHAnsi"/>
          <w:bCs/>
          <w:sz w:val="24"/>
          <w:szCs w:val="24"/>
          <w:lang w:val="ro-MD"/>
        </w:rPr>
        <w:t>a 31.12.2021, numărul apartamentelor cu care au fost încheiate contracte pentru livrarea doar a apei rec</w:t>
      </w:r>
      <w:r w:rsidR="001767AD" w:rsidRPr="009E5B39">
        <w:rPr>
          <w:rFonts w:asciiTheme="majorHAnsi" w:hAnsiTheme="majorHAnsi" w:cstheme="majorHAnsi"/>
          <w:bCs/>
          <w:sz w:val="24"/>
          <w:szCs w:val="24"/>
          <w:lang w:val="ro-MD"/>
        </w:rPr>
        <w:t>i</w:t>
      </w:r>
      <w:r w:rsidRPr="009E5B39">
        <w:rPr>
          <w:rFonts w:asciiTheme="majorHAnsi" w:hAnsiTheme="majorHAnsi" w:cstheme="majorHAnsi"/>
          <w:bCs/>
          <w:sz w:val="24"/>
          <w:szCs w:val="24"/>
          <w:lang w:val="ro-MD"/>
        </w:rPr>
        <w:t xml:space="preserve"> </w:t>
      </w:r>
      <w:r w:rsidR="00AE544E" w:rsidRPr="009E5B39">
        <w:rPr>
          <w:rFonts w:asciiTheme="majorHAnsi" w:hAnsiTheme="majorHAnsi" w:cstheme="majorHAnsi"/>
          <w:bCs/>
          <w:sz w:val="24"/>
          <w:szCs w:val="24"/>
          <w:lang w:val="ro-MD"/>
        </w:rPr>
        <w:t>constituie</w:t>
      </w:r>
      <w:r w:rsidRPr="009E5B39">
        <w:rPr>
          <w:rFonts w:asciiTheme="majorHAnsi" w:hAnsiTheme="majorHAnsi" w:cstheme="majorHAnsi"/>
          <w:bCs/>
          <w:sz w:val="24"/>
          <w:szCs w:val="24"/>
          <w:lang w:val="ro-MD"/>
        </w:rPr>
        <w:t xml:space="preserve"> </w:t>
      </w:r>
      <w:r w:rsidRPr="009E5B39">
        <w:rPr>
          <w:rFonts w:asciiTheme="majorHAnsi" w:hAnsiTheme="majorHAnsi" w:cstheme="majorHAnsi"/>
          <w:b/>
          <w:bCs/>
          <w:sz w:val="24"/>
          <w:szCs w:val="24"/>
          <w:lang w:val="ro-MD"/>
        </w:rPr>
        <w:t>10139</w:t>
      </w:r>
      <w:r w:rsidR="00AE544E" w:rsidRPr="009E5B39">
        <w:rPr>
          <w:rFonts w:asciiTheme="majorHAnsi" w:hAnsiTheme="majorHAnsi" w:cstheme="majorHAnsi"/>
          <w:b/>
          <w:bCs/>
          <w:sz w:val="24"/>
          <w:szCs w:val="24"/>
          <w:lang w:val="ro-MD"/>
        </w:rPr>
        <w:t xml:space="preserve"> apartamente</w:t>
      </w:r>
      <w:r w:rsidR="00503872" w:rsidRPr="009E5B39">
        <w:rPr>
          <w:rFonts w:asciiTheme="majorHAnsi" w:hAnsiTheme="majorHAnsi" w:cstheme="majorHAnsi"/>
          <w:b/>
          <w:bCs/>
          <w:sz w:val="24"/>
          <w:szCs w:val="24"/>
          <w:lang w:val="ro-MD"/>
        </w:rPr>
        <w:t>;</w:t>
      </w:r>
      <w:r w:rsidRPr="009E5B39">
        <w:rPr>
          <w:rFonts w:asciiTheme="majorHAnsi" w:hAnsiTheme="majorHAnsi" w:cstheme="majorHAnsi"/>
          <w:bCs/>
          <w:sz w:val="24"/>
          <w:szCs w:val="24"/>
          <w:lang w:val="ro-MD"/>
        </w:rPr>
        <w:t xml:space="preserve"> pentru apa rece </w:t>
      </w:r>
      <w:r w:rsidR="00503872" w:rsidRPr="009E5B39">
        <w:rPr>
          <w:rFonts w:asciiTheme="majorHAnsi" w:hAnsiTheme="majorHAnsi" w:cstheme="majorHAnsi"/>
          <w:bCs/>
          <w:sz w:val="24"/>
          <w:szCs w:val="24"/>
          <w:lang w:val="ro-MD"/>
        </w:rPr>
        <w:t>ș</w:t>
      </w:r>
      <w:r w:rsidRPr="009E5B39">
        <w:rPr>
          <w:rFonts w:asciiTheme="majorHAnsi" w:hAnsiTheme="majorHAnsi" w:cstheme="majorHAnsi"/>
          <w:bCs/>
          <w:sz w:val="24"/>
          <w:szCs w:val="24"/>
          <w:lang w:val="ro-MD"/>
        </w:rPr>
        <w:t xml:space="preserve">i pentru apă caldă </w:t>
      </w:r>
      <w:r w:rsidR="00503872"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w:t>
      </w:r>
      <w:r w:rsidRPr="009E5B39">
        <w:rPr>
          <w:rFonts w:asciiTheme="majorHAnsi" w:hAnsiTheme="majorHAnsi" w:cstheme="majorHAnsi"/>
          <w:b/>
          <w:bCs/>
          <w:sz w:val="24"/>
          <w:szCs w:val="24"/>
          <w:lang w:val="ro-MD"/>
        </w:rPr>
        <w:t>11357</w:t>
      </w:r>
      <w:r w:rsidRPr="009E5B39">
        <w:rPr>
          <w:rFonts w:asciiTheme="majorHAnsi" w:hAnsiTheme="majorHAnsi" w:cstheme="majorHAnsi"/>
          <w:bCs/>
          <w:sz w:val="24"/>
          <w:szCs w:val="24"/>
          <w:lang w:val="ro-MD"/>
        </w:rPr>
        <w:t xml:space="preserve">, doar pentru apă caldă </w:t>
      </w:r>
      <w:r w:rsidR="00503872"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w:t>
      </w:r>
      <w:r w:rsidRPr="009E5B39">
        <w:rPr>
          <w:rFonts w:asciiTheme="majorHAnsi" w:hAnsiTheme="majorHAnsi" w:cstheme="majorHAnsi"/>
          <w:b/>
          <w:bCs/>
          <w:sz w:val="24"/>
          <w:szCs w:val="24"/>
          <w:lang w:val="ro-MD"/>
        </w:rPr>
        <w:t>59</w:t>
      </w:r>
      <w:r w:rsidRPr="009E5B39">
        <w:rPr>
          <w:rFonts w:asciiTheme="majorHAnsi" w:hAnsiTheme="majorHAnsi" w:cstheme="majorHAnsi"/>
          <w:bCs/>
          <w:sz w:val="24"/>
          <w:szCs w:val="24"/>
          <w:lang w:val="ro-MD"/>
        </w:rPr>
        <w:t xml:space="preserve">. Potrivit datelor prezentate de către ÎM </w:t>
      </w:r>
      <w:r w:rsidR="003B7B77"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Infocom</w:t>
      </w:r>
      <w:r w:rsidR="003B7B77"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w:t>
      </w:r>
      <w:r w:rsidR="001767AD" w:rsidRPr="009E5B39">
        <w:rPr>
          <w:rFonts w:asciiTheme="majorHAnsi" w:hAnsiTheme="majorHAnsi" w:cstheme="majorHAnsi"/>
          <w:bCs/>
          <w:sz w:val="24"/>
          <w:szCs w:val="24"/>
          <w:lang w:val="ro-MD"/>
        </w:rPr>
        <w:t xml:space="preserve">, </w:t>
      </w:r>
      <w:r w:rsidRPr="009E5B39">
        <w:rPr>
          <w:rFonts w:asciiTheme="majorHAnsi" w:hAnsiTheme="majorHAnsi" w:cstheme="majorHAnsi"/>
          <w:bCs/>
          <w:sz w:val="24"/>
          <w:szCs w:val="24"/>
          <w:lang w:val="ro-MD"/>
        </w:rPr>
        <w:t>în perioada 2020-2021</w:t>
      </w:r>
      <w:r w:rsidR="001767AD"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SA ACC a încheiat contracte directe cu </w:t>
      </w:r>
      <w:r w:rsidRPr="009E5B39">
        <w:rPr>
          <w:rFonts w:asciiTheme="majorHAnsi" w:hAnsiTheme="majorHAnsi" w:cstheme="majorHAnsi"/>
          <w:b/>
          <w:bCs/>
          <w:sz w:val="24"/>
          <w:szCs w:val="24"/>
          <w:lang w:val="ro-MD"/>
        </w:rPr>
        <w:t>5.281</w:t>
      </w:r>
      <w:r w:rsidRPr="009E5B39">
        <w:rPr>
          <w:rFonts w:asciiTheme="majorHAnsi" w:hAnsiTheme="majorHAnsi" w:cstheme="majorHAnsi"/>
          <w:bCs/>
          <w:sz w:val="24"/>
          <w:szCs w:val="24"/>
          <w:lang w:val="ro-MD"/>
        </w:rPr>
        <w:t xml:space="preserve"> apartamente pentru livrarea apei potabile (reci) și doar cu </w:t>
      </w:r>
      <w:r w:rsidRPr="009E5B39">
        <w:rPr>
          <w:rFonts w:asciiTheme="majorHAnsi" w:hAnsiTheme="majorHAnsi" w:cstheme="majorHAnsi"/>
          <w:b/>
          <w:bCs/>
          <w:sz w:val="24"/>
          <w:szCs w:val="24"/>
          <w:lang w:val="ro-MD"/>
        </w:rPr>
        <w:t>124</w:t>
      </w:r>
      <w:r w:rsidRPr="009E5B39">
        <w:rPr>
          <w:rFonts w:asciiTheme="majorHAnsi" w:hAnsiTheme="majorHAnsi" w:cstheme="majorHAnsi"/>
          <w:bCs/>
          <w:sz w:val="24"/>
          <w:szCs w:val="24"/>
          <w:lang w:val="ro-MD"/>
        </w:rPr>
        <w:t xml:space="preserve"> de apartamente </w:t>
      </w:r>
      <w:r w:rsidR="001767AD" w:rsidRPr="009E5B39">
        <w:rPr>
          <w:rFonts w:asciiTheme="majorHAnsi" w:hAnsiTheme="majorHAnsi" w:cstheme="majorHAnsi"/>
          <w:bCs/>
          <w:sz w:val="24"/>
          <w:szCs w:val="24"/>
          <w:lang w:val="ro-MD"/>
        </w:rPr>
        <w:t xml:space="preserve">- </w:t>
      </w:r>
      <w:r w:rsidRPr="009E5B39">
        <w:rPr>
          <w:rFonts w:asciiTheme="majorHAnsi" w:hAnsiTheme="majorHAnsi" w:cstheme="majorHAnsi"/>
          <w:bCs/>
          <w:sz w:val="24"/>
          <w:szCs w:val="24"/>
          <w:lang w:val="ro-MD"/>
        </w:rPr>
        <w:t xml:space="preserve">pentru livrarea apei potabile menajere (calde). </w:t>
      </w:r>
      <w:r w:rsidR="001767AD" w:rsidRPr="009E5B39">
        <w:rPr>
          <w:rFonts w:asciiTheme="majorHAnsi" w:hAnsiTheme="majorHAnsi" w:cstheme="majorHAnsi"/>
          <w:bCs/>
          <w:sz w:val="24"/>
          <w:szCs w:val="24"/>
          <w:lang w:val="ro-MD"/>
        </w:rPr>
        <w:t>Potrivit</w:t>
      </w:r>
      <w:r w:rsidRPr="009E5B39">
        <w:rPr>
          <w:rFonts w:asciiTheme="majorHAnsi" w:hAnsiTheme="majorHAnsi" w:cstheme="majorHAnsi"/>
          <w:bCs/>
          <w:sz w:val="24"/>
          <w:szCs w:val="24"/>
          <w:lang w:val="ro-MD"/>
        </w:rPr>
        <w:t xml:space="preserve"> acestor date</w:t>
      </w:r>
      <w:r w:rsidR="001767AD" w:rsidRPr="009E5B39">
        <w:rPr>
          <w:rFonts w:asciiTheme="majorHAnsi" w:hAnsiTheme="majorHAnsi" w:cstheme="majorHAnsi"/>
          <w:bCs/>
          <w:sz w:val="24"/>
          <w:szCs w:val="24"/>
          <w:lang w:val="ro-MD"/>
        </w:rPr>
        <w:t xml:space="preserve">, </w:t>
      </w:r>
      <w:r w:rsidRPr="009E5B39">
        <w:rPr>
          <w:rFonts w:asciiTheme="majorHAnsi" w:hAnsiTheme="majorHAnsi" w:cstheme="majorHAnsi"/>
          <w:bCs/>
          <w:sz w:val="24"/>
          <w:szCs w:val="24"/>
          <w:lang w:val="ro-MD"/>
        </w:rPr>
        <w:t>SA ACC suportă lunar cheltuieli ineficiente de 10</w:t>
      </w:r>
      <w:r w:rsidR="00931B79"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4</w:t>
      </w:r>
      <w:r w:rsidR="00931B79" w:rsidRPr="009E5B39">
        <w:rPr>
          <w:rFonts w:asciiTheme="majorHAnsi" w:hAnsiTheme="majorHAnsi" w:cstheme="majorHAnsi"/>
          <w:bCs/>
          <w:sz w:val="24"/>
          <w:szCs w:val="24"/>
          <w:lang w:val="ro-MD"/>
        </w:rPr>
        <w:t>2mii</w:t>
      </w:r>
      <w:r w:rsidRPr="009E5B39">
        <w:rPr>
          <w:rFonts w:asciiTheme="majorHAnsi" w:hAnsiTheme="majorHAnsi" w:cstheme="majorHAnsi"/>
          <w:bCs/>
          <w:sz w:val="24"/>
          <w:szCs w:val="24"/>
          <w:lang w:val="ro-MD"/>
        </w:rPr>
        <w:t xml:space="preserve"> lei (</w:t>
      </w:r>
      <w:r w:rsidR="00F8217F" w:rsidRPr="009E5B39">
        <w:rPr>
          <w:rFonts w:asciiTheme="majorHAnsi" w:hAnsiTheme="majorHAnsi" w:cstheme="majorHAnsi"/>
          <w:bCs/>
          <w:sz w:val="24"/>
          <w:szCs w:val="24"/>
          <w:lang w:val="ro-MD"/>
        </w:rPr>
        <w:t>(5281-124)</w:t>
      </w:r>
      <w:r w:rsidRPr="009E5B39">
        <w:rPr>
          <w:rFonts w:asciiTheme="majorHAnsi" w:hAnsiTheme="majorHAnsi" w:cstheme="majorHAnsi"/>
          <w:bCs/>
          <w:sz w:val="24"/>
          <w:szCs w:val="24"/>
          <w:lang w:val="ro-MD"/>
        </w:rPr>
        <w:t xml:space="preserve">*2,02 lei per chitanță). </w:t>
      </w:r>
    </w:p>
    <w:p w14:paraId="41985188" w14:textId="551A2740" w:rsidR="00D91A18" w:rsidRPr="009E5B39" w:rsidRDefault="00D91A18" w:rsidP="00EF4BC3">
      <w:pPr>
        <w:pStyle w:val="ListParagraph"/>
        <w:numPr>
          <w:ilvl w:val="0"/>
          <w:numId w:val="35"/>
        </w:numPr>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În mun. Chișinău, în calitate de intermediar al decontărilor, activează ÎM „I</w:t>
      </w:r>
      <w:r w:rsidR="003B7B77" w:rsidRPr="009E5B39">
        <w:rPr>
          <w:rFonts w:asciiTheme="majorHAnsi" w:hAnsiTheme="majorHAnsi" w:cstheme="majorHAnsi"/>
          <w:sz w:val="24"/>
          <w:szCs w:val="24"/>
          <w:lang w:val="ro-MD"/>
        </w:rPr>
        <w:t>nfocom</w:t>
      </w:r>
      <w:r w:rsidRPr="009E5B39">
        <w:rPr>
          <w:rFonts w:asciiTheme="majorHAnsi" w:hAnsiTheme="majorHAnsi" w:cstheme="majorHAnsi"/>
          <w:sz w:val="24"/>
          <w:szCs w:val="24"/>
          <w:lang w:val="ro-MD"/>
        </w:rPr>
        <w:t xml:space="preserve">”, care, în numele operatorului sau al gestionarului fondului locativ (în continuare - GFL), asigură, în bază de contract, </w:t>
      </w:r>
      <w:r w:rsidR="00200388" w:rsidRPr="009E5B39">
        <w:rPr>
          <w:rFonts w:asciiTheme="majorHAnsi" w:hAnsiTheme="majorHAnsi" w:cstheme="majorHAnsi"/>
          <w:sz w:val="24"/>
          <w:szCs w:val="24"/>
          <w:lang w:val="ro-MD"/>
        </w:rPr>
        <w:t xml:space="preserve">facturarea și </w:t>
      </w:r>
      <w:r w:rsidRPr="009E5B39">
        <w:rPr>
          <w:rFonts w:asciiTheme="majorHAnsi" w:hAnsiTheme="majorHAnsi" w:cstheme="majorHAnsi"/>
          <w:sz w:val="24"/>
          <w:szCs w:val="24"/>
          <w:lang w:val="ro-MD"/>
        </w:rPr>
        <w:t xml:space="preserve">distribuirea pe apartamente a volumelor de servicii comunale furnizate/prestate, emiterea și expedierea bonurilor de plată, perceperea plăților de la consumatori și transferul acestora operatorilor, informarea consumatorilor privind facturarea și obligațiile de achitare a plăților pentru serviciile consumate. Volumul serviciului facturat în baza contractelor și nedistribuit spre plată consumatorilor rămâne pe seama GFL, care, potrivit prevederilor art.25 alin.(6) din Legea nr.1402 din 24.10.2002, este obligat să-l achite operatorului în mărimea și în termenul indicate în factură. </w:t>
      </w:r>
      <w:r w:rsidRPr="009E5B39">
        <w:rPr>
          <w:rFonts w:asciiTheme="majorHAnsi" w:hAnsiTheme="majorHAnsi" w:cstheme="majorHAnsi"/>
          <w:bCs/>
          <w:sz w:val="24"/>
          <w:szCs w:val="24"/>
          <w:lang w:val="ro-MD"/>
        </w:rPr>
        <w:t>Până la moment, nici prevederile contractului încheiat de către operator cu ÎM „I</w:t>
      </w:r>
      <w:r w:rsidR="003B7B77" w:rsidRPr="009E5B39">
        <w:rPr>
          <w:rFonts w:asciiTheme="majorHAnsi" w:hAnsiTheme="majorHAnsi" w:cstheme="majorHAnsi"/>
          <w:bCs/>
          <w:sz w:val="24"/>
          <w:szCs w:val="24"/>
          <w:lang w:val="ro-MD"/>
        </w:rPr>
        <w:t>nfocom</w:t>
      </w:r>
      <w:r w:rsidRPr="009E5B39">
        <w:rPr>
          <w:rFonts w:asciiTheme="majorHAnsi" w:hAnsiTheme="majorHAnsi" w:cstheme="majorHAnsi"/>
          <w:bCs/>
          <w:sz w:val="24"/>
          <w:szCs w:val="24"/>
          <w:lang w:val="ro-MD"/>
        </w:rPr>
        <w:t xml:space="preserve">” la 01.08.2008 nu au fost modificate, în continuare nefiind stabilită modalitatea de distribuire a diferenței de apă formată din volumul de apă înregistrat la contorul de la branșament (la intrarea în bloc) și cea consumată de locatari potrivit datelor contoarelor/calculată conform normativului </w:t>
      </w:r>
      <w:r w:rsidR="005B0E07" w:rsidRPr="009E5B39">
        <w:rPr>
          <w:rFonts w:asciiTheme="majorHAnsi" w:hAnsiTheme="majorHAnsi" w:cstheme="majorHAnsi"/>
          <w:bCs/>
          <w:sz w:val="24"/>
          <w:szCs w:val="24"/>
          <w:lang w:val="ro-MD"/>
        </w:rPr>
        <w:t xml:space="preserve">stabilit </w:t>
      </w:r>
      <w:r w:rsidRPr="009E5B39">
        <w:rPr>
          <w:rFonts w:asciiTheme="majorHAnsi" w:hAnsiTheme="majorHAnsi" w:cstheme="majorHAnsi"/>
          <w:bCs/>
          <w:sz w:val="24"/>
          <w:szCs w:val="24"/>
          <w:lang w:val="ro-MD"/>
        </w:rPr>
        <w:t>per persoană.</w:t>
      </w:r>
    </w:p>
    <w:p w14:paraId="0B7C95BE" w14:textId="5C1697DE" w:rsidR="00D91A18" w:rsidRPr="009E5B39" w:rsidRDefault="00D91A18" w:rsidP="00EF4BC3">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b/>
          <w:bCs/>
          <w:i/>
          <w:sz w:val="24"/>
          <w:szCs w:val="24"/>
          <w:lang w:val="ro-MD"/>
        </w:rPr>
        <w:t>SA ACC și GFL nu asigură o evidența conformă a volumului de apă consumat de către locatari.</w:t>
      </w:r>
      <w:r w:rsidRPr="009E5B39">
        <w:rPr>
          <w:rFonts w:asciiTheme="majorHAnsi" w:hAnsiTheme="majorHAnsi" w:cstheme="majorHAnsi"/>
          <w:bCs/>
          <w:sz w:val="24"/>
          <w:szCs w:val="24"/>
          <w:lang w:val="ro-MD"/>
        </w:rPr>
        <w:t xml:space="preserve"> Datele contorului de la branșamentul blocului, preluate de către SA ACC, nu întotdeauna coincid cu volumul de apă facturat în baza datelor contoarelor din apartamente și cea calculată conform normativului sanitar per persoană, aceasta poate fi sau mai mare sau mai mică</w:t>
      </w:r>
      <w:r w:rsidR="00536040"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din motivul citirii indicațiilor contoarelor la date diferite, sau consumatorul nu prezintă indicațiile veridice.</w:t>
      </w:r>
      <w:r w:rsidRPr="009E5B39">
        <w:rPr>
          <w:rFonts w:asciiTheme="majorHAnsi" w:hAnsiTheme="majorHAnsi" w:cstheme="majorHAnsi"/>
          <w:sz w:val="24"/>
          <w:szCs w:val="24"/>
          <w:lang w:val="ro-MD"/>
        </w:rPr>
        <w:t xml:space="preserve"> Similar cu anul 2018, în anul 2021 se constată date contradictorii privind volumul de apă nerepartizat consumatorilor. Astfel, potrivit datelor înregistrate de SA A</w:t>
      </w:r>
      <w:r w:rsidR="00536040" w:rsidRPr="009E5B39">
        <w:rPr>
          <w:rFonts w:asciiTheme="majorHAnsi" w:hAnsiTheme="majorHAnsi" w:cstheme="majorHAnsi"/>
          <w:sz w:val="24"/>
          <w:szCs w:val="24"/>
          <w:lang w:val="ro-MD"/>
        </w:rPr>
        <w:t xml:space="preserve">pă </w:t>
      </w:r>
      <w:r w:rsidRPr="009E5B39">
        <w:rPr>
          <w:rFonts w:asciiTheme="majorHAnsi" w:hAnsiTheme="majorHAnsi" w:cstheme="majorHAnsi"/>
          <w:sz w:val="24"/>
          <w:szCs w:val="24"/>
          <w:lang w:val="ro-MD"/>
        </w:rPr>
        <w:t>C</w:t>
      </w:r>
      <w:r w:rsidR="00536040" w:rsidRPr="009E5B39">
        <w:rPr>
          <w:rFonts w:asciiTheme="majorHAnsi" w:hAnsiTheme="majorHAnsi" w:cstheme="majorHAnsi"/>
          <w:sz w:val="24"/>
          <w:szCs w:val="24"/>
          <w:lang w:val="ro-MD"/>
        </w:rPr>
        <w:t>anal</w:t>
      </w:r>
      <w:r w:rsidRPr="009E5B39">
        <w:rPr>
          <w:rFonts w:asciiTheme="majorHAnsi" w:hAnsiTheme="majorHAnsi" w:cstheme="majorHAnsi"/>
          <w:sz w:val="24"/>
          <w:szCs w:val="24"/>
          <w:lang w:val="ro-MD"/>
        </w:rPr>
        <w:t xml:space="preserve"> Chișinău, în anul 2021, </w:t>
      </w:r>
      <w:r w:rsidRPr="009E5B39">
        <w:rPr>
          <w:rFonts w:asciiTheme="majorHAnsi" w:eastAsia="Times New Roman" w:hAnsiTheme="majorHAnsi" w:cstheme="majorHAnsi"/>
          <w:sz w:val="24"/>
          <w:szCs w:val="24"/>
          <w:lang w:val="ro-MD"/>
        </w:rPr>
        <w:t xml:space="preserve">volumul de apă nerepartizat a constituit </w:t>
      </w:r>
      <w:r w:rsidRPr="009E5B39">
        <w:rPr>
          <w:rFonts w:asciiTheme="majorHAnsi" w:eastAsia="Times New Roman" w:hAnsiTheme="majorHAnsi" w:cstheme="majorHAnsi"/>
          <w:b/>
          <w:sz w:val="24"/>
          <w:szCs w:val="24"/>
          <w:lang w:val="ro-MD"/>
        </w:rPr>
        <w:t>1413,1 mii m</w:t>
      </w:r>
      <w:r w:rsidRPr="009E5B39">
        <w:rPr>
          <w:rFonts w:asciiTheme="majorHAnsi" w:eastAsia="Times New Roman" w:hAnsiTheme="majorHAnsi" w:cstheme="majorHAnsi"/>
          <w:b/>
          <w:sz w:val="24"/>
          <w:szCs w:val="24"/>
          <w:vertAlign w:val="superscript"/>
          <w:lang w:val="ro-MD"/>
        </w:rPr>
        <w:t>3</w:t>
      </w:r>
      <w:r w:rsidRPr="009E5B39">
        <w:rPr>
          <w:rFonts w:asciiTheme="majorHAnsi" w:eastAsia="Times New Roman" w:hAnsiTheme="majorHAnsi" w:cstheme="majorHAnsi"/>
          <w:sz w:val="24"/>
          <w:szCs w:val="24"/>
          <w:lang w:val="ro-MD"/>
        </w:rPr>
        <w:t xml:space="preserve">, în valoare de </w:t>
      </w:r>
      <w:r w:rsidRPr="009E5B39">
        <w:rPr>
          <w:rFonts w:asciiTheme="majorHAnsi" w:eastAsia="Times New Roman" w:hAnsiTheme="majorHAnsi" w:cstheme="majorHAnsi"/>
          <w:b/>
          <w:sz w:val="24"/>
          <w:szCs w:val="24"/>
          <w:lang w:val="ro-MD"/>
        </w:rPr>
        <w:t>15,1 mil. lei</w:t>
      </w:r>
      <w:r w:rsidRPr="009E5B39">
        <w:rPr>
          <w:rFonts w:asciiTheme="majorHAnsi" w:eastAsia="Times New Roman" w:hAnsiTheme="majorHAnsi" w:cstheme="majorHAnsi"/>
          <w:sz w:val="24"/>
          <w:szCs w:val="24"/>
          <w:lang w:val="ro-MD"/>
        </w:rPr>
        <w:t>, iar conform datelor ÎM „I</w:t>
      </w:r>
      <w:r w:rsidR="003B7B77" w:rsidRPr="009E5B39">
        <w:rPr>
          <w:rFonts w:asciiTheme="majorHAnsi" w:eastAsia="Times New Roman" w:hAnsiTheme="majorHAnsi" w:cstheme="majorHAnsi"/>
          <w:sz w:val="24"/>
          <w:szCs w:val="24"/>
          <w:lang w:val="ro-MD"/>
        </w:rPr>
        <w:t>nfocom</w:t>
      </w:r>
      <w:r w:rsidRPr="009E5B39">
        <w:rPr>
          <w:rFonts w:asciiTheme="majorHAnsi" w:eastAsia="Times New Roman" w:hAnsiTheme="majorHAnsi" w:cstheme="majorHAnsi"/>
          <w:sz w:val="24"/>
          <w:szCs w:val="24"/>
          <w:lang w:val="ro-MD"/>
        </w:rPr>
        <w:t xml:space="preserve">” – volumul de apă nerepartizat este de </w:t>
      </w:r>
      <w:r w:rsidRPr="009E5B39">
        <w:rPr>
          <w:rFonts w:asciiTheme="majorHAnsi" w:eastAsia="Times New Roman" w:hAnsiTheme="majorHAnsi" w:cstheme="majorHAnsi"/>
          <w:b/>
          <w:sz w:val="24"/>
          <w:szCs w:val="24"/>
          <w:lang w:val="ro-MD"/>
        </w:rPr>
        <w:t>1011,9 mii m</w:t>
      </w:r>
      <w:r w:rsidRPr="009E5B39">
        <w:rPr>
          <w:rFonts w:asciiTheme="majorHAnsi" w:eastAsia="Times New Roman" w:hAnsiTheme="majorHAnsi" w:cstheme="majorHAnsi"/>
          <w:b/>
          <w:sz w:val="24"/>
          <w:szCs w:val="24"/>
          <w:vertAlign w:val="superscript"/>
          <w:lang w:val="ro-MD"/>
        </w:rPr>
        <w:t>3</w:t>
      </w:r>
      <w:r w:rsidRPr="009E5B39">
        <w:rPr>
          <w:rFonts w:asciiTheme="majorHAnsi" w:eastAsia="Times New Roman" w:hAnsiTheme="majorHAnsi" w:cstheme="majorHAnsi"/>
          <w:sz w:val="24"/>
          <w:szCs w:val="24"/>
          <w:vertAlign w:val="superscript"/>
          <w:lang w:val="ro-MD"/>
        </w:rPr>
        <w:t xml:space="preserve">  </w:t>
      </w:r>
      <w:r w:rsidR="00536040" w:rsidRPr="009E5B39">
        <w:rPr>
          <w:rFonts w:asciiTheme="majorHAnsi" w:eastAsia="Times New Roman" w:hAnsiTheme="majorHAnsi" w:cstheme="majorHAnsi"/>
          <w:sz w:val="24"/>
          <w:szCs w:val="24"/>
          <w:lang w:val="ro-MD"/>
        </w:rPr>
        <w:t>, î</w:t>
      </w:r>
      <w:r w:rsidRPr="009E5B39">
        <w:rPr>
          <w:rFonts w:asciiTheme="majorHAnsi" w:eastAsia="Times New Roman" w:hAnsiTheme="majorHAnsi" w:cstheme="majorHAnsi"/>
          <w:sz w:val="24"/>
          <w:szCs w:val="24"/>
          <w:lang w:val="ro-MD"/>
        </w:rPr>
        <w:t xml:space="preserve">n valoare de </w:t>
      </w:r>
      <w:r w:rsidRPr="009E5B39">
        <w:rPr>
          <w:rFonts w:asciiTheme="majorHAnsi" w:eastAsia="Times New Roman" w:hAnsiTheme="majorHAnsi" w:cstheme="majorHAnsi"/>
          <w:b/>
          <w:sz w:val="24"/>
          <w:szCs w:val="24"/>
          <w:lang w:val="ro-MD"/>
        </w:rPr>
        <w:t>10,8 mil. lei</w:t>
      </w:r>
      <w:r w:rsidRPr="009E5B39">
        <w:rPr>
          <w:rFonts w:asciiTheme="majorHAnsi" w:eastAsia="Times New Roman" w:hAnsiTheme="majorHAnsi" w:cstheme="majorHAnsi"/>
          <w:sz w:val="24"/>
          <w:szCs w:val="24"/>
          <w:lang w:val="ro-MD"/>
        </w:rPr>
        <w:t xml:space="preserve">. </w:t>
      </w:r>
      <w:r w:rsidRPr="009E5B39">
        <w:rPr>
          <w:rFonts w:asciiTheme="majorHAnsi" w:hAnsiTheme="majorHAnsi" w:cstheme="majorHAnsi"/>
          <w:sz w:val="24"/>
          <w:szCs w:val="24"/>
          <w:lang w:val="ro-MD"/>
        </w:rPr>
        <w:t>Divergențele constatate nu sunt explicate de nicio entitate.</w:t>
      </w:r>
    </w:p>
    <w:p w14:paraId="206840C9" w14:textId="5B12EAD3" w:rsidR="0016339A" w:rsidRPr="009E5B39" w:rsidRDefault="00D91A18" w:rsidP="00EF4BC3">
      <w:pPr>
        <w:spacing w:after="0" w:line="276" w:lineRule="auto"/>
        <w:ind w:firstLine="709"/>
        <w:jc w:val="both"/>
        <w:rPr>
          <w:rFonts w:asciiTheme="majorHAnsi" w:eastAsia="Times New Roman" w:hAnsiTheme="majorHAnsi" w:cstheme="majorHAnsi"/>
          <w:bCs/>
          <w:sz w:val="24"/>
          <w:szCs w:val="24"/>
          <w:lang w:val="ro-MD"/>
        </w:rPr>
      </w:pPr>
      <w:r w:rsidRPr="009E5B39">
        <w:rPr>
          <w:rFonts w:asciiTheme="majorHAnsi" w:eastAsia="Times New Roman" w:hAnsiTheme="majorHAnsi" w:cstheme="majorHAnsi"/>
          <w:bCs/>
          <w:sz w:val="24"/>
          <w:szCs w:val="24"/>
          <w:lang w:val="ro-MD"/>
        </w:rPr>
        <w:t xml:space="preserve">Operatorul nu cunoaște volumul efectiv al apei potabile și </w:t>
      </w:r>
      <w:r w:rsidR="00536040" w:rsidRPr="009E5B39">
        <w:rPr>
          <w:rFonts w:asciiTheme="majorHAnsi" w:eastAsia="Times New Roman" w:hAnsiTheme="majorHAnsi" w:cstheme="majorHAnsi"/>
          <w:bCs/>
          <w:sz w:val="24"/>
          <w:szCs w:val="24"/>
          <w:lang w:val="ro-MD"/>
        </w:rPr>
        <w:t xml:space="preserve">al </w:t>
      </w:r>
      <w:r w:rsidRPr="009E5B39">
        <w:rPr>
          <w:rFonts w:asciiTheme="majorHAnsi" w:eastAsia="Times New Roman" w:hAnsiTheme="majorHAnsi" w:cstheme="majorHAnsi"/>
          <w:bCs/>
          <w:sz w:val="24"/>
          <w:szCs w:val="24"/>
          <w:lang w:val="ro-MD"/>
        </w:rPr>
        <w:t>celei menajere</w:t>
      </w:r>
      <w:r w:rsidRPr="009E5B39">
        <w:rPr>
          <w:rStyle w:val="FootnoteReference"/>
          <w:rFonts w:asciiTheme="majorHAnsi" w:eastAsia="Times New Roman" w:hAnsiTheme="majorHAnsi" w:cstheme="majorHAnsi"/>
          <w:bCs/>
          <w:sz w:val="24"/>
          <w:szCs w:val="24"/>
          <w:lang w:val="ro-MD"/>
        </w:rPr>
        <w:footnoteReference w:id="235"/>
      </w:r>
      <w:r w:rsidRPr="009E5B39">
        <w:rPr>
          <w:rFonts w:asciiTheme="majorHAnsi" w:eastAsia="Times New Roman" w:hAnsiTheme="majorHAnsi" w:cstheme="majorHAnsi"/>
          <w:bCs/>
          <w:sz w:val="24"/>
          <w:szCs w:val="24"/>
          <w:lang w:val="ro-MD"/>
        </w:rPr>
        <w:t>, livrate în blocurile locative necontorizate. Volumul de apă livrat este determinat prin sumarea apei consumate, conform datelor contoarelor individuale, și volumului consumat, conform normativului per persoană stabilit pentru consumatorii necontorizați.</w:t>
      </w:r>
    </w:p>
    <w:p w14:paraId="64595ABF" w14:textId="796C0C7B" w:rsidR="00D91A18" w:rsidRPr="009E5B39" w:rsidRDefault="00D91A18" w:rsidP="00EF4BC3">
      <w:pPr>
        <w:spacing w:after="0" w:line="276" w:lineRule="auto"/>
        <w:ind w:firstLine="540"/>
        <w:jc w:val="both"/>
        <w:rPr>
          <w:rFonts w:asciiTheme="majorHAnsi" w:eastAsia="Times New Roman" w:hAnsiTheme="majorHAnsi" w:cstheme="majorHAnsi"/>
          <w:bCs/>
          <w:sz w:val="24"/>
          <w:szCs w:val="24"/>
          <w:lang w:val="ro-MD"/>
        </w:rPr>
      </w:pPr>
      <w:r w:rsidRPr="009E5B39">
        <w:rPr>
          <w:rFonts w:asciiTheme="majorHAnsi" w:eastAsia="Times New Roman" w:hAnsiTheme="majorHAnsi" w:cstheme="majorHAnsi"/>
          <w:bCs/>
          <w:sz w:val="24"/>
          <w:szCs w:val="24"/>
          <w:lang w:val="ro-MD"/>
        </w:rPr>
        <w:t>De menționat că datoriile înregistrate de către consumatorii casnici ai serviciului de aprovizionare cu apă și de canalizare nu sunt înregistrate în evidența contabilă nici la operator, nici la ÎM „I</w:t>
      </w:r>
      <w:r w:rsidR="003B7B77" w:rsidRPr="009E5B39">
        <w:rPr>
          <w:rFonts w:asciiTheme="majorHAnsi" w:eastAsia="Times New Roman" w:hAnsiTheme="majorHAnsi" w:cstheme="majorHAnsi"/>
          <w:bCs/>
          <w:sz w:val="24"/>
          <w:szCs w:val="24"/>
          <w:lang w:val="ro-MD"/>
        </w:rPr>
        <w:t>n</w:t>
      </w:r>
      <w:r w:rsidR="00F3640D" w:rsidRPr="009E5B39">
        <w:rPr>
          <w:rFonts w:asciiTheme="majorHAnsi" w:eastAsia="Times New Roman" w:hAnsiTheme="majorHAnsi" w:cstheme="majorHAnsi"/>
          <w:bCs/>
          <w:sz w:val="24"/>
          <w:szCs w:val="24"/>
          <w:lang w:val="ro-MD"/>
        </w:rPr>
        <w:t>f</w:t>
      </w:r>
      <w:r w:rsidR="003B7B77" w:rsidRPr="009E5B39">
        <w:rPr>
          <w:rFonts w:asciiTheme="majorHAnsi" w:eastAsia="Times New Roman" w:hAnsiTheme="majorHAnsi" w:cstheme="majorHAnsi"/>
          <w:bCs/>
          <w:sz w:val="24"/>
          <w:szCs w:val="24"/>
          <w:lang w:val="ro-MD"/>
        </w:rPr>
        <w:t>ocom</w:t>
      </w:r>
      <w:r w:rsidRPr="009E5B39">
        <w:rPr>
          <w:rFonts w:asciiTheme="majorHAnsi" w:eastAsia="Times New Roman" w:hAnsiTheme="majorHAnsi" w:cstheme="majorHAnsi"/>
          <w:bCs/>
          <w:sz w:val="24"/>
          <w:szCs w:val="24"/>
          <w:lang w:val="ro-MD"/>
        </w:rPr>
        <w:t xml:space="preserve">” și nici la ÎMGFL. Auditul a </w:t>
      </w:r>
      <w:r w:rsidR="00530C80" w:rsidRPr="009E5B39">
        <w:rPr>
          <w:rFonts w:asciiTheme="majorHAnsi" w:eastAsia="Times New Roman" w:hAnsiTheme="majorHAnsi" w:cstheme="majorHAnsi"/>
          <w:bCs/>
          <w:sz w:val="24"/>
          <w:szCs w:val="24"/>
          <w:lang w:val="ro-MD"/>
        </w:rPr>
        <w:t>constatat</w:t>
      </w:r>
      <w:r w:rsidRPr="009E5B39">
        <w:rPr>
          <w:rFonts w:asciiTheme="majorHAnsi" w:eastAsia="Times New Roman" w:hAnsiTheme="majorHAnsi" w:cstheme="majorHAnsi"/>
          <w:bCs/>
          <w:sz w:val="24"/>
          <w:szCs w:val="24"/>
          <w:lang w:val="ro-MD"/>
        </w:rPr>
        <w:t xml:space="preserve"> divergențe dintre soldul creanțelor înregistrate de către consumatorii casnici la finele lunii și soldul înregistrat la începutul lunii </w:t>
      </w:r>
      <w:r w:rsidR="00F3640D" w:rsidRPr="009E5B39">
        <w:rPr>
          <w:rFonts w:asciiTheme="majorHAnsi" w:eastAsia="Times New Roman" w:hAnsiTheme="majorHAnsi" w:cstheme="majorHAnsi"/>
          <w:bCs/>
          <w:sz w:val="24"/>
          <w:szCs w:val="24"/>
          <w:lang w:val="ro-MD"/>
        </w:rPr>
        <w:t>următoare</w:t>
      </w:r>
      <w:r w:rsidRPr="009E5B39">
        <w:rPr>
          <w:rFonts w:asciiTheme="majorHAnsi" w:eastAsia="Times New Roman" w:hAnsiTheme="majorHAnsi" w:cstheme="majorHAnsi"/>
          <w:bCs/>
          <w:sz w:val="24"/>
          <w:szCs w:val="24"/>
          <w:lang w:val="ro-MD"/>
        </w:rPr>
        <w:t xml:space="preserve">, ceea ce reduce credibilitatea </w:t>
      </w:r>
      <w:r w:rsidRPr="009E5B39">
        <w:rPr>
          <w:rFonts w:asciiTheme="majorHAnsi" w:eastAsia="Times New Roman" w:hAnsiTheme="majorHAnsi" w:cstheme="majorHAnsi"/>
          <w:sz w:val="24"/>
          <w:szCs w:val="24"/>
          <w:lang w:val="ro-MD"/>
        </w:rPr>
        <w:t>ÎM „I</w:t>
      </w:r>
      <w:r w:rsidR="003B7B77" w:rsidRPr="009E5B39">
        <w:rPr>
          <w:rFonts w:asciiTheme="majorHAnsi" w:eastAsia="Times New Roman" w:hAnsiTheme="majorHAnsi" w:cstheme="majorHAnsi"/>
          <w:sz w:val="24"/>
          <w:szCs w:val="24"/>
          <w:lang w:val="ro-MD"/>
        </w:rPr>
        <w:t>nfocom</w:t>
      </w:r>
      <w:r w:rsidRPr="009E5B39">
        <w:rPr>
          <w:rFonts w:asciiTheme="majorHAnsi" w:eastAsia="Times New Roman" w:hAnsiTheme="majorHAnsi" w:cstheme="majorHAnsi"/>
          <w:sz w:val="24"/>
          <w:szCs w:val="24"/>
          <w:lang w:val="ro-MD"/>
        </w:rPr>
        <w:t>”</w:t>
      </w:r>
      <w:r w:rsidR="00530C80"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w:t>
      </w:r>
      <w:r w:rsidR="00530C80" w:rsidRPr="009E5B39">
        <w:rPr>
          <w:rFonts w:asciiTheme="majorHAnsi" w:eastAsia="Times New Roman" w:hAnsiTheme="majorHAnsi" w:cstheme="majorHAnsi"/>
          <w:sz w:val="24"/>
          <w:szCs w:val="24"/>
          <w:lang w:val="ro-MD"/>
        </w:rPr>
        <w:t>precum</w:t>
      </w:r>
      <w:r w:rsidRPr="009E5B39">
        <w:rPr>
          <w:rFonts w:asciiTheme="majorHAnsi" w:eastAsia="Times New Roman" w:hAnsiTheme="majorHAnsi" w:cstheme="majorHAnsi"/>
          <w:sz w:val="24"/>
          <w:szCs w:val="24"/>
          <w:lang w:val="ro-MD"/>
        </w:rPr>
        <w:t xml:space="preserve"> și a SA A</w:t>
      </w:r>
      <w:r w:rsidR="00530C80" w:rsidRPr="009E5B39">
        <w:rPr>
          <w:rFonts w:asciiTheme="majorHAnsi" w:eastAsia="Times New Roman" w:hAnsiTheme="majorHAnsi" w:cstheme="majorHAnsi"/>
          <w:sz w:val="24"/>
          <w:szCs w:val="24"/>
          <w:lang w:val="ro-MD"/>
        </w:rPr>
        <w:t xml:space="preserve">pă </w:t>
      </w:r>
      <w:r w:rsidRPr="009E5B39">
        <w:rPr>
          <w:rFonts w:asciiTheme="majorHAnsi" w:eastAsia="Times New Roman" w:hAnsiTheme="majorHAnsi" w:cstheme="majorHAnsi"/>
          <w:sz w:val="24"/>
          <w:szCs w:val="24"/>
          <w:lang w:val="ro-MD"/>
        </w:rPr>
        <w:t>C</w:t>
      </w:r>
      <w:r w:rsidR="00530C80" w:rsidRPr="009E5B39">
        <w:rPr>
          <w:rFonts w:asciiTheme="majorHAnsi" w:eastAsia="Times New Roman" w:hAnsiTheme="majorHAnsi" w:cstheme="majorHAnsi"/>
          <w:sz w:val="24"/>
          <w:szCs w:val="24"/>
          <w:lang w:val="ro-MD"/>
        </w:rPr>
        <w:t>anal</w:t>
      </w:r>
      <w:r w:rsidRPr="009E5B39">
        <w:rPr>
          <w:rFonts w:asciiTheme="majorHAnsi" w:eastAsia="Times New Roman" w:hAnsiTheme="majorHAnsi" w:cstheme="majorHAnsi"/>
          <w:sz w:val="24"/>
          <w:szCs w:val="24"/>
          <w:lang w:val="ro-MD"/>
        </w:rPr>
        <w:t xml:space="preserve"> Chișinău în relația cu consumatorul. Astfel,  creanțele consumatorilor casnici, care, conform datelor ÎM „I</w:t>
      </w:r>
      <w:r w:rsidR="003B7B77" w:rsidRPr="009E5B39">
        <w:rPr>
          <w:rFonts w:asciiTheme="majorHAnsi" w:eastAsia="Times New Roman" w:hAnsiTheme="majorHAnsi" w:cstheme="majorHAnsi"/>
          <w:sz w:val="24"/>
          <w:szCs w:val="24"/>
          <w:lang w:val="ro-MD"/>
        </w:rPr>
        <w:t>nfocom</w:t>
      </w:r>
      <w:r w:rsidRPr="009E5B39">
        <w:rPr>
          <w:rFonts w:asciiTheme="majorHAnsi" w:eastAsia="Times New Roman" w:hAnsiTheme="majorHAnsi" w:cstheme="majorHAnsi"/>
          <w:sz w:val="24"/>
          <w:szCs w:val="24"/>
          <w:lang w:val="ro-MD"/>
        </w:rPr>
        <w:t>”, la 31.12.2021</w:t>
      </w:r>
      <w:r w:rsidR="00530C80"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constituiau </w:t>
      </w:r>
      <w:r w:rsidRPr="009E5B39">
        <w:rPr>
          <w:rFonts w:asciiTheme="majorHAnsi" w:eastAsia="Times New Roman" w:hAnsiTheme="majorHAnsi" w:cstheme="majorHAnsi"/>
          <w:b/>
          <w:sz w:val="24"/>
          <w:szCs w:val="24"/>
          <w:lang w:val="ro-MD"/>
        </w:rPr>
        <w:t>68</w:t>
      </w:r>
      <w:r w:rsidR="00931B79" w:rsidRPr="009E5B39">
        <w:rPr>
          <w:rFonts w:asciiTheme="majorHAnsi" w:eastAsia="Times New Roman" w:hAnsiTheme="majorHAnsi" w:cstheme="majorHAnsi"/>
          <w:b/>
          <w:sz w:val="24"/>
          <w:szCs w:val="24"/>
          <w:lang w:val="ro-MD"/>
        </w:rPr>
        <w:t>,</w:t>
      </w:r>
      <w:r w:rsidRPr="009E5B39">
        <w:rPr>
          <w:rFonts w:asciiTheme="majorHAnsi" w:eastAsia="Times New Roman" w:hAnsiTheme="majorHAnsi" w:cstheme="majorHAnsi"/>
          <w:b/>
          <w:sz w:val="24"/>
          <w:szCs w:val="24"/>
          <w:lang w:val="ro-MD"/>
        </w:rPr>
        <w:t>79</w:t>
      </w:r>
      <w:r w:rsidRPr="009E5B39">
        <w:rPr>
          <w:rFonts w:asciiTheme="majorHAnsi" w:eastAsia="Times New Roman" w:hAnsiTheme="majorHAnsi" w:cstheme="majorHAnsi"/>
          <w:sz w:val="24"/>
          <w:szCs w:val="24"/>
          <w:lang w:val="ro-MD"/>
        </w:rPr>
        <w:t xml:space="preserve"> mi</w:t>
      </w:r>
      <w:r w:rsidR="00931B79" w:rsidRPr="009E5B39">
        <w:rPr>
          <w:rFonts w:asciiTheme="majorHAnsi" w:eastAsia="Times New Roman" w:hAnsiTheme="majorHAnsi" w:cstheme="majorHAnsi"/>
          <w:sz w:val="24"/>
          <w:szCs w:val="24"/>
          <w:lang w:val="ro-MD"/>
        </w:rPr>
        <w:t>l</w:t>
      </w:r>
      <w:r w:rsidR="00530C80"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lei, reprezintă o valoare aproximativă</w:t>
      </w:r>
      <w:r w:rsidR="00530C80"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și nu exactă, deoarece datoria reflectată de către ÎM „I</w:t>
      </w:r>
      <w:r w:rsidR="003B7B77" w:rsidRPr="009E5B39">
        <w:rPr>
          <w:rFonts w:asciiTheme="majorHAnsi" w:eastAsia="Times New Roman" w:hAnsiTheme="majorHAnsi" w:cstheme="majorHAnsi"/>
          <w:sz w:val="24"/>
          <w:szCs w:val="24"/>
          <w:lang w:val="ro-MD"/>
        </w:rPr>
        <w:t>nfocom</w:t>
      </w:r>
      <w:r w:rsidRPr="009E5B39">
        <w:rPr>
          <w:rFonts w:asciiTheme="majorHAnsi" w:eastAsia="Times New Roman" w:hAnsiTheme="majorHAnsi" w:cstheme="majorHAnsi"/>
          <w:sz w:val="24"/>
          <w:szCs w:val="24"/>
          <w:lang w:val="ro-MD"/>
        </w:rPr>
        <w:t xml:space="preserve">” este cu </w:t>
      </w:r>
      <w:r w:rsidRPr="009E5B39">
        <w:rPr>
          <w:rFonts w:asciiTheme="majorHAnsi" w:eastAsia="Times New Roman" w:hAnsiTheme="majorHAnsi" w:cstheme="majorHAnsi"/>
          <w:b/>
          <w:i/>
          <w:sz w:val="24"/>
          <w:szCs w:val="24"/>
          <w:lang w:val="ro-MD"/>
        </w:rPr>
        <w:t>156</w:t>
      </w:r>
      <w:r w:rsidR="00931B79" w:rsidRPr="009E5B39">
        <w:rPr>
          <w:rFonts w:asciiTheme="majorHAnsi" w:eastAsia="Times New Roman" w:hAnsiTheme="majorHAnsi" w:cstheme="majorHAnsi"/>
          <w:b/>
          <w:i/>
          <w:sz w:val="24"/>
          <w:szCs w:val="24"/>
          <w:lang w:val="ro-MD"/>
        </w:rPr>
        <w:t>,</w:t>
      </w:r>
      <w:r w:rsidRPr="009E5B39">
        <w:rPr>
          <w:rFonts w:asciiTheme="majorHAnsi" w:eastAsia="Times New Roman" w:hAnsiTheme="majorHAnsi" w:cstheme="majorHAnsi"/>
          <w:b/>
          <w:i/>
          <w:sz w:val="24"/>
          <w:szCs w:val="24"/>
          <w:lang w:val="ro-MD"/>
        </w:rPr>
        <w:t>3</w:t>
      </w:r>
      <w:r w:rsidR="00931B79" w:rsidRPr="009E5B39">
        <w:rPr>
          <w:rFonts w:asciiTheme="majorHAnsi" w:eastAsia="Times New Roman" w:hAnsiTheme="majorHAnsi" w:cstheme="majorHAnsi"/>
          <w:b/>
          <w:i/>
          <w:sz w:val="24"/>
          <w:szCs w:val="24"/>
          <w:lang w:val="ro-MD"/>
        </w:rPr>
        <w:t>1</w:t>
      </w:r>
      <w:r w:rsidR="00530C80" w:rsidRPr="009E5B39">
        <w:rPr>
          <w:rFonts w:asciiTheme="majorHAnsi" w:eastAsia="Times New Roman" w:hAnsiTheme="majorHAnsi" w:cstheme="majorHAnsi"/>
          <w:b/>
          <w:i/>
          <w:sz w:val="24"/>
          <w:szCs w:val="24"/>
          <w:lang w:val="ro-MD"/>
        </w:rPr>
        <w:t xml:space="preserve"> </w:t>
      </w:r>
      <w:r w:rsidR="00931B79" w:rsidRPr="009E5B39">
        <w:rPr>
          <w:rFonts w:asciiTheme="majorHAnsi" w:eastAsia="Times New Roman" w:hAnsiTheme="majorHAnsi" w:cstheme="majorHAnsi"/>
          <w:b/>
          <w:i/>
          <w:sz w:val="24"/>
          <w:szCs w:val="24"/>
          <w:lang w:val="ro-MD"/>
        </w:rPr>
        <w:t>mii</w:t>
      </w:r>
      <w:r w:rsidRPr="009E5B39">
        <w:rPr>
          <w:rFonts w:asciiTheme="majorHAnsi" w:eastAsia="Times New Roman" w:hAnsiTheme="majorHAnsi" w:cstheme="majorHAnsi"/>
          <w:b/>
          <w:i/>
          <w:sz w:val="24"/>
          <w:szCs w:val="24"/>
          <w:lang w:val="ro-MD"/>
        </w:rPr>
        <w:t xml:space="preserve"> lei</w:t>
      </w:r>
      <w:r w:rsidRPr="009E5B39">
        <w:rPr>
          <w:rFonts w:asciiTheme="majorHAnsi" w:eastAsia="Times New Roman" w:hAnsiTheme="majorHAnsi" w:cstheme="majorHAnsi"/>
          <w:sz w:val="24"/>
          <w:szCs w:val="24"/>
          <w:vertAlign w:val="superscript"/>
          <w:lang w:val="ro-MD"/>
        </w:rPr>
        <w:footnoteReference w:id="236"/>
      </w:r>
      <w:r w:rsidRPr="009E5B39">
        <w:rPr>
          <w:rFonts w:asciiTheme="majorHAnsi" w:eastAsia="Times New Roman" w:hAnsiTheme="majorHAnsi" w:cstheme="majorHAnsi"/>
          <w:sz w:val="24"/>
          <w:szCs w:val="24"/>
          <w:lang w:val="ro-MD"/>
        </w:rPr>
        <w:t xml:space="preserve"> mai mică decât ar fi trebuit să fie. Nici SA ACC nu deține o informație veridică ce ține de valoarea creanțelor consumatorilor casnici</w:t>
      </w:r>
      <w:r w:rsidR="00133658" w:rsidRPr="009E5B39">
        <w:rPr>
          <w:rFonts w:asciiTheme="majorHAnsi" w:eastAsia="Times New Roman" w:hAnsiTheme="majorHAnsi" w:cstheme="majorHAnsi"/>
          <w:sz w:val="24"/>
          <w:szCs w:val="24"/>
          <w:lang w:val="ro-MD"/>
        </w:rPr>
        <w:t xml:space="preserve">. Conform datelor SA ACC </w:t>
      </w:r>
      <w:r w:rsidRPr="009E5B39">
        <w:rPr>
          <w:rFonts w:asciiTheme="majorHAnsi" w:eastAsia="Times New Roman" w:hAnsiTheme="majorHAnsi" w:cstheme="majorHAnsi"/>
          <w:sz w:val="24"/>
          <w:szCs w:val="24"/>
          <w:lang w:val="ro-MD"/>
        </w:rPr>
        <w:t xml:space="preserve">la 31.12.2021, datoria populației pentru serviciul de apă și canalizare constituie </w:t>
      </w:r>
      <w:r w:rsidRPr="009E5B39">
        <w:rPr>
          <w:rFonts w:asciiTheme="majorHAnsi" w:eastAsia="Times New Roman" w:hAnsiTheme="majorHAnsi" w:cstheme="majorHAnsi"/>
          <w:b/>
          <w:sz w:val="24"/>
          <w:szCs w:val="24"/>
          <w:lang w:val="ro-MD"/>
        </w:rPr>
        <w:t>206</w:t>
      </w:r>
      <w:r w:rsidR="00931B79" w:rsidRPr="009E5B39">
        <w:rPr>
          <w:rFonts w:asciiTheme="majorHAnsi" w:eastAsia="Times New Roman" w:hAnsiTheme="majorHAnsi" w:cstheme="majorHAnsi"/>
          <w:b/>
          <w:sz w:val="24"/>
          <w:szCs w:val="24"/>
          <w:lang w:val="ro-MD"/>
        </w:rPr>
        <w:t>,</w:t>
      </w:r>
      <w:r w:rsidRPr="009E5B39">
        <w:rPr>
          <w:rFonts w:asciiTheme="majorHAnsi" w:eastAsia="Times New Roman" w:hAnsiTheme="majorHAnsi" w:cstheme="majorHAnsi"/>
          <w:b/>
          <w:sz w:val="24"/>
          <w:szCs w:val="24"/>
          <w:lang w:val="ro-MD"/>
        </w:rPr>
        <w:t>29</w:t>
      </w:r>
      <w:r w:rsidRPr="009E5B39">
        <w:rPr>
          <w:rFonts w:asciiTheme="majorHAnsi" w:eastAsia="Times New Roman" w:hAnsiTheme="majorHAnsi" w:cstheme="majorHAnsi"/>
          <w:sz w:val="24"/>
          <w:szCs w:val="24"/>
          <w:lang w:val="ro-MD"/>
        </w:rPr>
        <w:t xml:space="preserve"> mi</w:t>
      </w:r>
      <w:r w:rsidR="00931B79" w:rsidRPr="009E5B39">
        <w:rPr>
          <w:rFonts w:asciiTheme="majorHAnsi" w:eastAsia="Times New Roman" w:hAnsiTheme="majorHAnsi" w:cstheme="majorHAnsi"/>
          <w:sz w:val="24"/>
          <w:szCs w:val="24"/>
          <w:lang w:val="ro-MD"/>
        </w:rPr>
        <w:t>l</w:t>
      </w:r>
      <w:r w:rsidR="00530C80"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lei </w:t>
      </w:r>
      <w:r w:rsidR="00133658" w:rsidRPr="009E5B39">
        <w:rPr>
          <w:rFonts w:asciiTheme="majorHAnsi" w:eastAsia="Times New Roman" w:hAnsiTheme="majorHAnsi" w:cstheme="majorHAnsi"/>
          <w:sz w:val="24"/>
          <w:szCs w:val="24"/>
          <w:lang w:val="ro-MD"/>
        </w:rPr>
        <w:t>și</w:t>
      </w:r>
      <w:r w:rsidRPr="009E5B39">
        <w:rPr>
          <w:rFonts w:asciiTheme="majorHAnsi" w:eastAsia="Times New Roman" w:hAnsiTheme="majorHAnsi" w:cstheme="majorHAnsi"/>
          <w:sz w:val="24"/>
          <w:szCs w:val="24"/>
          <w:lang w:val="ro-MD"/>
        </w:rPr>
        <w:t xml:space="preserve"> mai înregistrează plăți în avans în sumă de </w:t>
      </w:r>
      <w:r w:rsidR="00931B79" w:rsidRPr="009E5B39">
        <w:rPr>
          <w:rFonts w:asciiTheme="majorHAnsi" w:eastAsia="Times New Roman" w:hAnsiTheme="majorHAnsi" w:cstheme="majorHAnsi"/>
          <w:b/>
          <w:sz w:val="24"/>
          <w:szCs w:val="24"/>
          <w:lang w:val="ro-MD"/>
        </w:rPr>
        <w:t>0,</w:t>
      </w:r>
      <w:r w:rsidRPr="009E5B39">
        <w:rPr>
          <w:rFonts w:asciiTheme="majorHAnsi" w:eastAsia="Times New Roman" w:hAnsiTheme="majorHAnsi" w:cstheme="majorHAnsi"/>
          <w:b/>
          <w:sz w:val="24"/>
          <w:szCs w:val="24"/>
          <w:lang w:val="ro-MD"/>
        </w:rPr>
        <w:t>68</w:t>
      </w:r>
      <w:r w:rsidRPr="009E5B39">
        <w:rPr>
          <w:rFonts w:asciiTheme="majorHAnsi" w:eastAsia="Times New Roman" w:hAnsiTheme="majorHAnsi" w:cstheme="majorHAnsi"/>
          <w:sz w:val="24"/>
          <w:szCs w:val="24"/>
          <w:lang w:val="ro-MD"/>
        </w:rPr>
        <w:t xml:space="preserve"> mi</w:t>
      </w:r>
      <w:r w:rsidR="00931B79" w:rsidRPr="009E5B39">
        <w:rPr>
          <w:rFonts w:asciiTheme="majorHAnsi" w:eastAsia="Times New Roman" w:hAnsiTheme="majorHAnsi" w:cstheme="majorHAnsi"/>
          <w:sz w:val="24"/>
          <w:szCs w:val="24"/>
          <w:lang w:val="ro-MD"/>
        </w:rPr>
        <w:t>l</w:t>
      </w:r>
      <w:r w:rsidR="00530C80"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lei. </w:t>
      </w:r>
      <w:r w:rsidRPr="009E5B39">
        <w:rPr>
          <w:rFonts w:asciiTheme="majorHAnsi" w:hAnsiTheme="majorHAnsi" w:cstheme="majorHAnsi"/>
          <w:sz w:val="24"/>
          <w:szCs w:val="24"/>
          <w:lang w:val="ro-MD"/>
        </w:rPr>
        <w:t>Menționăm</w:t>
      </w:r>
      <w:r w:rsidR="00530C80"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că informația prezentată de ÎM </w:t>
      </w:r>
      <w:r w:rsidR="003B7B7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Infocom</w:t>
      </w:r>
      <w:r w:rsidR="003B7B7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privire la creanțele populației pentru serviciul de apă și canalizare diferă de informația prezentată de SA ACC. Din 488 de abonați </w:t>
      </w:r>
      <w:r w:rsidR="00133658" w:rsidRPr="009E5B39">
        <w:rPr>
          <w:rFonts w:asciiTheme="majorHAnsi" w:hAnsiTheme="majorHAnsi" w:cstheme="majorHAnsi"/>
          <w:sz w:val="24"/>
          <w:szCs w:val="24"/>
          <w:lang w:val="ro-MD"/>
        </w:rPr>
        <w:t xml:space="preserve">(GFL) </w:t>
      </w:r>
      <w:r w:rsidRPr="009E5B39">
        <w:rPr>
          <w:rFonts w:asciiTheme="majorHAnsi" w:hAnsiTheme="majorHAnsi" w:cstheme="majorHAnsi"/>
          <w:sz w:val="24"/>
          <w:szCs w:val="24"/>
          <w:lang w:val="ro-MD"/>
        </w:rPr>
        <w:t xml:space="preserve">prezentați de IM </w:t>
      </w:r>
      <w:r w:rsidR="003B7B7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Infocom</w:t>
      </w:r>
      <w:r w:rsidR="003B7B77" w:rsidRPr="009E5B39">
        <w:rPr>
          <w:rFonts w:asciiTheme="majorHAnsi" w:hAnsiTheme="majorHAnsi" w:cstheme="majorHAnsi"/>
          <w:sz w:val="24"/>
          <w:szCs w:val="24"/>
          <w:lang w:val="ro-MD"/>
        </w:rPr>
        <w:t>”</w:t>
      </w:r>
      <w:r w:rsidR="00530C8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creanțe pentru serviciul de apă, nici la un abonat nu a coincis suma creanței prezentat</w:t>
      </w:r>
      <w:r w:rsidR="001101AA"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de către SA ACC, astfel </w:t>
      </w:r>
      <w:r w:rsidRPr="009E5B39">
        <w:rPr>
          <w:rFonts w:asciiTheme="majorHAnsi" w:hAnsiTheme="majorHAnsi" w:cstheme="majorHAnsi"/>
          <w:sz w:val="24"/>
          <w:szCs w:val="24"/>
          <w:shd w:val="clear" w:color="auto" w:fill="FFFFFF"/>
          <w:lang w:val="ro-MD"/>
        </w:rPr>
        <w:t xml:space="preserve">creanțele înregistrate de SA ACC pentru unii gestionari sunt mai mari decât creanțele locatarilor apartamentelor respective cu </w:t>
      </w:r>
      <w:r w:rsidRPr="009E5B39">
        <w:rPr>
          <w:rFonts w:asciiTheme="majorHAnsi" w:hAnsiTheme="majorHAnsi" w:cstheme="majorHAnsi"/>
          <w:b/>
          <w:sz w:val="24"/>
          <w:szCs w:val="24"/>
          <w:shd w:val="clear" w:color="auto" w:fill="FFFFFF"/>
          <w:lang w:val="ro-MD"/>
        </w:rPr>
        <w:t>146</w:t>
      </w:r>
      <w:r w:rsidR="00931B79" w:rsidRPr="009E5B39">
        <w:rPr>
          <w:rFonts w:asciiTheme="majorHAnsi" w:hAnsiTheme="majorHAnsi" w:cstheme="majorHAnsi"/>
          <w:b/>
          <w:sz w:val="24"/>
          <w:szCs w:val="24"/>
          <w:shd w:val="clear" w:color="auto" w:fill="FFFFFF"/>
          <w:lang w:val="ro-MD"/>
        </w:rPr>
        <w:t>,</w:t>
      </w:r>
      <w:r w:rsidRPr="009E5B39">
        <w:rPr>
          <w:rFonts w:asciiTheme="majorHAnsi" w:hAnsiTheme="majorHAnsi" w:cstheme="majorHAnsi"/>
          <w:b/>
          <w:sz w:val="24"/>
          <w:szCs w:val="24"/>
          <w:shd w:val="clear" w:color="auto" w:fill="FFFFFF"/>
          <w:lang w:val="ro-MD"/>
        </w:rPr>
        <w:t>9</w:t>
      </w:r>
      <w:r w:rsidR="00931B79" w:rsidRPr="009E5B39">
        <w:rPr>
          <w:rFonts w:asciiTheme="majorHAnsi" w:hAnsiTheme="majorHAnsi" w:cstheme="majorHAnsi"/>
          <w:b/>
          <w:sz w:val="24"/>
          <w:szCs w:val="24"/>
          <w:shd w:val="clear" w:color="auto" w:fill="FFFFFF"/>
          <w:lang w:val="ro-MD"/>
        </w:rPr>
        <w:t>8</w:t>
      </w:r>
      <w:r w:rsidRPr="009E5B39">
        <w:rPr>
          <w:rFonts w:asciiTheme="majorHAnsi" w:hAnsiTheme="majorHAnsi" w:cstheme="majorHAnsi"/>
          <w:sz w:val="24"/>
          <w:szCs w:val="24"/>
          <w:shd w:val="clear" w:color="auto" w:fill="FFFFFF"/>
          <w:lang w:val="ro-MD"/>
        </w:rPr>
        <w:t xml:space="preserve"> </w:t>
      </w:r>
      <w:r w:rsidRPr="009E5B39">
        <w:rPr>
          <w:rFonts w:asciiTheme="majorHAnsi" w:hAnsiTheme="majorHAnsi" w:cstheme="majorHAnsi"/>
          <w:b/>
          <w:sz w:val="24"/>
          <w:szCs w:val="24"/>
          <w:shd w:val="clear" w:color="auto" w:fill="FFFFFF"/>
          <w:lang w:val="ro-MD"/>
        </w:rPr>
        <w:t>mi</w:t>
      </w:r>
      <w:r w:rsidR="00931B79" w:rsidRPr="009E5B39">
        <w:rPr>
          <w:rFonts w:asciiTheme="majorHAnsi" w:hAnsiTheme="majorHAnsi" w:cstheme="majorHAnsi"/>
          <w:b/>
          <w:sz w:val="24"/>
          <w:szCs w:val="24"/>
          <w:shd w:val="clear" w:color="auto" w:fill="FFFFFF"/>
          <w:lang w:val="ro-MD"/>
        </w:rPr>
        <w:t>l</w:t>
      </w:r>
      <w:r w:rsidR="001101AA" w:rsidRPr="009E5B39">
        <w:rPr>
          <w:rFonts w:asciiTheme="majorHAnsi" w:hAnsiTheme="majorHAnsi" w:cstheme="majorHAnsi"/>
          <w:b/>
          <w:sz w:val="24"/>
          <w:szCs w:val="24"/>
          <w:shd w:val="clear" w:color="auto" w:fill="FFFFFF"/>
          <w:lang w:val="ro-MD"/>
        </w:rPr>
        <w:t>.</w:t>
      </w:r>
      <w:r w:rsidRPr="009E5B39">
        <w:rPr>
          <w:rFonts w:asciiTheme="majorHAnsi" w:hAnsiTheme="majorHAnsi" w:cstheme="majorHAnsi"/>
          <w:b/>
          <w:sz w:val="24"/>
          <w:szCs w:val="24"/>
          <w:shd w:val="clear" w:color="auto" w:fill="FFFFFF"/>
          <w:lang w:val="ro-MD"/>
        </w:rPr>
        <w:t xml:space="preserve"> lei,</w:t>
      </w:r>
      <w:r w:rsidRPr="009E5B39">
        <w:rPr>
          <w:rFonts w:asciiTheme="majorHAnsi" w:hAnsiTheme="majorHAnsi" w:cstheme="majorHAnsi"/>
          <w:sz w:val="24"/>
          <w:szCs w:val="24"/>
          <w:shd w:val="clear" w:color="auto" w:fill="FFFFFF"/>
          <w:lang w:val="ro-MD"/>
        </w:rPr>
        <w:t xml:space="preserve"> în timp ce pentru alți gestionari </w:t>
      </w:r>
      <w:r w:rsidR="00824847"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 xml:space="preserve"> sunt mai mici cu </w:t>
      </w:r>
      <w:r w:rsidRPr="009E5B39">
        <w:rPr>
          <w:rFonts w:asciiTheme="majorHAnsi" w:hAnsiTheme="majorHAnsi" w:cstheme="majorHAnsi"/>
          <w:b/>
          <w:sz w:val="24"/>
          <w:szCs w:val="24"/>
          <w:shd w:val="clear" w:color="auto" w:fill="FFFFFF"/>
          <w:lang w:val="ro-MD"/>
        </w:rPr>
        <w:t>3</w:t>
      </w:r>
      <w:r w:rsidR="00931B79" w:rsidRPr="009E5B39">
        <w:rPr>
          <w:rFonts w:asciiTheme="majorHAnsi" w:hAnsiTheme="majorHAnsi" w:cstheme="majorHAnsi"/>
          <w:b/>
          <w:sz w:val="24"/>
          <w:szCs w:val="24"/>
          <w:shd w:val="clear" w:color="auto" w:fill="FFFFFF"/>
          <w:lang w:val="ro-MD"/>
        </w:rPr>
        <w:t>,</w:t>
      </w:r>
      <w:r w:rsidRPr="009E5B39">
        <w:rPr>
          <w:rFonts w:asciiTheme="majorHAnsi" w:hAnsiTheme="majorHAnsi" w:cstheme="majorHAnsi"/>
          <w:b/>
          <w:sz w:val="24"/>
          <w:szCs w:val="24"/>
          <w:shd w:val="clear" w:color="auto" w:fill="FFFFFF"/>
          <w:lang w:val="ro-MD"/>
        </w:rPr>
        <w:t>4</w:t>
      </w:r>
      <w:r w:rsidR="00931B79" w:rsidRPr="009E5B39">
        <w:rPr>
          <w:rFonts w:asciiTheme="majorHAnsi" w:hAnsiTheme="majorHAnsi" w:cstheme="majorHAnsi"/>
          <w:b/>
          <w:sz w:val="24"/>
          <w:szCs w:val="24"/>
          <w:shd w:val="clear" w:color="auto" w:fill="FFFFFF"/>
          <w:lang w:val="ro-MD"/>
        </w:rPr>
        <w:t>4</w:t>
      </w:r>
      <w:r w:rsidRPr="009E5B39">
        <w:rPr>
          <w:rFonts w:asciiTheme="majorHAnsi" w:hAnsiTheme="majorHAnsi" w:cstheme="majorHAnsi"/>
          <w:b/>
          <w:sz w:val="24"/>
          <w:szCs w:val="24"/>
          <w:shd w:val="clear" w:color="auto" w:fill="FFFFFF"/>
          <w:lang w:val="ro-MD"/>
        </w:rPr>
        <w:t xml:space="preserve"> mi</w:t>
      </w:r>
      <w:r w:rsidR="00931B79" w:rsidRPr="009E5B39">
        <w:rPr>
          <w:rFonts w:asciiTheme="majorHAnsi" w:hAnsiTheme="majorHAnsi" w:cstheme="majorHAnsi"/>
          <w:b/>
          <w:sz w:val="24"/>
          <w:szCs w:val="24"/>
          <w:shd w:val="clear" w:color="auto" w:fill="FFFFFF"/>
          <w:lang w:val="ro-MD"/>
        </w:rPr>
        <w:t>l</w:t>
      </w:r>
      <w:r w:rsidR="001101AA" w:rsidRPr="009E5B39">
        <w:rPr>
          <w:rFonts w:asciiTheme="majorHAnsi" w:hAnsiTheme="majorHAnsi" w:cstheme="majorHAnsi"/>
          <w:b/>
          <w:sz w:val="24"/>
          <w:szCs w:val="24"/>
          <w:shd w:val="clear" w:color="auto" w:fill="FFFFFF"/>
          <w:lang w:val="ro-MD"/>
        </w:rPr>
        <w:t>.</w:t>
      </w:r>
      <w:r w:rsidRPr="009E5B39">
        <w:rPr>
          <w:rFonts w:asciiTheme="majorHAnsi" w:hAnsiTheme="majorHAnsi" w:cstheme="majorHAnsi"/>
          <w:b/>
          <w:sz w:val="24"/>
          <w:szCs w:val="24"/>
          <w:shd w:val="clear" w:color="auto" w:fill="FFFFFF"/>
          <w:lang w:val="ro-MD"/>
        </w:rPr>
        <w:t xml:space="preserve"> lei</w:t>
      </w:r>
      <w:r w:rsidRPr="009E5B39">
        <w:rPr>
          <w:rFonts w:asciiTheme="majorHAnsi" w:hAnsiTheme="majorHAnsi" w:cstheme="majorHAnsi"/>
          <w:sz w:val="24"/>
          <w:szCs w:val="24"/>
          <w:shd w:val="clear" w:color="auto" w:fill="FFFFFF"/>
          <w:lang w:val="ro-MD"/>
        </w:rPr>
        <w:t xml:space="preserve">. </w:t>
      </w:r>
      <w:r w:rsidR="001101AA" w:rsidRPr="009E5B39">
        <w:rPr>
          <w:rFonts w:asciiTheme="majorHAnsi" w:hAnsiTheme="majorHAnsi" w:cstheme="majorHAnsi"/>
          <w:sz w:val="24"/>
          <w:szCs w:val="24"/>
          <w:lang w:val="ro-MD"/>
        </w:rPr>
        <w:t>Potrivit</w:t>
      </w:r>
      <w:r w:rsidRPr="009E5B39">
        <w:rPr>
          <w:rFonts w:asciiTheme="majorHAnsi" w:hAnsiTheme="majorHAnsi" w:cstheme="majorHAnsi"/>
          <w:sz w:val="24"/>
          <w:szCs w:val="24"/>
          <w:lang w:val="ro-MD"/>
        </w:rPr>
        <w:t xml:space="preserve"> explicați</w:t>
      </w:r>
      <w:r w:rsidR="001101AA" w:rsidRPr="009E5B39">
        <w:rPr>
          <w:rFonts w:asciiTheme="majorHAnsi" w:hAnsiTheme="majorHAnsi" w:cstheme="majorHAnsi"/>
          <w:sz w:val="24"/>
          <w:szCs w:val="24"/>
          <w:lang w:val="ro-MD"/>
        </w:rPr>
        <w:t>ei</w:t>
      </w:r>
      <w:r w:rsidRPr="009E5B39">
        <w:rPr>
          <w:rFonts w:asciiTheme="majorHAnsi" w:hAnsiTheme="majorHAnsi" w:cstheme="majorHAnsi"/>
          <w:sz w:val="24"/>
          <w:szCs w:val="24"/>
          <w:lang w:val="ro-MD"/>
        </w:rPr>
        <w:t xml:space="preserve"> persoanelor responsabile</w:t>
      </w:r>
      <w:r w:rsidR="001101A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cauza ar fi  diferența  de apă de la indicii contorului de la branșament</w:t>
      </w:r>
      <w:r w:rsidR="001101A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care nu se repartizează pe locatari. Dar sunt cazuri când suma creanței la ÎM </w:t>
      </w:r>
      <w:r w:rsidR="003B7B7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Infocom</w:t>
      </w:r>
      <w:r w:rsidR="003B7B7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este cu mult mai mare decât la SA ACC</w:t>
      </w:r>
      <w:r w:rsidR="00824847" w:rsidRPr="009E5B39">
        <w:rPr>
          <w:rFonts w:asciiTheme="majorHAnsi" w:hAnsiTheme="majorHAnsi" w:cstheme="majorHAnsi"/>
          <w:sz w:val="24"/>
          <w:szCs w:val="24"/>
          <w:lang w:val="ro-MD"/>
        </w:rPr>
        <w:t>. De exemplu</w:t>
      </w:r>
      <w:r w:rsidR="009D16EF" w:rsidRPr="009E5B39">
        <w:rPr>
          <w:rFonts w:asciiTheme="majorHAnsi" w:hAnsiTheme="majorHAnsi" w:cstheme="majorHAnsi"/>
          <w:sz w:val="24"/>
          <w:szCs w:val="24"/>
          <w:lang w:val="ro-MD"/>
        </w:rPr>
        <w:t>,</w:t>
      </w:r>
      <w:r w:rsidR="00133658" w:rsidRPr="009E5B39">
        <w:rPr>
          <w:rFonts w:asciiTheme="majorHAnsi" w:hAnsiTheme="majorHAnsi" w:cstheme="majorHAnsi"/>
          <w:sz w:val="24"/>
          <w:szCs w:val="24"/>
          <w:lang w:val="ro-MD"/>
        </w:rPr>
        <w:t xml:space="preserve"> </w:t>
      </w:r>
      <w:r w:rsidR="001A1A3B" w:rsidRPr="009E5B39">
        <w:rPr>
          <w:rFonts w:asciiTheme="majorHAnsi" w:hAnsiTheme="majorHAnsi" w:cstheme="majorHAnsi"/>
          <w:sz w:val="24"/>
          <w:szCs w:val="24"/>
          <w:lang w:val="ro-MD"/>
        </w:rPr>
        <w:t>pentru</w:t>
      </w:r>
      <w:r w:rsidRPr="009E5B39">
        <w:rPr>
          <w:rFonts w:asciiTheme="majorHAnsi" w:hAnsiTheme="majorHAnsi" w:cstheme="majorHAnsi"/>
          <w:sz w:val="24"/>
          <w:szCs w:val="24"/>
          <w:lang w:val="ro-MD"/>
        </w:rPr>
        <w:t xml:space="preserve"> ACC - 55/249 suma creanței prezentată de ÎM </w:t>
      </w:r>
      <w:r w:rsidR="003B7B7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Infocom</w:t>
      </w:r>
      <w:r w:rsidR="003B7B7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la situația d</w:t>
      </w:r>
      <w:r w:rsidR="009D16EF" w:rsidRPr="009E5B39">
        <w:rPr>
          <w:rFonts w:asciiTheme="majorHAnsi" w:hAnsiTheme="majorHAnsi" w:cstheme="majorHAnsi"/>
          <w:sz w:val="24"/>
          <w:szCs w:val="24"/>
          <w:lang w:val="ro-MD"/>
        </w:rPr>
        <w:t xml:space="preserve">in </w:t>
      </w:r>
      <w:r w:rsidRPr="009E5B39">
        <w:rPr>
          <w:rFonts w:asciiTheme="majorHAnsi" w:hAnsiTheme="majorHAnsi" w:cstheme="majorHAnsi"/>
          <w:sz w:val="24"/>
          <w:szCs w:val="24"/>
          <w:lang w:val="ro-MD"/>
        </w:rPr>
        <w:t xml:space="preserve"> 31.12.2021 este de </w:t>
      </w:r>
      <w:r w:rsidRPr="009E5B39">
        <w:rPr>
          <w:rFonts w:asciiTheme="majorHAnsi" w:eastAsia="Times New Roman" w:hAnsiTheme="majorHAnsi" w:cstheme="majorHAnsi"/>
          <w:sz w:val="24"/>
          <w:szCs w:val="24"/>
          <w:lang w:val="ro-MD"/>
        </w:rPr>
        <w:t>251</w:t>
      </w:r>
      <w:r w:rsidR="00931B79"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91</w:t>
      </w:r>
      <w:r w:rsidR="00931B79" w:rsidRPr="009E5B39">
        <w:rPr>
          <w:rFonts w:asciiTheme="majorHAnsi" w:eastAsia="Times New Roman" w:hAnsiTheme="majorHAnsi" w:cstheme="majorHAnsi"/>
          <w:sz w:val="24"/>
          <w:szCs w:val="24"/>
          <w:lang w:val="ro-MD"/>
        </w:rPr>
        <w:t xml:space="preserve"> mii</w:t>
      </w:r>
      <w:r w:rsidRPr="009E5B39">
        <w:rPr>
          <w:rFonts w:asciiTheme="majorHAnsi" w:eastAsia="Times New Roman" w:hAnsiTheme="majorHAnsi" w:cstheme="majorHAnsi"/>
          <w:sz w:val="24"/>
          <w:szCs w:val="24"/>
          <w:lang w:val="ro-MD"/>
        </w:rPr>
        <w:t xml:space="preserve"> lei, iar din datele prezentate de SA ACC pentru acest abonat este de 33</w:t>
      </w:r>
      <w:r w:rsidR="00931B79"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77</w:t>
      </w:r>
      <w:r w:rsidR="00931B79" w:rsidRPr="009E5B39">
        <w:rPr>
          <w:rFonts w:asciiTheme="majorHAnsi" w:eastAsia="Times New Roman" w:hAnsiTheme="majorHAnsi" w:cstheme="majorHAnsi"/>
          <w:sz w:val="24"/>
          <w:szCs w:val="24"/>
          <w:lang w:val="ro-MD"/>
        </w:rPr>
        <w:t xml:space="preserve"> mii</w:t>
      </w:r>
      <w:r w:rsidRPr="009E5B39">
        <w:rPr>
          <w:rFonts w:asciiTheme="majorHAnsi" w:eastAsia="Times New Roman" w:hAnsiTheme="majorHAnsi" w:cstheme="majorHAnsi"/>
          <w:sz w:val="24"/>
          <w:szCs w:val="24"/>
          <w:lang w:val="ro-MD"/>
        </w:rPr>
        <w:t xml:space="preserve"> lei, atest</w:t>
      </w:r>
      <w:r w:rsidR="001A1A3B" w:rsidRPr="009E5B39">
        <w:rPr>
          <w:rFonts w:asciiTheme="majorHAnsi" w:eastAsia="Times New Roman" w:hAnsiTheme="majorHAnsi" w:cstheme="majorHAnsi"/>
          <w:sz w:val="24"/>
          <w:szCs w:val="24"/>
          <w:lang w:val="ro-MD"/>
        </w:rPr>
        <w:t>â</w:t>
      </w:r>
      <w:r w:rsidR="009D16EF" w:rsidRPr="009E5B39">
        <w:rPr>
          <w:rFonts w:asciiTheme="majorHAnsi" w:eastAsia="Times New Roman" w:hAnsiTheme="majorHAnsi" w:cstheme="majorHAnsi"/>
          <w:sz w:val="24"/>
          <w:szCs w:val="24"/>
          <w:lang w:val="ro-MD"/>
        </w:rPr>
        <w:t>n</w:t>
      </w:r>
      <w:r w:rsidR="001A1A3B" w:rsidRPr="009E5B39">
        <w:rPr>
          <w:rFonts w:asciiTheme="majorHAnsi" w:eastAsia="Times New Roman" w:hAnsiTheme="majorHAnsi" w:cstheme="majorHAnsi"/>
          <w:sz w:val="24"/>
          <w:szCs w:val="24"/>
          <w:lang w:val="ro-MD"/>
        </w:rPr>
        <w:t>du-se</w:t>
      </w:r>
      <w:r w:rsidRPr="009E5B39">
        <w:rPr>
          <w:rFonts w:asciiTheme="majorHAnsi" w:eastAsia="Times New Roman" w:hAnsiTheme="majorHAnsi" w:cstheme="majorHAnsi"/>
          <w:sz w:val="24"/>
          <w:szCs w:val="24"/>
          <w:lang w:val="ro-MD"/>
        </w:rPr>
        <w:t xml:space="preserve"> o diferență de 218</w:t>
      </w:r>
      <w:r w:rsidR="00931B79"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14 </w:t>
      </w:r>
      <w:r w:rsidR="00931B79" w:rsidRPr="009E5B39">
        <w:rPr>
          <w:rFonts w:asciiTheme="majorHAnsi" w:eastAsia="Times New Roman" w:hAnsiTheme="majorHAnsi" w:cstheme="majorHAnsi"/>
          <w:sz w:val="24"/>
          <w:szCs w:val="24"/>
          <w:lang w:val="ro-MD"/>
        </w:rPr>
        <w:t xml:space="preserve">mii </w:t>
      </w:r>
      <w:r w:rsidRPr="009E5B39">
        <w:rPr>
          <w:rFonts w:asciiTheme="majorHAnsi" w:eastAsia="Times New Roman" w:hAnsiTheme="majorHAnsi" w:cstheme="majorHAnsi"/>
          <w:sz w:val="24"/>
          <w:szCs w:val="24"/>
          <w:lang w:val="ro-MD"/>
        </w:rPr>
        <w:t>lei</w:t>
      </w:r>
      <w:r w:rsidRPr="009E5B39">
        <w:rPr>
          <w:rFonts w:asciiTheme="majorHAnsi" w:hAnsiTheme="majorHAnsi" w:cstheme="majorHAnsi"/>
          <w:sz w:val="24"/>
          <w:szCs w:val="24"/>
          <w:lang w:val="ro-MD"/>
        </w:rPr>
        <w:t>. Din totalul creanțelor aferente populației</w:t>
      </w:r>
      <w:r w:rsidR="009D16E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cele mai mari creanțe sunt reflectate după ÎM GFL</w:t>
      </w:r>
      <w:r w:rsidR="00957D1B" w:rsidRPr="009E5B39">
        <w:rPr>
          <w:rFonts w:asciiTheme="majorHAnsi" w:hAnsiTheme="majorHAnsi" w:cstheme="majorHAnsi"/>
          <w:sz w:val="24"/>
          <w:szCs w:val="24"/>
          <w:lang w:val="ro-MD"/>
        </w:rPr>
        <w:t>, care</w:t>
      </w:r>
      <w:r w:rsidR="009D16EF" w:rsidRPr="009E5B39">
        <w:rPr>
          <w:rFonts w:asciiTheme="majorHAnsi" w:hAnsiTheme="majorHAnsi" w:cstheme="majorHAnsi"/>
          <w:sz w:val="24"/>
          <w:szCs w:val="24"/>
          <w:lang w:val="ro-MD"/>
        </w:rPr>
        <w:t>,</w:t>
      </w:r>
      <w:r w:rsidR="00957D1B" w:rsidRPr="009E5B39">
        <w:rPr>
          <w:rFonts w:asciiTheme="majorHAnsi" w:hAnsiTheme="majorHAnsi" w:cstheme="majorHAnsi"/>
          <w:sz w:val="24"/>
          <w:szCs w:val="24"/>
          <w:lang w:val="ro-MD"/>
        </w:rPr>
        <w:t xml:space="preserve"> potrivit datelor ÎM </w:t>
      </w:r>
      <w:r w:rsidR="003B7B77" w:rsidRPr="009E5B39">
        <w:rPr>
          <w:rFonts w:asciiTheme="majorHAnsi" w:hAnsiTheme="majorHAnsi" w:cstheme="majorHAnsi"/>
          <w:sz w:val="24"/>
          <w:szCs w:val="24"/>
          <w:lang w:val="ro-MD"/>
        </w:rPr>
        <w:t>„</w:t>
      </w:r>
      <w:r w:rsidR="00957D1B" w:rsidRPr="009E5B39">
        <w:rPr>
          <w:rFonts w:asciiTheme="majorHAnsi" w:hAnsiTheme="majorHAnsi" w:cstheme="majorHAnsi"/>
          <w:sz w:val="24"/>
          <w:szCs w:val="24"/>
          <w:lang w:val="ro-MD"/>
        </w:rPr>
        <w:t>Infocom</w:t>
      </w:r>
      <w:r w:rsidR="003B7B77" w:rsidRPr="009E5B39">
        <w:rPr>
          <w:rFonts w:asciiTheme="majorHAnsi" w:hAnsiTheme="majorHAnsi" w:cstheme="majorHAnsi"/>
          <w:sz w:val="24"/>
          <w:szCs w:val="24"/>
          <w:lang w:val="ro-MD"/>
        </w:rPr>
        <w:t>”</w:t>
      </w:r>
      <w:r w:rsidR="009D16EF" w:rsidRPr="009E5B39">
        <w:rPr>
          <w:rFonts w:asciiTheme="majorHAnsi" w:hAnsiTheme="majorHAnsi" w:cstheme="majorHAnsi"/>
          <w:sz w:val="24"/>
          <w:szCs w:val="24"/>
          <w:lang w:val="ro-MD"/>
        </w:rPr>
        <w:t>,</w:t>
      </w:r>
      <w:r w:rsidR="00957D1B" w:rsidRPr="009E5B39">
        <w:rPr>
          <w:rFonts w:asciiTheme="majorHAnsi" w:hAnsiTheme="majorHAnsi" w:cstheme="majorHAnsi"/>
          <w:sz w:val="24"/>
          <w:szCs w:val="24"/>
          <w:lang w:val="ro-MD"/>
        </w:rPr>
        <w:t xml:space="preserve"> constituie 45</w:t>
      </w:r>
      <w:r w:rsidR="00931B79" w:rsidRPr="009E5B39">
        <w:rPr>
          <w:rFonts w:asciiTheme="majorHAnsi" w:hAnsiTheme="majorHAnsi" w:cstheme="majorHAnsi"/>
          <w:sz w:val="24"/>
          <w:szCs w:val="24"/>
          <w:lang w:val="ro-MD"/>
        </w:rPr>
        <w:t>,</w:t>
      </w:r>
      <w:r w:rsidR="00957D1B" w:rsidRPr="009E5B39">
        <w:rPr>
          <w:rFonts w:asciiTheme="majorHAnsi" w:hAnsiTheme="majorHAnsi" w:cstheme="majorHAnsi"/>
          <w:sz w:val="24"/>
          <w:szCs w:val="24"/>
          <w:lang w:val="ro-MD"/>
        </w:rPr>
        <w:t>39 mi</w:t>
      </w:r>
      <w:r w:rsidR="00931B79" w:rsidRPr="009E5B39">
        <w:rPr>
          <w:rFonts w:asciiTheme="majorHAnsi" w:hAnsiTheme="majorHAnsi" w:cstheme="majorHAnsi"/>
          <w:sz w:val="24"/>
          <w:szCs w:val="24"/>
          <w:lang w:val="ro-MD"/>
        </w:rPr>
        <w:t>l</w:t>
      </w:r>
      <w:r w:rsidR="009D16EF" w:rsidRPr="009E5B39">
        <w:rPr>
          <w:rFonts w:asciiTheme="majorHAnsi" w:hAnsiTheme="majorHAnsi" w:cstheme="majorHAnsi"/>
          <w:sz w:val="24"/>
          <w:szCs w:val="24"/>
          <w:lang w:val="ro-MD"/>
        </w:rPr>
        <w:t>.</w:t>
      </w:r>
      <w:r w:rsidR="00957D1B" w:rsidRPr="009E5B39">
        <w:rPr>
          <w:rFonts w:asciiTheme="majorHAnsi" w:hAnsiTheme="majorHAnsi" w:cstheme="majorHAnsi"/>
          <w:sz w:val="24"/>
          <w:szCs w:val="24"/>
          <w:lang w:val="ro-MD"/>
        </w:rPr>
        <w:t xml:space="preserve"> lei, iar la SA ACC – 146</w:t>
      </w:r>
      <w:r w:rsidR="00931B79" w:rsidRPr="009E5B39">
        <w:rPr>
          <w:rFonts w:asciiTheme="majorHAnsi" w:hAnsiTheme="majorHAnsi" w:cstheme="majorHAnsi"/>
          <w:sz w:val="24"/>
          <w:szCs w:val="24"/>
          <w:lang w:val="ro-MD"/>
        </w:rPr>
        <w:t>,</w:t>
      </w:r>
      <w:r w:rsidR="00957D1B" w:rsidRPr="009E5B39">
        <w:rPr>
          <w:rFonts w:asciiTheme="majorHAnsi" w:hAnsiTheme="majorHAnsi" w:cstheme="majorHAnsi"/>
          <w:sz w:val="24"/>
          <w:szCs w:val="24"/>
          <w:lang w:val="ro-MD"/>
        </w:rPr>
        <w:t>34 mi</w:t>
      </w:r>
      <w:r w:rsidR="00931B79" w:rsidRPr="009E5B39">
        <w:rPr>
          <w:rFonts w:asciiTheme="majorHAnsi" w:hAnsiTheme="majorHAnsi" w:cstheme="majorHAnsi"/>
          <w:sz w:val="24"/>
          <w:szCs w:val="24"/>
          <w:lang w:val="ro-MD"/>
        </w:rPr>
        <w:t>l</w:t>
      </w:r>
      <w:r w:rsidR="009D16EF" w:rsidRPr="009E5B39">
        <w:rPr>
          <w:rFonts w:asciiTheme="majorHAnsi" w:hAnsiTheme="majorHAnsi" w:cstheme="majorHAnsi"/>
          <w:sz w:val="24"/>
          <w:szCs w:val="24"/>
          <w:lang w:val="ro-MD"/>
        </w:rPr>
        <w:t>.</w:t>
      </w:r>
      <w:r w:rsidR="00957D1B" w:rsidRPr="009E5B39">
        <w:rPr>
          <w:rFonts w:asciiTheme="majorHAnsi" w:hAnsiTheme="majorHAnsi" w:cstheme="majorHAnsi"/>
          <w:sz w:val="24"/>
          <w:szCs w:val="24"/>
          <w:lang w:val="ro-MD"/>
        </w:rPr>
        <w:t xml:space="preserve"> lei, sau cu 100</w:t>
      </w:r>
      <w:r w:rsidR="00931B79" w:rsidRPr="009E5B39">
        <w:rPr>
          <w:rFonts w:asciiTheme="majorHAnsi" w:hAnsiTheme="majorHAnsi" w:cstheme="majorHAnsi"/>
          <w:sz w:val="24"/>
          <w:szCs w:val="24"/>
          <w:lang w:val="ro-MD"/>
        </w:rPr>
        <w:t>,</w:t>
      </w:r>
      <w:r w:rsidR="00957D1B" w:rsidRPr="009E5B39">
        <w:rPr>
          <w:rFonts w:asciiTheme="majorHAnsi" w:hAnsiTheme="majorHAnsi" w:cstheme="majorHAnsi"/>
          <w:sz w:val="24"/>
          <w:szCs w:val="24"/>
          <w:lang w:val="ro-MD"/>
        </w:rPr>
        <w:t>95 mi</w:t>
      </w:r>
      <w:r w:rsidR="00931B79" w:rsidRPr="009E5B39">
        <w:rPr>
          <w:rFonts w:asciiTheme="majorHAnsi" w:hAnsiTheme="majorHAnsi" w:cstheme="majorHAnsi"/>
          <w:sz w:val="24"/>
          <w:szCs w:val="24"/>
          <w:lang w:val="ro-MD"/>
        </w:rPr>
        <w:t>l</w:t>
      </w:r>
      <w:r w:rsidR="009D16EF" w:rsidRPr="009E5B39">
        <w:rPr>
          <w:rFonts w:asciiTheme="majorHAnsi" w:hAnsiTheme="majorHAnsi" w:cstheme="majorHAnsi"/>
          <w:sz w:val="24"/>
          <w:szCs w:val="24"/>
          <w:lang w:val="ro-MD"/>
        </w:rPr>
        <w:t>.</w:t>
      </w:r>
      <w:r w:rsidR="00957D1B" w:rsidRPr="009E5B39">
        <w:rPr>
          <w:rFonts w:asciiTheme="majorHAnsi" w:hAnsiTheme="majorHAnsi" w:cstheme="majorHAnsi"/>
          <w:sz w:val="24"/>
          <w:szCs w:val="24"/>
          <w:lang w:val="ro-MD"/>
        </w:rPr>
        <w:t xml:space="preserve"> lei mai mult.</w:t>
      </w:r>
    </w:p>
    <w:p w14:paraId="6F68403F" w14:textId="646CE1CA" w:rsidR="00D91A18" w:rsidRPr="009E5B39" w:rsidRDefault="009D16EF" w:rsidP="00EF4BC3">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Conform</w:t>
      </w:r>
      <w:r w:rsidR="00D91A18" w:rsidRPr="009E5B39">
        <w:rPr>
          <w:rFonts w:asciiTheme="majorHAnsi" w:hAnsiTheme="majorHAnsi" w:cstheme="majorHAnsi"/>
          <w:sz w:val="24"/>
          <w:szCs w:val="24"/>
          <w:lang w:val="ro-MD"/>
        </w:rPr>
        <w:t xml:space="preserve"> prevederilor Legii nr.1402 din 24.10.2002</w:t>
      </w:r>
      <w:r w:rsidRPr="009E5B39">
        <w:rPr>
          <w:rFonts w:asciiTheme="majorHAnsi" w:hAnsiTheme="majorHAnsi" w:cstheme="majorHAnsi"/>
          <w:sz w:val="24"/>
          <w:szCs w:val="24"/>
          <w:lang w:val="ro-MD"/>
        </w:rPr>
        <w:t>,</w:t>
      </w:r>
      <w:r w:rsidR="00D91A18" w:rsidRPr="009E5B39">
        <w:rPr>
          <w:rFonts w:asciiTheme="majorHAnsi" w:hAnsiTheme="majorHAnsi" w:cstheme="majorHAnsi"/>
          <w:sz w:val="24"/>
          <w:szCs w:val="24"/>
          <w:lang w:val="ro-MD"/>
        </w:rPr>
        <w:t xml:space="preserve"> contractarea și suportarea serviciilor prestate de ÎM „I</w:t>
      </w:r>
      <w:r w:rsidR="00FB3E2D" w:rsidRPr="009E5B39">
        <w:rPr>
          <w:rFonts w:asciiTheme="majorHAnsi" w:hAnsiTheme="majorHAnsi" w:cstheme="majorHAnsi"/>
          <w:sz w:val="24"/>
          <w:szCs w:val="24"/>
          <w:lang w:val="ro-MD"/>
        </w:rPr>
        <w:t>nfocom</w:t>
      </w:r>
      <w:r w:rsidR="00D91A18" w:rsidRPr="009E5B39">
        <w:rPr>
          <w:rFonts w:asciiTheme="majorHAnsi" w:hAnsiTheme="majorHAnsi" w:cstheme="majorHAnsi"/>
          <w:sz w:val="24"/>
          <w:szCs w:val="24"/>
          <w:lang w:val="ro-MD"/>
        </w:rPr>
        <w:t>” urmau a fi asumate de către GFL, dar nu de către SA AC Chișinău. Cu toate acestea, la 01.08.2008, SA AC Chișinău a contractat ÎM „I</w:t>
      </w:r>
      <w:r w:rsidR="00FB3E2D" w:rsidRPr="009E5B39">
        <w:rPr>
          <w:rFonts w:asciiTheme="majorHAnsi" w:hAnsiTheme="majorHAnsi" w:cstheme="majorHAnsi"/>
          <w:sz w:val="24"/>
          <w:szCs w:val="24"/>
          <w:lang w:val="ro-MD"/>
        </w:rPr>
        <w:t>nfocom</w:t>
      </w:r>
      <w:r w:rsidR="00D91A18" w:rsidRPr="009E5B39">
        <w:rPr>
          <w:rFonts w:asciiTheme="majorHAnsi" w:hAnsiTheme="majorHAnsi" w:cstheme="majorHAnsi"/>
          <w:sz w:val="24"/>
          <w:szCs w:val="24"/>
          <w:lang w:val="ro-MD"/>
        </w:rPr>
        <w:t xml:space="preserve">” pentru prestarea serviciilor de prelucrare a datelor cu privire la consumul și achitarea serviciilor prestate de către SA, în contract nefiind stabilită modalitatea de distribuire a apei consumate între locatari. Facturarea serviciului furnizat consumatorilor din sectorul comunal se efectuează în baza datelor înregistrate de contoarele individuale, instalate în apartamente/conform normativului de consum aprobat și volumului diferenței înregistrat la contorul comun de la branșamentul blocului locativ, repartizat integral consumatorilor, proporțional volumului înregistrat de către aceștia. </w:t>
      </w:r>
    </w:p>
    <w:p w14:paraId="72AB040E" w14:textId="70E69DAA" w:rsidR="00D91A18" w:rsidRPr="009E5B39" w:rsidRDefault="00D91A18" w:rsidP="00EF4BC3">
      <w:pPr>
        <w:pStyle w:val="ListParagraph"/>
        <w:numPr>
          <w:ilvl w:val="0"/>
          <w:numId w:val="35"/>
        </w:numPr>
        <w:tabs>
          <w:tab w:val="left" w:pos="0"/>
          <w:tab w:val="left" w:pos="720"/>
          <w:tab w:val="left" w:pos="851"/>
        </w:tabs>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Lipsa procedurilor de control intern suficiente și nivelul necorespunzător al disciplinei financiare au contribuit la formarea datoriilor debitoare cu termen</w:t>
      </w:r>
      <w:r w:rsidR="0089350E" w:rsidRPr="009E5B39">
        <w:rPr>
          <w:rFonts w:asciiTheme="majorHAnsi" w:hAnsiTheme="majorHAnsi" w:cstheme="majorHAnsi"/>
          <w:b/>
          <w:sz w:val="24"/>
          <w:szCs w:val="24"/>
          <w:lang w:val="ro-MD"/>
        </w:rPr>
        <w:t>ul</w:t>
      </w:r>
      <w:r w:rsidRPr="009E5B39">
        <w:rPr>
          <w:rFonts w:asciiTheme="majorHAnsi" w:hAnsiTheme="majorHAnsi" w:cstheme="majorHAnsi"/>
          <w:b/>
          <w:sz w:val="24"/>
          <w:szCs w:val="24"/>
          <w:lang w:val="ro-MD"/>
        </w:rPr>
        <w:t xml:space="preserve"> de prescripție expirat</w:t>
      </w:r>
      <w:r w:rsidRPr="009E5B39">
        <w:rPr>
          <w:rFonts w:asciiTheme="majorHAnsi" w:hAnsiTheme="majorHAnsi" w:cstheme="majorHAnsi"/>
          <w:sz w:val="24"/>
          <w:szCs w:val="24"/>
          <w:lang w:val="ro-MD"/>
        </w:rPr>
        <w:t>. La situația din 01.01.2022</w:t>
      </w:r>
      <w:r w:rsidR="008935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SA ACC înregistrează creanțe în sumă de 400,3 mil</w:t>
      </w:r>
      <w:r w:rsidR="008935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din care 302,1 mil</w:t>
      </w:r>
      <w:r w:rsidR="0089350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 lei constituie creanțe cu termenul de achitare expirat, inclusiv 50,2 mil</w:t>
      </w:r>
      <w:r w:rsidR="008935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 cu termenul de prescripție expirat. Contrar prevederilor pct.3 și pct.72 din Regulamentul MF privind inventarierea, SA ACC nu asigură semnarea actelor de confirmare a soldurilor efective pentru toate creanțele înregistrate la finele anului. </w:t>
      </w:r>
    </w:p>
    <w:p w14:paraId="25C779E2" w14:textId="3B725EC8" w:rsidR="00D91A18" w:rsidRPr="009E5B39" w:rsidRDefault="00D91A18" w:rsidP="00EF4BC3">
      <w:pPr>
        <w:tabs>
          <w:tab w:val="left" w:pos="0"/>
          <w:tab w:val="left" w:pos="709"/>
          <w:tab w:val="left" w:pos="851"/>
          <w:tab w:val="left" w:pos="993"/>
        </w:tabs>
        <w:spacing w:after="0" w:line="276" w:lineRule="auto"/>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b/>
        <w:t>Din suma totală a creanțelor înregistrate, 395,8 mil</w:t>
      </w:r>
      <w:r w:rsidR="008935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constituie creanțe comerciale, din care:   creanțele populației constituie 71,0 % (284,3 mil.lei), ale agenților economici - 28,3% (113,4 mil.lei), și ale instituțiilor bugetare </w:t>
      </w:r>
      <w:r w:rsidR="0089350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0,65% (2,6 mil.lei). </w:t>
      </w:r>
    </w:p>
    <w:p w14:paraId="709BA30C" w14:textId="7219C75E" w:rsidR="00D91A18" w:rsidRPr="009E5B39" w:rsidRDefault="00D91A18">
      <w:pPr>
        <w:tabs>
          <w:tab w:val="left" w:pos="0"/>
          <w:tab w:val="left" w:pos="709"/>
          <w:tab w:val="left" w:pos="851"/>
          <w:tab w:val="left" w:pos="993"/>
        </w:tabs>
        <w:spacing w:after="0" w:line="276" w:lineRule="auto"/>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b/>
        <w:t>Din totalul creanțelor pentru prestarea serviciului de apă și canalizare, creanțele cele mai mar</w:t>
      </w:r>
      <w:r w:rsidR="0089350E" w:rsidRPr="009E5B39">
        <w:rPr>
          <w:rFonts w:asciiTheme="majorHAnsi" w:hAnsiTheme="majorHAnsi" w:cstheme="majorHAnsi"/>
          <w:sz w:val="24"/>
          <w:szCs w:val="24"/>
          <w:lang w:val="ro-MD"/>
        </w:rPr>
        <w:t>i</w:t>
      </w:r>
      <w:r w:rsidRPr="009E5B39">
        <w:rPr>
          <w:rFonts w:asciiTheme="majorHAnsi" w:hAnsiTheme="majorHAnsi" w:cstheme="majorHAnsi"/>
          <w:sz w:val="24"/>
          <w:szCs w:val="24"/>
          <w:lang w:val="ro-MD"/>
        </w:rPr>
        <w:t xml:space="preserve"> sunt ale populației </w:t>
      </w:r>
      <w:r w:rsidR="0089350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271</w:t>
      </w:r>
      <w:r w:rsidR="00931B7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56 mi</w:t>
      </w:r>
      <w:r w:rsidR="00931B79" w:rsidRPr="009E5B39">
        <w:rPr>
          <w:rFonts w:asciiTheme="majorHAnsi" w:hAnsiTheme="majorHAnsi" w:cstheme="majorHAnsi"/>
          <w:sz w:val="24"/>
          <w:szCs w:val="24"/>
          <w:lang w:val="ro-MD"/>
        </w:rPr>
        <w:t>l</w:t>
      </w:r>
      <w:r w:rsidR="008935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r w:rsidR="008935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sau 74 %, </w:t>
      </w:r>
      <w:r w:rsidR="0089350E" w:rsidRPr="009E5B39">
        <w:rPr>
          <w:rFonts w:asciiTheme="majorHAnsi" w:hAnsiTheme="majorHAnsi" w:cstheme="majorHAnsi"/>
          <w:sz w:val="24"/>
          <w:szCs w:val="24"/>
          <w:lang w:val="ro-MD"/>
        </w:rPr>
        <w:t xml:space="preserve">ale </w:t>
      </w:r>
      <w:r w:rsidRPr="009E5B39">
        <w:rPr>
          <w:rFonts w:asciiTheme="majorHAnsi" w:hAnsiTheme="majorHAnsi" w:cstheme="majorHAnsi"/>
          <w:sz w:val="24"/>
          <w:szCs w:val="24"/>
          <w:lang w:val="ro-MD"/>
        </w:rPr>
        <w:t>agenți</w:t>
      </w:r>
      <w:r w:rsidR="0089350E" w:rsidRPr="009E5B39">
        <w:rPr>
          <w:rFonts w:asciiTheme="majorHAnsi" w:hAnsiTheme="majorHAnsi" w:cstheme="majorHAnsi"/>
          <w:sz w:val="24"/>
          <w:szCs w:val="24"/>
          <w:lang w:val="ro-MD"/>
        </w:rPr>
        <w:t>lor</w:t>
      </w:r>
      <w:r w:rsidRPr="009E5B39">
        <w:rPr>
          <w:rFonts w:asciiTheme="majorHAnsi" w:hAnsiTheme="majorHAnsi" w:cstheme="majorHAnsi"/>
          <w:sz w:val="24"/>
          <w:szCs w:val="24"/>
          <w:lang w:val="ro-MD"/>
        </w:rPr>
        <w:t xml:space="preserve"> economici – 92</w:t>
      </w:r>
      <w:r w:rsidR="00931B7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71 mi</w:t>
      </w:r>
      <w:r w:rsidR="00931B79" w:rsidRPr="009E5B39">
        <w:rPr>
          <w:rFonts w:asciiTheme="majorHAnsi" w:hAnsiTheme="majorHAnsi" w:cstheme="majorHAnsi"/>
          <w:sz w:val="24"/>
          <w:szCs w:val="24"/>
          <w:lang w:val="ro-MD"/>
        </w:rPr>
        <w:t>l</w:t>
      </w:r>
      <w:r w:rsidR="008935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r w:rsidR="008935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sau 25%</w:t>
      </w:r>
      <w:r w:rsidR="008935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și </w:t>
      </w:r>
      <w:r w:rsidR="0089350E" w:rsidRPr="009E5B39">
        <w:rPr>
          <w:rFonts w:asciiTheme="majorHAnsi" w:hAnsiTheme="majorHAnsi" w:cstheme="majorHAnsi"/>
          <w:sz w:val="24"/>
          <w:szCs w:val="24"/>
          <w:lang w:val="ro-MD"/>
        </w:rPr>
        <w:t xml:space="preserve">ale </w:t>
      </w:r>
      <w:r w:rsidRPr="009E5B39">
        <w:rPr>
          <w:rFonts w:asciiTheme="majorHAnsi" w:hAnsiTheme="majorHAnsi" w:cstheme="majorHAnsi"/>
          <w:sz w:val="24"/>
          <w:szCs w:val="24"/>
          <w:lang w:val="ro-MD"/>
        </w:rPr>
        <w:t>instituțiil</w:t>
      </w:r>
      <w:r w:rsidR="0089350E" w:rsidRPr="009E5B39">
        <w:rPr>
          <w:rFonts w:asciiTheme="majorHAnsi" w:hAnsiTheme="majorHAnsi" w:cstheme="majorHAnsi"/>
          <w:sz w:val="24"/>
          <w:szCs w:val="24"/>
          <w:lang w:val="ro-MD"/>
        </w:rPr>
        <w:t>or</w:t>
      </w:r>
      <w:r w:rsidRPr="009E5B39">
        <w:rPr>
          <w:rFonts w:asciiTheme="majorHAnsi" w:hAnsiTheme="majorHAnsi" w:cstheme="majorHAnsi"/>
          <w:sz w:val="24"/>
          <w:szCs w:val="24"/>
          <w:lang w:val="ro-MD"/>
        </w:rPr>
        <w:t xml:space="preserve"> bugetare </w:t>
      </w:r>
      <w:r w:rsidR="0089350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suma de 1</w:t>
      </w:r>
      <w:r w:rsidR="00931B7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5</w:t>
      </w:r>
      <w:r w:rsidR="00931B79" w:rsidRPr="009E5B39">
        <w:rPr>
          <w:rFonts w:asciiTheme="majorHAnsi" w:hAnsiTheme="majorHAnsi" w:cstheme="majorHAnsi"/>
          <w:sz w:val="24"/>
          <w:szCs w:val="24"/>
          <w:lang w:val="ro-MD"/>
        </w:rPr>
        <w:t>6</w:t>
      </w:r>
      <w:r w:rsidRPr="009E5B39">
        <w:rPr>
          <w:rFonts w:asciiTheme="majorHAnsi" w:hAnsiTheme="majorHAnsi" w:cstheme="majorHAnsi"/>
          <w:sz w:val="24"/>
          <w:szCs w:val="24"/>
          <w:lang w:val="ro-MD"/>
        </w:rPr>
        <w:t xml:space="preserve"> mi</w:t>
      </w:r>
      <w:r w:rsidR="00931B79" w:rsidRPr="009E5B39">
        <w:rPr>
          <w:rFonts w:asciiTheme="majorHAnsi" w:hAnsiTheme="majorHAnsi" w:cstheme="majorHAnsi"/>
          <w:sz w:val="24"/>
          <w:szCs w:val="24"/>
          <w:lang w:val="ro-MD"/>
        </w:rPr>
        <w:t>l</w:t>
      </w:r>
      <w:r w:rsidR="008935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r w:rsidR="008935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sau 0,43 %.</w:t>
      </w:r>
    </w:p>
    <w:p w14:paraId="1DCAFC4C" w14:textId="62025F1A" w:rsidR="00D91A18" w:rsidRPr="009E5B39" w:rsidRDefault="00D91A18" w:rsidP="003C5073">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De menționat că, pentru creanțele mai mari de 1 an, întreprinderea</w:t>
      </w:r>
      <w:r w:rsidR="0089350E" w:rsidRPr="009E5B39">
        <w:rPr>
          <w:rFonts w:asciiTheme="majorHAnsi" w:hAnsiTheme="majorHAnsi" w:cstheme="majorHAnsi"/>
          <w:sz w:val="24"/>
          <w:szCs w:val="24"/>
          <w:lang w:val="ro-MD"/>
        </w:rPr>
        <w:t>,</w:t>
      </w:r>
      <w:r w:rsidR="00B42BAA"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în anul 2021</w:t>
      </w:r>
      <w:r w:rsidR="0089350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 format provizioane de 50,2 mil. lei, soldul la 31.12.2021 constituind 348,2 mil.lei. Marea majoritate a provizioanelor formate reprezintă diferența dintre indicațiile contorului comun de la bloc și indicațiile contoarelor individuale din apartamente, nedistribuit</w:t>
      </w:r>
      <w:r w:rsidR="0089350E"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între locatari și expusă spre plată gestionarilor fondului locativ. Prin urmare, SA AC Chișinău conștientizează că aceste creanțe nu au sursă de acoperire și nu vor fi achitate de consumatori, dar a continuat și în anul 2021 practica de facturare a acestor diferențe pentru GFL. Cu toate că SA AC Chișinău a elaborat o procedură de recuperare a creanțelor, suma creanțelor nerecuperate nu se diminuează semnific</w:t>
      </w:r>
      <w:r w:rsidR="00AC4480" w:rsidRPr="009E5B39">
        <w:rPr>
          <w:rFonts w:asciiTheme="majorHAnsi" w:hAnsiTheme="majorHAnsi" w:cstheme="majorHAnsi"/>
          <w:sz w:val="24"/>
          <w:szCs w:val="24"/>
          <w:lang w:val="ro-MD"/>
        </w:rPr>
        <w:t>ativ</w:t>
      </w:r>
      <w:r w:rsidRPr="009E5B39">
        <w:rPr>
          <w:rFonts w:asciiTheme="majorHAnsi" w:hAnsiTheme="majorHAnsi" w:cstheme="majorHAnsi"/>
          <w:sz w:val="24"/>
          <w:szCs w:val="24"/>
          <w:lang w:val="ro-MD"/>
        </w:rPr>
        <w:t>.</w:t>
      </w:r>
    </w:p>
    <w:p w14:paraId="0F3DA9AF" w14:textId="47FFD81E" w:rsidR="00D91A18" w:rsidRPr="009E5B39" w:rsidRDefault="0089350E" w:rsidP="00EF4BC3">
      <w:pPr>
        <w:pStyle w:val="ListParagraph"/>
        <w:numPr>
          <w:ilvl w:val="0"/>
          <w:numId w:val="35"/>
        </w:numPr>
        <w:spacing w:after="0" w:line="276" w:lineRule="auto"/>
        <w:ind w:left="0" w:firstLine="284"/>
        <w:jc w:val="both"/>
        <w:rPr>
          <w:rFonts w:asciiTheme="majorHAnsi" w:hAnsiTheme="majorHAnsi" w:cstheme="majorHAnsi"/>
          <w:b/>
          <w:sz w:val="24"/>
          <w:szCs w:val="24"/>
          <w:lang w:val="ro-MD"/>
        </w:rPr>
      </w:pPr>
      <w:r w:rsidRPr="009E5B39">
        <w:rPr>
          <w:rFonts w:asciiTheme="majorHAnsi" w:eastAsia="Times New Roman" w:hAnsiTheme="majorHAnsi" w:cstheme="majorHAnsi"/>
          <w:b/>
          <w:bCs/>
          <w:sz w:val="24"/>
          <w:szCs w:val="24"/>
          <w:lang w:val="ro-MD"/>
        </w:rPr>
        <w:t>Cu toate</w:t>
      </w:r>
      <w:r w:rsidR="00D91A18" w:rsidRPr="009E5B39">
        <w:rPr>
          <w:rFonts w:asciiTheme="majorHAnsi" w:eastAsia="Times New Roman" w:hAnsiTheme="majorHAnsi" w:cstheme="majorHAnsi"/>
          <w:b/>
          <w:bCs/>
          <w:sz w:val="24"/>
          <w:szCs w:val="24"/>
          <w:lang w:val="ro-MD"/>
        </w:rPr>
        <w:t xml:space="preserve"> că SA ACC întreprinde </w:t>
      </w:r>
      <w:r w:rsidR="00DD234A" w:rsidRPr="009E5B39">
        <w:rPr>
          <w:rFonts w:asciiTheme="majorHAnsi" w:eastAsia="Times New Roman" w:hAnsiTheme="majorHAnsi" w:cstheme="majorHAnsi"/>
          <w:b/>
          <w:bCs/>
          <w:sz w:val="24"/>
          <w:szCs w:val="24"/>
          <w:lang w:val="ro-MD"/>
        </w:rPr>
        <w:t xml:space="preserve">unele </w:t>
      </w:r>
      <w:r w:rsidR="00D91A18" w:rsidRPr="009E5B39">
        <w:rPr>
          <w:rFonts w:asciiTheme="majorHAnsi" w:eastAsia="Times New Roman" w:hAnsiTheme="majorHAnsi" w:cstheme="majorHAnsi"/>
          <w:b/>
          <w:bCs/>
          <w:sz w:val="24"/>
          <w:szCs w:val="24"/>
          <w:lang w:val="ro-MD"/>
        </w:rPr>
        <w:t xml:space="preserve">măsuri </w:t>
      </w:r>
      <w:r w:rsidRPr="009E5B39">
        <w:rPr>
          <w:rFonts w:asciiTheme="majorHAnsi" w:eastAsia="Times New Roman" w:hAnsiTheme="majorHAnsi" w:cstheme="majorHAnsi"/>
          <w:b/>
          <w:bCs/>
          <w:sz w:val="24"/>
          <w:szCs w:val="24"/>
          <w:lang w:val="ro-MD"/>
        </w:rPr>
        <w:t>pe</w:t>
      </w:r>
      <w:r w:rsidR="00D91A18" w:rsidRPr="009E5B39">
        <w:rPr>
          <w:rFonts w:asciiTheme="majorHAnsi" w:eastAsia="Times New Roman" w:hAnsiTheme="majorHAnsi" w:cstheme="majorHAnsi"/>
          <w:b/>
          <w:bCs/>
          <w:sz w:val="24"/>
          <w:szCs w:val="24"/>
          <w:lang w:val="ro-MD"/>
        </w:rPr>
        <w:t xml:space="preserve">ntru recuperarea creanțelor, situația rămâne neschimbată.         </w:t>
      </w:r>
      <w:r w:rsidR="00D91A18" w:rsidRPr="009E5B39">
        <w:rPr>
          <w:rFonts w:asciiTheme="majorHAnsi" w:hAnsiTheme="majorHAnsi" w:cstheme="majorHAnsi"/>
          <w:sz w:val="24"/>
          <w:szCs w:val="24"/>
          <w:lang w:val="ro-MD"/>
        </w:rPr>
        <w:t xml:space="preserve"> </w:t>
      </w:r>
    </w:p>
    <w:p w14:paraId="32D47A8D" w14:textId="3D12DD7A" w:rsidR="005746A2" w:rsidRPr="009E5B39" w:rsidRDefault="005746A2" w:rsidP="00EF4BC3">
      <w:pPr>
        <w:pStyle w:val="ListParagraph"/>
        <w:numPr>
          <w:ilvl w:val="0"/>
          <w:numId w:val="26"/>
        </w:numPr>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i/>
          <w:sz w:val="24"/>
          <w:szCs w:val="24"/>
          <w:lang w:val="ro-MD"/>
        </w:rPr>
        <w:t>Expedierea reclamațiilor.</w:t>
      </w:r>
      <w:r w:rsidRPr="009E5B39">
        <w:rPr>
          <w:rFonts w:asciiTheme="majorHAnsi" w:hAnsiTheme="majorHAnsi" w:cstheme="majorHAnsi"/>
          <w:sz w:val="24"/>
          <w:szCs w:val="24"/>
          <w:lang w:val="ro-MD"/>
        </w:rPr>
        <w:t xml:space="preserve"> Deși în anul 2021 au fost expediate 8635 reclamații</w:t>
      </w:r>
      <w:r w:rsidR="0089350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în sumă de  318</w:t>
      </w:r>
      <w:r w:rsidR="00931B7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35 mi</w:t>
      </w:r>
      <w:r w:rsidR="00931B79" w:rsidRPr="009E5B39">
        <w:rPr>
          <w:rFonts w:asciiTheme="majorHAnsi" w:hAnsiTheme="majorHAnsi" w:cstheme="majorHAnsi"/>
          <w:sz w:val="24"/>
          <w:szCs w:val="24"/>
          <w:lang w:val="ro-MD"/>
        </w:rPr>
        <w:t>l</w:t>
      </w:r>
      <w:r w:rsidRPr="009E5B39">
        <w:rPr>
          <w:rFonts w:asciiTheme="majorHAnsi" w:hAnsiTheme="majorHAnsi" w:cstheme="majorHAnsi"/>
          <w:sz w:val="24"/>
          <w:szCs w:val="24"/>
          <w:lang w:val="ro-MD"/>
        </w:rPr>
        <w:t xml:space="preserve"> lei, în instanța de judecată au fost înaintate doar 298 de dosare de încasare a datoriilor</w:t>
      </w:r>
      <w:r w:rsidR="00C335E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depuse în anul curent, în sumă de 59,03 mil.lei. De menționat că suma creanțelor pentru care au fost înaintate reclamații nu este veridică, deoarece acestea se dublează în cazul expedierii reclamației repetate la același consumator. </w:t>
      </w:r>
    </w:p>
    <w:p w14:paraId="523F3D86" w14:textId="796565C0" w:rsidR="00D91A18" w:rsidRPr="009E5B39" w:rsidRDefault="00D91A18" w:rsidP="00EF4BC3">
      <w:pPr>
        <w:pStyle w:val="ListParagraph"/>
        <w:numPr>
          <w:ilvl w:val="0"/>
          <w:numId w:val="26"/>
        </w:numPr>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i/>
          <w:sz w:val="24"/>
          <w:szCs w:val="24"/>
          <w:lang w:val="ro-MD"/>
        </w:rPr>
        <w:t>Adresarea în instanțele de drept.</w:t>
      </w:r>
      <w:r w:rsidRPr="009E5B39">
        <w:rPr>
          <w:rFonts w:asciiTheme="majorHAnsi" w:hAnsiTheme="majorHAnsi" w:cstheme="majorHAnsi"/>
          <w:sz w:val="24"/>
          <w:szCs w:val="24"/>
          <w:lang w:val="ro-MD"/>
        </w:rPr>
        <w:t xml:space="preserve"> La situația din 31.12.</w:t>
      </w:r>
      <w:r w:rsidR="00DD234A" w:rsidRPr="009E5B39">
        <w:rPr>
          <w:rFonts w:asciiTheme="majorHAnsi" w:hAnsiTheme="majorHAnsi" w:cstheme="majorHAnsi"/>
          <w:sz w:val="24"/>
          <w:szCs w:val="24"/>
          <w:lang w:val="ro-MD"/>
        </w:rPr>
        <w:t>20</w:t>
      </w:r>
      <w:r w:rsidRPr="009E5B39">
        <w:rPr>
          <w:rFonts w:asciiTheme="majorHAnsi" w:hAnsiTheme="majorHAnsi" w:cstheme="majorHAnsi"/>
          <w:sz w:val="24"/>
          <w:szCs w:val="24"/>
          <w:lang w:val="ro-MD"/>
        </w:rPr>
        <w:t>21</w:t>
      </w:r>
      <w:r w:rsidR="00C335E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pe rol în instanța de judecată în curs de examinare erau 265 </w:t>
      </w:r>
      <w:r w:rsidR="00DD234A" w:rsidRPr="009E5B39">
        <w:rPr>
          <w:rFonts w:asciiTheme="majorHAnsi" w:hAnsiTheme="majorHAnsi" w:cstheme="majorHAnsi"/>
          <w:sz w:val="24"/>
          <w:szCs w:val="24"/>
          <w:lang w:val="ro-MD"/>
        </w:rPr>
        <w:t xml:space="preserve">de dosare </w:t>
      </w:r>
      <w:r w:rsidRPr="009E5B39">
        <w:rPr>
          <w:rFonts w:asciiTheme="majorHAnsi" w:hAnsiTheme="majorHAnsi" w:cstheme="majorHAnsi"/>
          <w:sz w:val="24"/>
          <w:szCs w:val="24"/>
          <w:lang w:val="ro-MD"/>
        </w:rPr>
        <w:t>(253 dosare apă și canalizare +12 energie termică) privind încasarea datoriilor în sumă totală de 143</w:t>
      </w:r>
      <w:r w:rsidR="00931B7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8</w:t>
      </w:r>
      <w:r w:rsidR="00931B79" w:rsidRPr="009E5B39">
        <w:rPr>
          <w:rFonts w:asciiTheme="majorHAnsi" w:hAnsiTheme="majorHAnsi" w:cstheme="majorHAnsi"/>
          <w:sz w:val="24"/>
          <w:szCs w:val="24"/>
          <w:lang w:val="ro-MD"/>
        </w:rPr>
        <w:t>2</w:t>
      </w:r>
      <w:r w:rsidRPr="009E5B39">
        <w:rPr>
          <w:rFonts w:asciiTheme="majorHAnsi" w:hAnsiTheme="majorHAnsi" w:cstheme="majorHAnsi"/>
          <w:sz w:val="24"/>
          <w:szCs w:val="24"/>
          <w:lang w:val="ro-MD"/>
        </w:rPr>
        <w:t xml:space="preserve"> mi</w:t>
      </w:r>
      <w:r w:rsidR="00931B79" w:rsidRPr="009E5B39">
        <w:rPr>
          <w:rFonts w:asciiTheme="majorHAnsi" w:hAnsiTheme="majorHAnsi" w:cstheme="majorHAnsi"/>
          <w:sz w:val="24"/>
          <w:szCs w:val="24"/>
          <w:lang w:val="ro-MD"/>
        </w:rPr>
        <w:t>l</w:t>
      </w:r>
      <w:r w:rsidR="00C335E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din anii precedenți. </w:t>
      </w:r>
      <w:r w:rsidR="00DD234A" w:rsidRPr="009E5B39">
        <w:rPr>
          <w:rFonts w:asciiTheme="majorHAnsi" w:hAnsiTheme="majorHAnsi" w:cstheme="majorHAnsi"/>
          <w:sz w:val="24"/>
          <w:szCs w:val="24"/>
          <w:lang w:val="ro-MD"/>
        </w:rPr>
        <w:t>Î</w:t>
      </w:r>
      <w:r w:rsidRPr="009E5B39">
        <w:rPr>
          <w:rFonts w:asciiTheme="majorHAnsi" w:hAnsiTheme="majorHAnsi" w:cstheme="majorHAnsi"/>
          <w:sz w:val="24"/>
          <w:szCs w:val="24"/>
          <w:lang w:val="ro-MD"/>
        </w:rPr>
        <w:t xml:space="preserve">n </w:t>
      </w:r>
      <w:r w:rsidR="00C335EE" w:rsidRPr="009E5B39">
        <w:rPr>
          <w:rFonts w:asciiTheme="majorHAnsi" w:hAnsiTheme="majorHAnsi" w:cstheme="majorHAnsi"/>
          <w:sz w:val="24"/>
          <w:szCs w:val="24"/>
          <w:lang w:val="ro-MD"/>
        </w:rPr>
        <w:t>anul</w:t>
      </w:r>
      <w:r w:rsidRPr="009E5B39">
        <w:rPr>
          <w:rFonts w:asciiTheme="majorHAnsi" w:hAnsiTheme="majorHAnsi" w:cstheme="majorHAnsi"/>
          <w:sz w:val="24"/>
          <w:szCs w:val="24"/>
          <w:lang w:val="ro-MD"/>
        </w:rPr>
        <w:t xml:space="preserve"> 2021 au fost pronunțate 199 hotărâri</w:t>
      </w:r>
      <w:r w:rsidR="00C335EE" w:rsidRPr="009E5B39">
        <w:rPr>
          <w:rFonts w:asciiTheme="majorHAnsi" w:hAnsiTheme="majorHAnsi" w:cstheme="majorHAnsi"/>
          <w:sz w:val="24"/>
          <w:szCs w:val="24"/>
          <w:lang w:val="ro-MD"/>
        </w:rPr>
        <w:t xml:space="preserve"> de încasare a datoriilor,</w:t>
      </w:r>
      <w:r w:rsidRPr="009E5B39">
        <w:rPr>
          <w:rFonts w:asciiTheme="majorHAnsi" w:hAnsiTheme="majorHAnsi" w:cstheme="majorHAnsi"/>
          <w:sz w:val="24"/>
          <w:szCs w:val="24"/>
          <w:lang w:val="ro-MD"/>
        </w:rPr>
        <w:t xml:space="preserve"> dintre care 198 în favoarea SA ACC</w:t>
      </w:r>
      <w:r w:rsidR="00C335E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sumă de 66</w:t>
      </w:r>
      <w:r w:rsidR="00931B79" w:rsidRPr="009E5B39">
        <w:rPr>
          <w:rFonts w:asciiTheme="majorHAnsi" w:hAnsiTheme="majorHAnsi" w:cstheme="majorHAnsi"/>
          <w:sz w:val="24"/>
          <w:szCs w:val="24"/>
          <w:lang w:val="ro-MD"/>
        </w:rPr>
        <w:t>,20</w:t>
      </w:r>
      <w:r w:rsidR="00C335EE"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mi</w:t>
      </w:r>
      <w:r w:rsidR="00931B79" w:rsidRPr="009E5B39">
        <w:rPr>
          <w:rFonts w:asciiTheme="majorHAnsi" w:hAnsiTheme="majorHAnsi" w:cstheme="majorHAnsi"/>
          <w:sz w:val="24"/>
          <w:szCs w:val="24"/>
          <w:lang w:val="ro-MD"/>
        </w:rPr>
        <w:t>l</w:t>
      </w:r>
      <w:r w:rsidR="00C335E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r w:rsidR="00C335E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00C335EE" w:rsidRPr="009E5B39">
        <w:rPr>
          <w:rFonts w:asciiTheme="majorHAnsi" w:hAnsiTheme="majorHAnsi" w:cstheme="majorHAnsi"/>
          <w:sz w:val="24"/>
          <w:szCs w:val="24"/>
          <w:lang w:val="ro-MD"/>
        </w:rPr>
        <w:t xml:space="preserve">și </w:t>
      </w:r>
      <w:r w:rsidRPr="009E5B39">
        <w:rPr>
          <w:rFonts w:asciiTheme="majorHAnsi" w:hAnsiTheme="majorHAnsi" w:cstheme="majorHAnsi"/>
          <w:sz w:val="24"/>
          <w:szCs w:val="24"/>
          <w:lang w:val="ro-MD"/>
        </w:rPr>
        <w:t xml:space="preserve">1 hotărâre în defavoarea SA ACC </w:t>
      </w:r>
      <w:r w:rsidR="00C335E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în sumă de </w:t>
      </w:r>
      <w:r w:rsidR="00931B79" w:rsidRPr="009E5B39">
        <w:rPr>
          <w:rFonts w:asciiTheme="majorHAnsi" w:hAnsiTheme="majorHAnsi" w:cstheme="majorHAnsi"/>
          <w:sz w:val="24"/>
          <w:szCs w:val="24"/>
          <w:lang w:val="ro-MD"/>
        </w:rPr>
        <w:t>0,</w:t>
      </w:r>
      <w:r w:rsidRPr="009E5B39">
        <w:rPr>
          <w:rFonts w:asciiTheme="majorHAnsi" w:hAnsiTheme="majorHAnsi" w:cstheme="majorHAnsi"/>
          <w:sz w:val="24"/>
          <w:szCs w:val="24"/>
          <w:lang w:val="ro-MD"/>
        </w:rPr>
        <w:t>8</w:t>
      </w:r>
      <w:r w:rsidR="00931B79" w:rsidRPr="009E5B39">
        <w:rPr>
          <w:rFonts w:asciiTheme="majorHAnsi" w:hAnsiTheme="majorHAnsi" w:cstheme="majorHAnsi"/>
          <w:sz w:val="24"/>
          <w:szCs w:val="24"/>
          <w:lang w:val="ro-MD"/>
        </w:rPr>
        <w:t>6</w:t>
      </w:r>
      <w:r w:rsidRPr="009E5B39">
        <w:rPr>
          <w:rFonts w:asciiTheme="majorHAnsi" w:hAnsiTheme="majorHAnsi" w:cstheme="majorHAnsi"/>
          <w:sz w:val="24"/>
          <w:szCs w:val="24"/>
          <w:lang w:val="ro-MD"/>
        </w:rPr>
        <w:t xml:space="preserve"> mi</w:t>
      </w:r>
      <w:r w:rsidR="00931B79" w:rsidRPr="009E5B39">
        <w:rPr>
          <w:rFonts w:asciiTheme="majorHAnsi" w:hAnsiTheme="majorHAnsi" w:cstheme="majorHAnsi"/>
          <w:sz w:val="24"/>
          <w:szCs w:val="24"/>
          <w:lang w:val="ro-MD"/>
        </w:rPr>
        <w:t>l</w:t>
      </w:r>
      <w:r w:rsidR="00C335E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La situația din 31.12.</w:t>
      </w:r>
      <w:r w:rsidR="00B42BAA" w:rsidRPr="009E5B39">
        <w:rPr>
          <w:rFonts w:asciiTheme="majorHAnsi" w:hAnsiTheme="majorHAnsi" w:cstheme="majorHAnsi"/>
          <w:sz w:val="24"/>
          <w:szCs w:val="24"/>
          <w:lang w:val="ro-MD"/>
        </w:rPr>
        <w:t>20</w:t>
      </w:r>
      <w:r w:rsidRPr="009E5B39">
        <w:rPr>
          <w:rFonts w:asciiTheme="majorHAnsi" w:hAnsiTheme="majorHAnsi" w:cstheme="majorHAnsi"/>
          <w:sz w:val="24"/>
          <w:szCs w:val="24"/>
          <w:lang w:val="ro-MD"/>
        </w:rPr>
        <w:t>21</w:t>
      </w:r>
      <w:r w:rsidR="00C335E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valoarea dosarelor cu privire la creanțel</w:t>
      </w:r>
      <w:r w:rsidR="00C335EE"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comerciale în proceduri de insolvabilitate  au constituit 180,7 mil</w:t>
      </w:r>
      <w:r w:rsidR="00C335E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dintre care cele mai mari sunt înregistrate de către ÎMGFL – 88,71 mil. lei</w:t>
      </w:r>
      <w:r w:rsidRPr="009E5B39">
        <w:rPr>
          <w:rFonts w:asciiTheme="majorHAnsi" w:hAnsiTheme="majorHAnsi" w:cstheme="majorHAnsi"/>
          <w:sz w:val="24"/>
          <w:szCs w:val="24"/>
          <w:vertAlign w:val="superscript"/>
          <w:lang w:val="ro-MD"/>
        </w:rPr>
        <w:footnoteReference w:id="237"/>
      </w:r>
      <w:r w:rsidRPr="009E5B39">
        <w:rPr>
          <w:rFonts w:asciiTheme="majorHAnsi" w:hAnsiTheme="majorHAnsi" w:cstheme="majorHAnsi"/>
          <w:sz w:val="24"/>
          <w:szCs w:val="24"/>
          <w:lang w:val="ro-MD"/>
        </w:rPr>
        <w:t xml:space="preserve">; APLP și agenții economici.  </w:t>
      </w:r>
      <w:r w:rsidR="00AC4480" w:rsidRPr="009E5B39">
        <w:rPr>
          <w:rFonts w:asciiTheme="majorHAnsi" w:hAnsiTheme="majorHAnsi" w:cstheme="majorHAnsi"/>
          <w:sz w:val="24"/>
          <w:szCs w:val="24"/>
          <w:lang w:val="ro-MD"/>
        </w:rPr>
        <w:t>Î</w:t>
      </w:r>
      <w:r w:rsidRPr="009E5B39">
        <w:rPr>
          <w:rFonts w:asciiTheme="majorHAnsi" w:hAnsiTheme="majorHAnsi" w:cstheme="majorHAnsi"/>
          <w:sz w:val="24"/>
          <w:szCs w:val="24"/>
          <w:lang w:val="ro-MD"/>
        </w:rPr>
        <w:t xml:space="preserve">n </w:t>
      </w:r>
      <w:r w:rsidR="005746A2" w:rsidRPr="009E5B39">
        <w:rPr>
          <w:rFonts w:asciiTheme="majorHAnsi" w:hAnsiTheme="majorHAnsi" w:cstheme="majorHAnsi"/>
          <w:sz w:val="24"/>
          <w:szCs w:val="24"/>
          <w:lang w:val="ro-MD"/>
        </w:rPr>
        <w:t xml:space="preserve">anul 2020 în </w:t>
      </w:r>
      <w:r w:rsidRPr="009E5B39">
        <w:rPr>
          <w:rFonts w:asciiTheme="majorHAnsi" w:hAnsiTheme="majorHAnsi" w:cstheme="majorHAnsi"/>
          <w:sz w:val="24"/>
          <w:szCs w:val="24"/>
          <w:lang w:val="ro-MD"/>
        </w:rPr>
        <w:t>instanța de judecată au fost înaintate doar 147 cereri de chemare în judecată privind încasarea datoriilor în sumă de 38</w:t>
      </w:r>
      <w:r w:rsidR="00044E6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0</w:t>
      </w:r>
      <w:r w:rsidR="00044E63" w:rsidRPr="009E5B39">
        <w:rPr>
          <w:rFonts w:asciiTheme="majorHAnsi" w:hAnsiTheme="majorHAnsi" w:cstheme="majorHAnsi"/>
          <w:sz w:val="24"/>
          <w:szCs w:val="24"/>
          <w:lang w:val="ro-MD"/>
        </w:rPr>
        <w:t>5</w:t>
      </w:r>
      <w:r w:rsidRPr="009E5B39">
        <w:rPr>
          <w:rFonts w:asciiTheme="majorHAnsi" w:hAnsiTheme="majorHAnsi" w:cstheme="majorHAnsi"/>
          <w:sz w:val="24"/>
          <w:szCs w:val="24"/>
          <w:lang w:val="ro-MD"/>
        </w:rPr>
        <w:t xml:space="preserve"> mi</w:t>
      </w:r>
      <w:r w:rsidR="00044E63" w:rsidRPr="009E5B39">
        <w:rPr>
          <w:rFonts w:asciiTheme="majorHAnsi" w:hAnsiTheme="majorHAnsi" w:cstheme="majorHAnsi"/>
          <w:sz w:val="24"/>
          <w:szCs w:val="24"/>
          <w:lang w:val="ro-MD"/>
        </w:rPr>
        <w:t>l</w:t>
      </w:r>
      <w:r w:rsidR="00C335E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(inclusiv S.A. ”Termoelectrica” și ÎMGFL-uri în procedură de insolvabilitate), fiind emise 93 de hotărâri judecătorești în sumă de 6</w:t>
      </w:r>
      <w:r w:rsidR="00044E6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17 mi</w:t>
      </w:r>
      <w:r w:rsidR="00044E63" w:rsidRPr="009E5B39">
        <w:rPr>
          <w:rFonts w:asciiTheme="majorHAnsi" w:hAnsiTheme="majorHAnsi" w:cstheme="majorHAnsi"/>
          <w:sz w:val="24"/>
          <w:szCs w:val="24"/>
          <w:lang w:val="ro-MD"/>
        </w:rPr>
        <w:t>l</w:t>
      </w:r>
      <w:r w:rsidR="001F3D5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w:t>
      </w:r>
    </w:p>
    <w:p w14:paraId="05789BE4" w14:textId="10074F53" w:rsidR="005746A2" w:rsidRPr="009E5B39" w:rsidRDefault="005746A2" w:rsidP="00DD4073">
      <w:pPr>
        <w:pStyle w:val="ListParagraph"/>
        <w:numPr>
          <w:ilvl w:val="0"/>
          <w:numId w:val="26"/>
        </w:numPr>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La 31.12.2021 erau în procedură de executare 312 titluri, în sumă de 30</w:t>
      </w:r>
      <w:r w:rsidR="00044E6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03 mi</w:t>
      </w:r>
      <w:r w:rsidR="00044E63" w:rsidRPr="009E5B39">
        <w:rPr>
          <w:rFonts w:asciiTheme="majorHAnsi" w:hAnsiTheme="majorHAnsi" w:cstheme="majorHAnsi"/>
          <w:sz w:val="24"/>
          <w:szCs w:val="24"/>
          <w:lang w:val="ro-MD"/>
        </w:rPr>
        <w:t>l</w:t>
      </w:r>
      <w:r w:rsidR="001F3D5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lei. Conform situației la 31.12.2021, s-au constatat creanțe cu termenul de prescripție extinctiv expirat de 302,1 mil.lei și s-a propus crearea provizioanelor. Pe parcursul anului 2021 au fost decontate din contul provizioanelor creanțe de 1,2 mil.lei, în special ale ÎMGFL. Totodată, SA AC Chișinău</w:t>
      </w:r>
      <w:r w:rsidR="001F3D5D"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 suportă cheltuieli pentru taxa de stat și cheltuieli de executare, care în anul 2021 au constituit  227,8 mii lei. </w:t>
      </w:r>
    </w:p>
    <w:p w14:paraId="09D13199" w14:textId="1E24124F" w:rsidR="00F55B80" w:rsidRPr="009E5B39" w:rsidRDefault="00D91A18" w:rsidP="00DD4073">
      <w:pPr>
        <w:pStyle w:val="ListParagraph"/>
        <w:numPr>
          <w:ilvl w:val="0"/>
          <w:numId w:val="26"/>
        </w:numPr>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i/>
          <w:sz w:val="24"/>
          <w:szCs w:val="24"/>
          <w:lang w:val="ro-MD"/>
        </w:rPr>
        <w:t xml:space="preserve">Contractarea companiilor de colectori. </w:t>
      </w:r>
      <w:r w:rsidRPr="009E5B39">
        <w:rPr>
          <w:rFonts w:asciiTheme="majorHAnsi" w:eastAsia="Times New Roman" w:hAnsiTheme="majorHAnsi" w:cstheme="majorHAnsi"/>
          <w:bCs/>
          <w:sz w:val="24"/>
          <w:szCs w:val="24"/>
          <w:lang w:val="ro-MD"/>
        </w:rPr>
        <w:t>În scopul recuperării creanțelor compromise, termenul de prescripție a cărora este expirat, SA ACC</w:t>
      </w:r>
      <w:r w:rsidR="001F3D5D" w:rsidRPr="009E5B39">
        <w:rPr>
          <w:rFonts w:asciiTheme="majorHAnsi" w:eastAsia="Times New Roman" w:hAnsiTheme="majorHAnsi" w:cstheme="majorHAnsi"/>
          <w:bCs/>
          <w:sz w:val="24"/>
          <w:szCs w:val="24"/>
          <w:lang w:val="ro-MD"/>
        </w:rPr>
        <w:t>,</w:t>
      </w:r>
      <w:r w:rsidRPr="009E5B39">
        <w:rPr>
          <w:rFonts w:asciiTheme="majorHAnsi" w:eastAsia="Times New Roman" w:hAnsiTheme="majorHAnsi" w:cstheme="majorHAnsi"/>
          <w:bCs/>
          <w:sz w:val="24"/>
          <w:szCs w:val="24"/>
          <w:lang w:val="ro-MD"/>
        </w:rPr>
        <w:t xml:space="preserve"> pe parcursul anului 2020</w:t>
      </w:r>
      <w:r w:rsidR="001F3D5D" w:rsidRPr="009E5B39">
        <w:rPr>
          <w:rFonts w:asciiTheme="majorHAnsi" w:eastAsia="Times New Roman" w:hAnsiTheme="majorHAnsi" w:cstheme="majorHAnsi"/>
          <w:bCs/>
          <w:sz w:val="24"/>
          <w:szCs w:val="24"/>
          <w:lang w:val="ro-MD"/>
        </w:rPr>
        <w:t>,</w:t>
      </w:r>
      <w:r w:rsidRPr="009E5B39">
        <w:rPr>
          <w:rFonts w:asciiTheme="majorHAnsi" w:eastAsia="Times New Roman" w:hAnsiTheme="majorHAnsi" w:cstheme="majorHAnsi"/>
          <w:bCs/>
          <w:sz w:val="24"/>
          <w:szCs w:val="24"/>
          <w:lang w:val="ro-MD"/>
        </w:rPr>
        <w:t xml:space="preserve"> a</w:t>
      </w:r>
      <w:r w:rsidR="001F3D5D" w:rsidRPr="009E5B39">
        <w:rPr>
          <w:rFonts w:asciiTheme="majorHAnsi" w:eastAsia="Times New Roman" w:hAnsiTheme="majorHAnsi" w:cstheme="majorHAnsi"/>
          <w:bCs/>
          <w:sz w:val="24"/>
          <w:szCs w:val="24"/>
          <w:lang w:val="ro-MD"/>
        </w:rPr>
        <w:t xml:space="preserve"> </w:t>
      </w:r>
      <w:r w:rsidRPr="009E5B39">
        <w:rPr>
          <w:rFonts w:asciiTheme="majorHAnsi" w:eastAsia="Times New Roman" w:hAnsiTheme="majorHAnsi" w:cstheme="majorHAnsi"/>
          <w:bCs/>
          <w:sz w:val="24"/>
          <w:szCs w:val="24"/>
          <w:lang w:val="ro-MD"/>
        </w:rPr>
        <w:t>încheiat contracte cu companiile de colectare a datoriilor</w:t>
      </w:r>
      <w:r w:rsidR="00B42BAA" w:rsidRPr="009E5B39">
        <w:rPr>
          <w:rStyle w:val="FootnoteReference"/>
          <w:rFonts w:asciiTheme="majorHAnsi" w:eastAsia="Times New Roman" w:hAnsiTheme="majorHAnsi" w:cstheme="majorHAnsi"/>
          <w:bCs/>
          <w:sz w:val="24"/>
          <w:szCs w:val="24"/>
          <w:lang w:val="ro-MD"/>
        </w:rPr>
        <w:footnoteReference w:id="238"/>
      </w:r>
      <w:r w:rsidRPr="009E5B39">
        <w:rPr>
          <w:rFonts w:asciiTheme="majorHAnsi" w:eastAsia="Times New Roman" w:hAnsiTheme="majorHAnsi" w:cstheme="majorHAnsi"/>
          <w:bCs/>
          <w:sz w:val="24"/>
          <w:szCs w:val="24"/>
          <w:lang w:val="ro-MD"/>
        </w:rPr>
        <w:t xml:space="preserve">.  </w:t>
      </w:r>
    </w:p>
    <w:p w14:paraId="52A74F65" w14:textId="5B19E501" w:rsidR="00613521" w:rsidRPr="009E5B39" w:rsidRDefault="00613521" w:rsidP="00DD4073">
      <w:pPr>
        <w:pStyle w:val="ListParagraph"/>
        <w:numPr>
          <w:ilvl w:val="2"/>
          <w:numId w:val="78"/>
        </w:numPr>
        <w:spacing w:after="0" w:line="276" w:lineRule="auto"/>
        <w:ind w:left="0" w:firstLine="0"/>
        <w:jc w:val="both"/>
        <w:rPr>
          <w:rFonts w:asciiTheme="majorHAnsi" w:hAnsiTheme="majorHAnsi" w:cstheme="majorHAnsi"/>
          <w:b/>
          <w:bCs/>
          <w:i/>
          <w:sz w:val="24"/>
          <w:szCs w:val="24"/>
          <w:lang w:val="ro-MD"/>
        </w:rPr>
      </w:pPr>
      <w:r w:rsidRPr="009E5B39">
        <w:rPr>
          <w:rFonts w:asciiTheme="majorHAnsi" w:hAnsiTheme="majorHAnsi" w:cstheme="majorHAnsi"/>
          <w:b/>
          <w:i/>
          <w:sz w:val="24"/>
          <w:szCs w:val="24"/>
          <w:lang w:val="ro-MD"/>
        </w:rPr>
        <w:t xml:space="preserve">Recomandările înaintate prin  </w:t>
      </w:r>
      <w:r w:rsidR="009C69A2" w:rsidRPr="009E5B39">
        <w:rPr>
          <w:rFonts w:asciiTheme="majorHAnsi" w:hAnsiTheme="majorHAnsi" w:cstheme="majorHAnsi"/>
          <w:b/>
          <w:bCs/>
          <w:i/>
          <w:sz w:val="24"/>
          <w:szCs w:val="24"/>
          <w:lang w:val="ro-MD"/>
        </w:rPr>
        <w:t>HCC</w:t>
      </w:r>
      <w:r w:rsidRPr="009E5B39">
        <w:rPr>
          <w:rFonts w:asciiTheme="majorHAnsi" w:hAnsiTheme="majorHAnsi" w:cstheme="majorHAnsi"/>
          <w:b/>
          <w:bCs/>
          <w:i/>
          <w:sz w:val="24"/>
          <w:szCs w:val="24"/>
          <w:lang w:val="ro-MD"/>
        </w:rPr>
        <w:t xml:space="preserve"> nr. 22 din 24.06.2020 „Cu privire la Raportul auditului conformității asupra executării bugetului și gestionării patrimoniului public de către DGLCA pe anii 2018-2019”</w:t>
      </w:r>
      <w:r w:rsidR="00044E63" w:rsidRPr="009E5B39">
        <w:rPr>
          <w:rFonts w:asciiTheme="majorHAnsi" w:hAnsiTheme="majorHAnsi" w:cstheme="majorHAnsi"/>
          <w:b/>
          <w:bCs/>
          <w:i/>
          <w:sz w:val="24"/>
          <w:szCs w:val="24"/>
          <w:lang w:val="ro-MD"/>
        </w:rPr>
        <w:t xml:space="preserve"> </w:t>
      </w:r>
      <w:r w:rsidR="00A42A77" w:rsidRPr="009E5B39">
        <w:rPr>
          <w:rFonts w:asciiTheme="majorHAnsi" w:hAnsiTheme="majorHAnsi" w:cstheme="majorHAnsi"/>
          <w:b/>
          <w:bCs/>
          <w:i/>
          <w:sz w:val="24"/>
          <w:szCs w:val="24"/>
          <w:lang w:val="ro-MD"/>
        </w:rPr>
        <w:t>.</w:t>
      </w:r>
    </w:p>
    <w:p w14:paraId="53A3F922" w14:textId="20CD4AF6" w:rsidR="00456E5E" w:rsidRPr="009E5B39" w:rsidRDefault="00456E5E" w:rsidP="00DD4073">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Din numărul total de recomandări înaintate</w:t>
      </w:r>
      <w:r w:rsidR="001F3D5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2 recomandări au fost implementate parțial și 4 recomandări nu au fost implementate. </w:t>
      </w:r>
      <w:r w:rsidR="001F3D5D" w:rsidRPr="009E5B39">
        <w:rPr>
          <w:rFonts w:asciiTheme="majorHAnsi" w:hAnsiTheme="majorHAnsi" w:cstheme="majorHAnsi"/>
          <w:sz w:val="24"/>
          <w:szCs w:val="24"/>
          <w:lang w:val="ro-MD"/>
        </w:rPr>
        <w:t>(</w:t>
      </w:r>
      <w:r w:rsidR="007A1B7F" w:rsidRPr="009E5B39">
        <w:rPr>
          <w:rFonts w:asciiTheme="majorHAnsi" w:hAnsiTheme="majorHAnsi" w:cstheme="majorHAnsi"/>
          <w:i/>
          <w:sz w:val="24"/>
          <w:szCs w:val="24"/>
          <w:lang w:val="ro-MD"/>
        </w:rPr>
        <w:t>Vezi Anexa nr.</w:t>
      </w:r>
      <w:r w:rsidR="00B45C24" w:rsidRPr="009E5B39">
        <w:rPr>
          <w:rFonts w:asciiTheme="majorHAnsi" w:hAnsiTheme="majorHAnsi" w:cstheme="majorHAnsi"/>
          <w:i/>
          <w:sz w:val="24"/>
          <w:szCs w:val="24"/>
          <w:lang w:val="ro-MD"/>
        </w:rPr>
        <w:t xml:space="preserve">20 </w:t>
      </w:r>
      <w:r w:rsidRPr="009E5B39">
        <w:rPr>
          <w:rFonts w:asciiTheme="majorHAnsi" w:hAnsiTheme="majorHAnsi" w:cstheme="majorHAnsi"/>
          <w:i/>
          <w:sz w:val="24"/>
          <w:szCs w:val="24"/>
          <w:lang w:val="ro-MD"/>
        </w:rPr>
        <w:t>la Rapor</w:t>
      </w:r>
      <w:r w:rsidR="001F3D5D" w:rsidRPr="009E5B39">
        <w:rPr>
          <w:rFonts w:asciiTheme="majorHAnsi" w:hAnsiTheme="majorHAnsi" w:cstheme="majorHAnsi"/>
          <w:i/>
          <w:sz w:val="24"/>
          <w:szCs w:val="24"/>
          <w:lang w:val="ro-MD"/>
        </w:rPr>
        <w:t>tul de audi</w:t>
      </w:r>
      <w:r w:rsidRPr="009E5B39">
        <w:rPr>
          <w:rFonts w:asciiTheme="majorHAnsi" w:hAnsiTheme="majorHAnsi" w:cstheme="majorHAnsi"/>
          <w:i/>
          <w:sz w:val="24"/>
          <w:szCs w:val="24"/>
          <w:lang w:val="ro-MD"/>
        </w:rPr>
        <w:t>t.</w:t>
      </w:r>
      <w:r w:rsidR="001F3D5D" w:rsidRPr="009E5B39">
        <w:rPr>
          <w:rFonts w:asciiTheme="majorHAnsi" w:hAnsiTheme="majorHAnsi" w:cstheme="majorHAnsi"/>
          <w:i/>
          <w:sz w:val="24"/>
          <w:szCs w:val="24"/>
          <w:lang w:val="ro-MD"/>
        </w:rPr>
        <w:t>)</w:t>
      </w:r>
    </w:p>
    <w:p w14:paraId="12F399BB" w14:textId="61103D13" w:rsidR="00960BDD" w:rsidRPr="009E5B39" w:rsidRDefault="00960BDD" w:rsidP="00DD4073">
      <w:pPr>
        <w:pStyle w:val="ListParagraph"/>
        <w:numPr>
          <w:ilvl w:val="2"/>
          <w:numId w:val="78"/>
        </w:numPr>
        <w:spacing w:after="0" w:line="276" w:lineRule="auto"/>
        <w:ind w:left="0" w:firstLine="0"/>
        <w:jc w:val="both"/>
        <w:rPr>
          <w:rFonts w:asciiTheme="majorHAnsi" w:eastAsia="Times New Roman" w:hAnsiTheme="majorHAnsi" w:cstheme="majorHAnsi"/>
          <w:b/>
          <w:i/>
          <w:sz w:val="24"/>
          <w:szCs w:val="24"/>
          <w:lang w:val="ro-MD"/>
        </w:rPr>
      </w:pPr>
      <w:r w:rsidRPr="009E5B39">
        <w:rPr>
          <w:rFonts w:asciiTheme="majorHAnsi" w:eastAsia="Times New Roman" w:hAnsiTheme="majorHAnsi" w:cstheme="majorHAnsi"/>
          <w:b/>
          <w:i/>
          <w:sz w:val="24"/>
          <w:szCs w:val="24"/>
          <w:lang w:val="ro-MD"/>
        </w:rPr>
        <w:t xml:space="preserve">Implementarea recomandărilor aferente </w:t>
      </w:r>
      <w:r w:rsidR="009C69A2" w:rsidRPr="009E5B39">
        <w:rPr>
          <w:rFonts w:asciiTheme="majorHAnsi" w:eastAsia="Times New Roman" w:hAnsiTheme="majorHAnsi" w:cstheme="majorHAnsi"/>
          <w:b/>
          <w:i/>
          <w:sz w:val="24"/>
          <w:szCs w:val="24"/>
          <w:lang w:val="ro-MD"/>
        </w:rPr>
        <w:t>HCC</w:t>
      </w:r>
      <w:r w:rsidRPr="009E5B39">
        <w:rPr>
          <w:rFonts w:asciiTheme="majorHAnsi" w:eastAsia="Times New Roman" w:hAnsiTheme="majorHAnsi" w:cstheme="majorHAnsi"/>
          <w:b/>
          <w:i/>
          <w:sz w:val="24"/>
          <w:szCs w:val="24"/>
          <w:lang w:val="ro-MD"/>
        </w:rPr>
        <w:t xml:space="preserve"> nr.7 din 26 februarie 2021 </w:t>
      </w:r>
      <w:r w:rsidR="006159CB" w:rsidRPr="009E5B39">
        <w:rPr>
          <w:rFonts w:asciiTheme="majorHAnsi" w:eastAsia="Times New Roman" w:hAnsiTheme="majorHAnsi" w:cstheme="majorHAnsi"/>
          <w:b/>
          <w:i/>
          <w:sz w:val="24"/>
          <w:szCs w:val="24"/>
          <w:lang w:val="ro-MD"/>
        </w:rPr>
        <w:t>„C</w:t>
      </w:r>
      <w:r w:rsidRPr="009E5B39">
        <w:rPr>
          <w:rFonts w:asciiTheme="majorHAnsi" w:eastAsia="Times New Roman" w:hAnsiTheme="majorHAnsi" w:cstheme="majorHAnsi"/>
          <w:b/>
          <w:i/>
          <w:sz w:val="24"/>
          <w:szCs w:val="24"/>
          <w:lang w:val="ro-MD"/>
        </w:rPr>
        <w:t>u privire la Raportul auditului conformității asupra organizării, realizării și supravegherii parteneriatelor public-private încheiate de Ministerul Educației, Culturii și Cercetării, Academia de Științe a Moldovei, UAT mun. Chișinău și entitățile din subordine</w:t>
      </w:r>
      <w:r w:rsidR="00044E63" w:rsidRPr="009E5B39">
        <w:rPr>
          <w:rFonts w:asciiTheme="majorHAnsi" w:eastAsia="Times New Roman" w:hAnsiTheme="majorHAnsi" w:cstheme="majorHAnsi"/>
          <w:b/>
          <w:i/>
          <w:sz w:val="24"/>
          <w:szCs w:val="24"/>
          <w:lang w:val="ro-MD"/>
        </w:rPr>
        <w:t xml:space="preserve"> </w:t>
      </w:r>
      <w:r w:rsidR="0063109C" w:rsidRPr="009E5B39">
        <w:rPr>
          <w:rFonts w:asciiTheme="majorHAnsi" w:eastAsia="Times New Roman" w:hAnsiTheme="majorHAnsi" w:cstheme="majorHAnsi"/>
          <w:b/>
          <w:i/>
          <w:sz w:val="24"/>
          <w:szCs w:val="24"/>
          <w:lang w:val="ro-MD"/>
        </w:rPr>
        <w:t>.</w:t>
      </w:r>
    </w:p>
    <w:p w14:paraId="7D0D164F" w14:textId="4703DD17" w:rsidR="00456E5E" w:rsidRPr="009E5B39" w:rsidRDefault="00456E5E" w:rsidP="00EF4BC3">
      <w:pPr>
        <w:spacing w:after="0" w:line="276" w:lineRule="auto"/>
        <w:ind w:firstLine="720"/>
        <w:jc w:val="both"/>
        <w:rPr>
          <w:rFonts w:asciiTheme="majorHAnsi" w:hAnsiTheme="majorHAnsi" w:cstheme="majorHAnsi"/>
          <w:i/>
          <w:sz w:val="24"/>
          <w:szCs w:val="24"/>
          <w:lang w:val="ro-MD"/>
        </w:rPr>
      </w:pPr>
      <w:r w:rsidRPr="009E5B39">
        <w:rPr>
          <w:rFonts w:asciiTheme="majorHAnsi" w:hAnsiTheme="majorHAnsi" w:cstheme="majorHAnsi"/>
          <w:sz w:val="24"/>
          <w:szCs w:val="24"/>
          <w:lang w:val="ro-MD"/>
        </w:rPr>
        <w:t xml:space="preserve">Din numărul total de recomandări înaintate </w:t>
      </w:r>
      <w:r w:rsidR="007161DE" w:rsidRPr="009E5B39">
        <w:rPr>
          <w:rFonts w:asciiTheme="majorHAnsi" w:hAnsiTheme="majorHAnsi" w:cstheme="majorHAnsi"/>
          <w:sz w:val="24"/>
          <w:szCs w:val="24"/>
          <w:lang w:val="ro-MD"/>
        </w:rPr>
        <w:t xml:space="preserve">UAT mun. Chișinău, </w:t>
      </w:r>
      <w:r w:rsidRPr="009E5B39">
        <w:rPr>
          <w:rFonts w:asciiTheme="majorHAnsi" w:hAnsiTheme="majorHAnsi" w:cstheme="majorHAnsi"/>
          <w:sz w:val="24"/>
          <w:szCs w:val="24"/>
          <w:lang w:val="ro-MD"/>
        </w:rPr>
        <w:t xml:space="preserve">2 recomandări au fost implementate, o recomandare a fost implementată parțial și 5 recomandări nu au fost implementate. </w:t>
      </w:r>
      <w:r w:rsidR="001F3D5D" w:rsidRPr="009E5B39">
        <w:rPr>
          <w:rFonts w:asciiTheme="majorHAnsi" w:hAnsiTheme="majorHAnsi" w:cstheme="majorHAnsi"/>
          <w:sz w:val="24"/>
          <w:szCs w:val="24"/>
          <w:lang w:val="ro-MD"/>
        </w:rPr>
        <w:t>(</w:t>
      </w:r>
      <w:r w:rsidR="007A1B7F" w:rsidRPr="009E5B39">
        <w:rPr>
          <w:rFonts w:asciiTheme="majorHAnsi" w:hAnsiTheme="majorHAnsi" w:cstheme="majorHAnsi"/>
          <w:i/>
          <w:sz w:val="24"/>
          <w:szCs w:val="24"/>
          <w:lang w:val="ro-MD"/>
        </w:rPr>
        <w:t>Vezi Anexa nr.</w:t>
      </w:r>
      <w:r w:rsidR="00B45C24" w:rsidRPr="009E5B39">
        <w:rPr>
          <w:rFonts w:asciiTheme="majorHAnsi" w:hAnsiTheme="majorHAnsi" w:cstheme="majorHAnsi"/>
          <w:i/>
          <w:sz w:val="24"/>
          <w:szCs w:val="24"/>
          <w:lang w:val="ro-MD"/>
        </w:rPr>
        <w:t>21</w:t>
      </w:r>
      <w:r w:rsidRPr="009E5B39">
        <w:rPr>
          <w:rFonts w:asciiTheme="majorHAnsi" w:hAnsiTheme="majorHAnsi" w:cstheme="majorHAnsi"/>
          <w:i/>
          <w:sz w:val="24"/>
          <w:szCs w:val="24"/>
          <w:lang w:val="ro-MD"/>
        </w:rPr>
        <w:t xml:space="preserve"> la Raport</w:t>
      </w:r>
      <w:r w:rsidR="001F3D5D" w:rsidRPr="009E5B39">
        <w:rPr>
          <w:rFonts w:asciiTheme="majorHAnsi" w:hAnsiTheme="majorHAnsi" w:cstheme="majorHAnsi"/>
          <w:i/>
          <w:sz w:val="24"/>
          <w:szCs w:val="24"/>
          <w:lang w:val="ro-MD"/>
        </w:rPr>
        <w:t>ul de audit.)</w:t>
      </w:r>
    </w:p>
    <w:p w14:paraId="640052AD" w14:textId="4E95F9B1" w:rsidR="0063109C" w:rsidRPr="009E5B39" w:rsidRDefault="0063109C" w:rsidP="0063109C">
      <w:pPr>
        <w:pStyle w:val="ListParagraph"/>
        <w:numPr>
          <w:ilvl w:val="2"/>
          <w:numId w:val="78"/>
        </w:numPr>
        <w:spacing w:after="0" w:line="276" w:lineRule="auto"/>
        <w:ind w:left="0" w:firstLine="0"/>
        <w:jc w:val="both"/>
        <w:rPr>
          <w:rFonts w:asciiTheme="majorHAnsi" w:eastAsia="Times New Roman" w:hAnsiTheme="majorHAnsi" w:cstheme="majorHAnsi"/>
          <w:b/>
          <w:i/>
          <w:sz w:val="24"/>
          <w:szCs w:val="24"/>
          <w:lang w:val="ro-MD"/>
        </w:rPr>
      </w:pPr>
      <w:r w:rsidRPr="009E5B39">
        <w:rPr>
          <w:rFonts w:asciiTheme="majorHAnsi" w:eastAsia="Times New Roman" w:hAnsiTheme="majorHAnsi" w:cstheme="majorHAnsi"/>
          <w:b/>
          <w:i/>
          <w:sz w:val="24"/>
          <w:szCs w:val="24"/>
          <w:lang w:val="ro-MD"/>
        </w:rPr>
        <w:t xml:space="preserve">Implementarea recomandărilor aferente </w:t>
      </w:r>
      <w:r w:rsidR="009C69A2" w:rsidRPr="009E5B39">
        <w:rPr>
          <w:rFonts w:asciiTheme="majorHAnsi" w:eastAsia="Times New Roman" w:hAnsiTheme="majorHAnsi" w:cstheme="majorHAnsi"/>
          <w:b/>
          <w:i/>
          <w:sz w:val="24"/>
          <w:szCs w:val="24"/>
          <w:lang w:val="ro-MD"/>
        </w:rPr>
        <w:t>HCC</w:t>
      </w:r>
      <w:r w:rsidRPr="009E5B39">
        <w:rPr>
          <w:rFonts w:asciiTheme="majorHAnsi" w:eastAsia="Times New Roman" w:hAnsiTheme="majorHAnsi" w:cstheme="majorHAnsi"/>
          <w:b/>
          <w:i/>
          <w:sz w:val="24"/>
          <w:szCs w:val="24"/>
          <w:lang w:val="ro-MD"/>
        </w:rPr>
        <w:t xml:space="preserve"> </w:t>
      </w:r>
      <w:r w:rsidRPr="009E5B39">
        <w:rPr>
          <w:rFonts w:asciiTheme="majorHAnsi" w:hAnsiTheme="majorHAnsi" w:cstheme="majorHAnsi"/>
          <w:b/>
          <w:sz w:val="24"/>
          <w:szCs w:val="24"/>
          <w:lang w:val="ro-MD"/>
        </w:rPr>
        <w:t>nr. 30 din 26.07.2016</w:t>
      </w:r>
      <w:r w:rsidRPr="009E5B39">
        <w:rPr>
          <w:rFonts w:asciiTheme="majorHAnsi" w:hAnsiTheme="majorHAnsi" w:cstheme="majorHAnsi"/>
          <w:sz w:val="24"/>
          <w:szCs w:val="24"/>
          <w:lang w:val="ro-MD"/>
        </w:rPr>
        <w:t xml:space="preserve"> „Privind Raportul auditului conformității gestionării patrimoniului public în cadrul entităților publice din mun. Chișinău pe anii 2014-2015”. </w:t>
      </w:r>
    </w:p>
    <w:p w14:paraId="40C80DD9" w14:textId="6A98D058" w:rsidR="0063109C" w:rsidRPr="009E5B39" w:rsidRDefault="0063109C" w:rsidP="001F48A2">
      <w:pPr>
        <w:spacing w:after="0" w:line="276" w:lineRule="auto"/>
        <w:ind w:firstLine="720"/>
        <w:jc w:val="both"/>
        <w:rPr>
          <w:rFonts w:asciiTheme="majorHAnsi" w:hAnsiTheme="majorHAnsi" w:cstheme="majorHAnsi"/>
          <w:i/>
          <w:sz w:val="24"/>
          <w:szCs w:val="24"/>
          <w:lang w:val="ro-MD"/>
        </w:rPr>
      </w:pPr>
      <w:r w:rsidRPr="009E5B39">
        <w:rPr>
          <w:rFonts w:asciiTheme="majorHAnsi" w:hAnsiTheme="majorHAnsi" w:cstheme="majorHAnsi"/>
          <w:sz w:val="24"/>
          <w:szCs w:val="24"/>
          <w:lang w:val="ro-MD"/>
        </w:rPr>
        <w:t xml:space="preserve">Din 25 de cerințe/recomandări înaintate UAT mun. Chișinău, 16 recomandări au fost implementate parțial și 9 recomandări nu au fost implementate. </w:t>
      </w:r>
      <w:r w:rsidR="006159CB" w:rsidRPr="009E5B39">
        <w:rPr>
          <w:rFonts w:asciiTheme="majorHAnsi" w:hAnsiTheme="majorHAnsi" w:cstheme="majorHAnsi"/>
          <w:sz w:val="24"/>
          <w:szCs w:val="24"/>
          <w:lang w:val="ro-MD"/>
        </w:rPr>
        <w:t>(</w:t>
      </w:r>
      <w:r w:rsidRPr="009E5B39">
        <w:rPr>
          <w:rFonts w:asciiTheme="majorHAnsi" w:hAnsiTheme="majorHAnsi" w:cstheme="majorHAnsi"/>
          <w:i/>
          <w:sz w:val="24"/>
          <w:szCs w:val="24"/>
          <w:lang w:val="ro-MD"/>
        </w:rPr>
        <w:t>Vezi Anexa nr.22 la Raport</w:t>
      </w:r>
      <w:r w:rsidR="006159CB" w:rsidRPr="009E5B39">
        <w:rPr>
          <w:rFonts w:asciiTheme="majorHAnsi" w:hAnsiTheme="majorHAnsi" w:cstheme="majorHAnsi"/>
          <w:i/>
          <w:sz w:val="24"/>
          <w:szCs w:val="24"/>
          <w:lang w:val="ro-MD"/>
        </w:rPr>
        <w:t>ul de audit.)</w:t>
      </w:r>
    </w:p>
    <w:p w14:paraId="2E4CAB8E" w14:textId="47C198E1" w:rsidR="0063109C" w:rsidRPr="009E5B39" w:rsidRDefault="0063109C" w:rsidP="00E0384B">
      <w:pPr>
        <w:spacing w:after="0"/>
        <w:jc w:val="center"/>
        <w:rPr>
          <w:rFonts w:asciiTheme="majorHAnsi" w:hAnsiTheme="majorHAnsi" w:cstheme="majorHAnsi"/>
          <w:sz w:val="24"/>
          <w:szCs w:val="24"/>
          <w:lang w:val="ro-MD"/>
        </w:rPr>
      </w:pPr>
    </w:p>
    <w:p w14:paraId="396880DE" w14:textId="42DA5374" w:rsidR="00F55B80" w:rsidRPr="009E5B39" w:rsidRDefault="00F55B80" w:rsidP="00EF4BC3">
      <w:pPr>
        <w:pStyle w:val="Heading1"/>
        <w:spacing w:before="0" w:line="276" w:lineRule="auto"/>
        <w:rPr>
          <w:rFonts w:cstheme="majorHAnsi"/>
          <w:b/>
          <w:color w:val="auto"/>
          <w:sz w:val="24"/>
          <w:szCs w:val="24"/>
          <w:lang w:val="ro-MD"/>
        </w:rPr>
      </w:pPr>
      <w:bookmarkStart w:id="13" w:name="_Toc116026881"/>
      <w:bookmarkStart w:id="14" w:name="_Toc58780366"/>
      <w:r w:rsidRPr="009E5B39">
        <w:rPr>
          <w:rFonts w:cstheme="majorHAnsi"/>
          <w:b/>
          <w:color w:val="auto"/>
          <w:sz w:val="24"/>
          <w:szCs w:val="24"/>
          <w:lang w:val="ro-MD"/>
        </w:rPr>
        <w:t xml:space="preserve">V. </w:t>
      </w:r>
      <w:r w:rsidRPr="009E5B39">
        <w:rPr>
          <w:rFonts w:cstheme="majorHAnsi"/>
          <w:b/>
          <w:color w:val="000000" w:themeColor="text1"/>
          <w:sz w:val="24"/>
          <w:szCs w:val="24"/>
          <w:lang w:val="ro-MD"/>
        </w:rPr>
        <w:t>CONCLUZI</w:t>
      </w:r>
      <w:r w:rsidR="00AD788C" w:rsidRPr="009E5B39">
        <w:rPr>
          <w:rFonts w:cstheme="majorHAnsi"/>
          <w:b/>
          <w:color w:val="000000" w:themeColor="text1"/>
          <w:sz w:val="24"/>
          <w:szCs w:val="24"/>
          <w:lang w:val="ro-MD"/>
        </w:rPr>
        <w:t>A GENERALĂ</w:t>
      </w:r>
      <w:bookmarkEnd w:id="13"/>
      <w:r w:rsidRPr="009E5B39">
        <w:rPr>
          <w:rFonts w:cstheme="majorHAnsi"/>
          <w:b/>
          <w:color w:val="000000" w:themeColor="text1"/>
          <w:sz w:val="24"/>
          <w:szCs w:val="24"/>
          <w:lang w:val="ro-MD"/>
        </w:rPr>
        <w:t xml:space="preserve"> </w:t>
      </w:r>
      <w:bookmarkEnd w:id="14"/>
    </w:p>
    <w:p w14:paraId="66672863" w14:textId="25B572BA" w:rsidR="00E54210" w:rsidRPr="009E5B39" w:rsidRDefault="00E54210" w:rsidP="00EF4BC3">
      <w:pPr>
        <w:spacing w:after="0" w:line="276" w:lineRule="auto"/>
        <w:ind w:firstLine="567"/>
        <w:jc w:val="both"/>
        <w:rPr>
          <w:rFonts w:asciiTheme="majorHAnsi" w:eastAsia="Times New Roman" w:hAnsiTheme="majorHAnsi" w:cstheme="majorHAnsi"/>
          <w:sz w:val="24"/>
          <w:szCs w:val="24"/>
          <w:lang w:val="ro-MD"/>
        </w:rPr>
      </w:pPr>
      <w:bookmarkStart w:id="15" w:name="_Toc60045179"/>
      <w:bookmarkStart w:id="16" w:name="_Toc58780367"/>
      <w:r w:rsidRPr="009E5B39">
        <w:rPr>
          <w:rFonts w:asciiTheme="majorHAnsi" w:eastAsia="Times New Roman" w:hAnsiTheme="majorHAnsi" w:cstheme="majorHAnsi"/>
          <w:sz w:val="24"/>
          <w:szCs w:val="24"/>
          <w:lang w:val="ro-MD"/>
        </w:rPr>
        <w:t xml:space="preserve">Misiunea de audit atestă un deficit de reguli și proceduri aferente procesului de gestionare a mijloacelor bugetare și a patrimoniului public ale UAT mun. Chișinău, astfel managementul instituțional și cel financiar nefiind racordate la principiile bunei guvernări. </w:t>
      </w:r>
    </w:p>
    <w:p w14:paraId="1E855926" w14:textId="5CA545A3" w:rsidR="00E54210" w:rsidRPr="009E5B39" w:rsidRDefault="00E54210" w:rsidP="009E5B39">
      <w:pPr>
        <w:spacing w:after="0" w:line="276" w:lineRule="auto"/>
        <w:ind w:firstLine="567"/>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 xml:space="preserve">Managementul gestionării patrimoniului UAT mun. Chișinău nu întrunește rigorile cadrului legal, acesta fiind afectat de nereguli și deficiențe, care se exprimă prin </w:t>
      </w:r>
      <w:r w:rsidR="00833EEE" w:rsidRPr="009E5B39">
        <w:rPr>
          <w:rFonts w:ascii="Calibri Light" w:eastAsia="Times New Roman" w:hAnsi="Calibri Light" w:cs="Calibri Light"/>
          <w:sz w:val="24"/>
          <w:szCs w:val="24"/>
          <w:lang w:val="ro-MD"/>
        </w:rPr>
        <w:t>gestiunea și evidența necorespunzătoare a cheltuielilor și patrimoniului public</w:t>
      </w:r>
      <w:r w:rsidRPr="009E5B39">
        <w:rPr>
          <w:rFonts w:asciiTheme="majorHAnsi" w:eastAsia="Times New Roman" w:hAnsiTheme="majorHAnsi" w:cstheme="majorHAnsi"/>
          <w:sz w:val="24"/>
          <w:szCs w:val="24"/>
          <w:lang w:val="ro-MD"/>
        </w:rPr>
        <w:t xml:space="preserve">, </w:t>
      </w:r>
      <w:r w:rsidR="00833EEE" w:rsidRPr="009E5B39">
        <w:rPr>
          <w:rFonts w:asciiTheme="majorHAnsi" w:eastAsia="Times New Roman" w:hAnsiTheme="majorHAnsi" w:cstheme="majorHAnsi"/>
          <w:sz w:val="24"/>
          <w:szCs w:val="24"/>
          <w:lang w:val="ro-MD"/>
        </w:rPr>
        <w:t xml:space="preserve"> inclusiv la </w:t>
      </w:r>
      <w:r w:rsidRPr="009E5B39">
        <w:rPr>
          <w:rFonts w:asciiTheme="majorHAnsi" w:eastAsia="Times New Roman" w:hAnsiTheme="majorHAnsi" w:cstheme="majorHAnsi"/>
          <w:sz w:val="24"/>
          <w:szCs w:val="24"/>
          <w:lang w:val="ro-MD"/>
        </w:rPr>
        <w:t>întreprinderil</w:t>
      </w:r>
      <w:r w:rsidR="00833EEE" w:rsidRPr="009E5B39">
        <w:rPr>
          <w:rFonts w:asciiTheme="majorHAnsi" w:eastAsia="Times New Roman" w:hAnsiTheme="majorHAnsi" w:cstheme="majorHAnsi"/>
          <w:sz w:val="24"/>
          <w:szCs w:val="24"/>
          <w:lang w:val="ro-MD"/>
        </w:rPr>
        <w:t>e</w:t>
      </w:r>
      <w:r w:rsidRPr="009E5B39">
        <w:rPr>
          <w:rFonts w:asciiTheme="majorHAnsi" w:eastAsia="Times New Roman" w:hAnsiTheme="majorHAnsi" w:cstheme="majorHAnsi"/>
          <w:sz w:val="24"/>
          <w:szCs w:val="24"/>
          <w:lang w:val="ro-MD"/>
        </w:rPr>
        <w:t xml:space="preserve"> </w:t>
      </w:r>
      <w:r w:rsidR="00833EEE" w:rsidRPr="009E5B39">
        <w:rPr>
          <w:rFonts w:asciiTheme="majorHAnsi" w:eastAsia="Times New Roman" w:hAnsiTheme="majorHAnsi" w:cstheme="majorHAnsi"/>
          <w:sz w:val="24"/>
          <w:szCs w:val="24"/>
          <w:lang w:val="ro-MD"/>
        </w:rPr>
        <w:t xml:space="preserve">fondate de </w:t>
      </w:r>
      <w:r w:rsidRPr="009E5B39">
        <w:rPr>
          <w:rFonts w:asciiTheme="majorHAnsi" w:eastAsia="Times New Roman" w:hAnsiTheme="majorHAnsi" w:cstheme="majorHAnsi"/>
          <w:sz w:val="24"/>
          <w:szCs w:val="24"/>
          <w:lang w:val="ro-MD"/>
        </w:rPr>
        <w:t>municip</w:t>
      </w:r>
      <w:r w:rsidR="00833EEE" w:rsidRPr="009E5B39">
        <w:rPr>
          <w:rFonts w:asciiTheme="majorHAnsi" w:eastAsia="Times New Roman" w:hAnsiTheme="majorHAnsi" w:cstheme="majorHAnsi"/>
          <w:sz w:val="24"/>
          <w:szCs w:val="24"/>
          <w:lang w:val="ro-MD"/>
        </w:rPr>
        <w:t>iu</w:t>
      </w:r>
      <w:r w:rsidRPr="009E5B39">
        <w:rPr>
          <w:rFonts w:asciiTheme="majorHAnsi" w:eastAsia="Times New Roman" w:hAnsiTheme="majorHAnsi" w:cstheme="majorHAnsi"/>
          <w:sz w:val="24"/>
          <w:szCs w:val="24"/>
          <w:lang w:val="ro-MD"/>
        </w:rPr>
        <w:t xml:space="preserve">. Toate acestea, în viziunea auditorilor, au fost condiționate de </w:t>
      </w:r>
      <w:r w:rsidR="00B4260E" w:rsidRPr="009E5B39">
        <w:rPr>
          <w:rFonts w:asciiTheme="majorHAnsi" w:eastAsia="Times New Roman" w:hAnsiTheme="majorHAnsi" w:cstheme="majorHAnsi"/>
          <w:sz w:val="24"/>
          <w:szCs w:val="24"/>
          <w:lang w:val="ro-MD"/>
        </w:rPr>
        <w:t xml:space="preserve">lipsa activităților de control eficiente aferente procesului </w:t>
      </w:r>
      <w:r w:rsidR="008016E2" w:rsidRPr="009E5B39">
        <w:rPr>
          <w:rFonts w:asciiTheme="majorHAnsi" w:eastAsia="Times New Roman" w:hAnsiTheme="majorHAnsi" w:cstheme="majorHAnsi"/>
          <w:sz w:val="24"/>
          <w:szCs w:val="24"/>
          <w:lang w:val="ro-MD"/>
        </w:rPr>
        <w:t xml:space="preserve">de gestionare a mijloacelor bugetare și a patrimoniului public </w:t>
      </w:r>
      <w:r w:rsidRPr="009E5B39">
        <w:rPr>
          <w:rFonts w:asciiTheme="majorHAnsi" w:eastAsia="Times New Roman" w:hAnsiTheme="majorHAnsi" w:cstheme="majorHAnsi"/>
          <w:sz w:val="24"/>
          <w:szCs w:val="24"/>
          <w:lang w:val="ro-MD"/>
        </w:rPr>
        <w:t>precum și de responsabilitatea insuficientă a factorilor de decizie la exercitarea atribuțiilor funcționale.</w:t>
      </w:r>
    </w:p>
    <w:p w14:paraId="7CB9D1F4" w14:textId="2EFCFA12" w:rsidR="00E54210" w:rsidRPr="009E5B39" w:rsidRDefault="00E54210" w:rsidP="00EF4BC3">
      <w:pPr>
        <w:spacing w:after="0" w:line="276" w:lineRule="auto"/>
        <w:ind w:firstLine="567"/>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De menționat că constatările de audit au fost aduse l</w:t>
      </w:r>
      <w:r w:rsidR="00A21D80" w:rsidRPr="009E5B39">
        <w:rPr>
          <w:rFonts w:asciiTheme="majorHAnsi" w:eastAsia="Times New Roman" w:hAnsiTheme="majorHAnsi" w:cstheme="majorHAnsi"/>
          <w:sz w:val="24"/>
          <w:szCs w:val="24"/>
          <w:lang w:val="ro-MD"/>
        </w:rPr>
        <w:t xml:space="preserve">a cunoștința conducerii UAT </w:t>
      </w:r>
      <w:r w:rsidR="00CC2203" w:rsidRPr="009E5B39">
        <w:rPr>
          <w:rFonts w:asciiTheme="majorHAnsi" w:eastAsia="Times New Roman" w:hAnsiTheme="majorHAnsi" w:cstheme="majorHAnsi"/>
          <w:sz w:val="24"/>
          <w:szCs w:val="24"/>
          <w:lang w:val="ro-MD"/>
        </w:rPr>
        <w:t xml:space="preserve">mun. </w:t>
      </w:r>
      <w:r w:rsidR="00A21D80" w:rsidRPr="009E5B39">
        <w:rPr>
          <w:rFonts w:asciiTheme="majorHAnsi" w:eastAsia="Times New Roman" w:hAnsiTheme="majorHAnsi" w:cstheme="majorHAnsi"/>
          <w:sz w:val="24"/>
          <w:szCs w:val="24"/>
          <w:lang w:val="ro-MD"/>
        </w:rPr>
        <w:t>Chișinău</w:t>
      </w:r>
      <w:r w:rsidRPr="009E5B39">
        <w:rPr>
          <w:rFonts w:asciiTheme="majorHAnsi" w:eastAsia="Times New Roman" w:hAnsiTheme="majorHAnsi" w:cstheme="majorHAnsi"/>
          <w:sz w:val="24"/>
          <w:szCs w:val="24"/>
          <w:lang w:val="ro-MD"/>
        </w:rPr>
        <w:t>, acestea</w:t>
      </w:r>
      <w:r w:rsidR="00CC2203"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w:t>
      </w:r>
      <w:r w:rsidR="00833EEE" w:rsidRPr="009E5B39">
        <w:rPr>
          <w:rFonts w:asciiTheme="majorHAnsi" w:eastAsia="Times New Roman" w:hAnsiTheme="majorHAnsi" w:cstheme="majorHAnsi"/>
          <w:sz w:val="24"/>
          <w:szCs w:val="24"/>
          <w:lang w:val="ro-MD"/>
        </w:rPr>
        <w:t xml:space="preserve">în mare măsură, </w:t>
      </w:r>
      <w:r w:rsidRPr="009E5B39">
        <w:rPr>
          <w:rFonts w:asciiTheme="majorHAnsi" w:eastAsia="Times New Roman" w:hAnsiTheme="majorHAnsi" w:cstheme="majorHAnsi"/>
          <w:sz w:val="24"/>
          <w:szCs w:val="24"/>
          <w:lang w:val="ro-MD"/>
        </w:rPr>
        <w:t>fiind acceptate.</w:t>
      </w:r>
      <w:r w:rsidR="00833EEE" w:rsidRPr="009E5B39">
        <w:rPr>
          <w:rFonts w:asciiTheme="majorHAnsi" w:eastAsia="Times New Roman" w:hAnsiTheme="majorHAnsi" w:cstheme="majorHAnsi"/>
          <w:sz w:val="24"/>
          <w:szCs w:val="24"/>
          <w:lang w:val="ro-MD"/>
        </w:rPr>
        <w:t xml:space="preserve"> </w:t>
      </w:r>
    </w:p>
    <w:p w14:paraId="7FB884F5" w14:textId="028F9C41" w:rsidR="00E54210" w:rsidRPr="009E5B39" w:rsidRDefault="00E54210" w:rsidP="00EF4BC3">
      <w:pPr>
        <w:spacing w:after="0" w:line="276" w:lineRule="auto"/>
        <w:ind w:firstLine="567"/>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În scopul ameliorării situațiilor atestate și având în vedere neexecutarea integrală a Hotărârilor Curții de Conturi precedente, auditul public extern oferă recomandările de rigoare, pentru o remediere punctuală a deficiențelor și, respectiv, pentru diminuarea riscurilor evidente.</w:t>
      </w:r>
    </w:p>
    <w:p w14:paraId="2DF055FB" w14:textId="1F956FA3" w:rsidR="00E54210" w:rsidRPr="009E5B39" w:rsidRDefault="00E54210" w:rsidP="00EF4BC3">
      <w:pPr>
        <w:spacing w:after="0"/>
        <w:rPr>
          <w:rFonts w:asciiTheme="majorHAnsi" w:hAnsiTheme="majorHAnsi" w:cstheme="majorHAnsi"/>
          <w:sz w:val="24"/>
          <w:szCs w:val="24"/>
          <w:lang w:val="ro-MD"/>
        </w:rPr>
      </w:pPr>
    </w:p>
    <w:p w14:paraId="42E87BEF" w14:textId="77777777" w:rsidR="00F41035" w:rsidRPr="009E5B39" w:rsidRDefault="00F41035" w:rsidP="00EF4BC3">
      <w:pPr>
        <w:spacing w:after="0"/>
        <w:rPr>
          <w:rFonts w:asciiTheme="majorHAnsi" w:hAnsiTheme="majorHAnsi" w:cstheme="majorHAnsi"/>
          <w:sz w:val="24"/>
          <w:szCs w:val="24"/>
          <w:lang w:val="ro-MD"/>
        </w:rPr>
      </w:pPr>
    </w:p>
    <w:p w14:paraId="094EDC36" w14:textId="641027C1" w:rsidR="00F55B80" w:rsidRPr="009E5B39" w:rsidRDefault="00F55B80" w:rsidP="00EF4BC3">
      <w:pPr>
        <w:pStyle w:val="Heading1"/>
        <w:spacing w:before="0" w:line="276" w:lineRule="auto"/>
        <w:rPr>
          <w:rFonts w:cstheme="majorHAnsi"/>
          <w:b/>
          <w:color w:val="auto"/>
          <w:sz w:val="24"/>
          <w:szCs w:val="24"/>
          <w:lang w:val="ro-MD"/>
        </w:rPr>
      </w:pPr>
      <w:bookmarkStart w:id="17" w:name="_Toc116026882"/>
      <w:r w:rsidRPr="009E5B39">
        <w:rPr>
          <w:rFonts w:cstheme="majorHAnsi"/>
          <w:b/>
          <w:color w:val="auto"/>
          <w:sz w:val="24"/>
          <w:szCs w:val="24"/>
          <w:lang w:val="ro-MD"/>
        </w:rPr>
        <w:t>VI.   RECOMANDĂRI</w:t>
      </w:r>
      <w:bookmarkEnd w:id="15"/>
      <w:bookmarkEnd w:id="16"/>
      <w:bookmarkEnd w:id="17"/>
    </w:p>
    <w:p w14:paraId="34E12755" w14:textId="574B0590" w:rsidR="001965CF" w:rsidRPr="009E5B39" w:rsidRDefault="001965CF" w:rsidP="00EF4BC3">
      <w:pPr>
        <w:pStyle w:val="ListParagraph"/>
        <w:spacing w:after="0" w:line="276" w:lineRule="auto"/>
        <w:ind w:left="0"/>
        <w:jc w:val="both"/>
        <w:rPr>
          <w:rFonts w:asciiTheme="majorHAnsi" w:hAnsiTheme="majorHAnsi" w:cstheme="majorHAnsi"/>
          <w:b/>
          <w:sz w:val="24"/>
          <w:szCs w:val="24"/>
          <w:lang w:val="ro-MD"/>
        </w:rPr>
      </w:pPr>
      <w:r w:rsidRPr="009E5B39">
        <w:rPr>
          <w:rFonts w:asciiTheme="majorHAnsi" w:hAnsiTheme="majorHAnsi" w:cstheme="majorHAnsi"/>
          <w:b/>
          <w:sz w:val="24"/>
          <w:szCs w:val="24"/>
          <w:lang w:val="ro-MD"/>
        </w:rPr>
        <w:t xml:space="preserve">Primarului general </w:t>
      </w:r>
      <w:r w:rsidR="00CC2203" w:rsidRPr="009E5B39">
        <w:rPr>
          <w:rFonts w:asciiTheme="majorHAnsi" w:hAnsiTheme="majorHAnsi" w:cstheme="majorHAnsi"/>
          <w:b/>
          <w:sz w:val="24"/>
          <w:szCs w:val="24"/>
          <w:lang w:val="ro-MD"/>
        </w:rPr>
        <w:t xml:space="preserve">al mun. Chișinău </w:t>
      </w:r>
      <w:r w:rsidRPr="009E5B39">
        <w:rPr>
          <w:rFonts w:asciiTheme="majorHAnsi" w:hAnsiTheme="majorHAnsi" w:cstheme="majorHAnsi"/>
          <w:b/>
          <w:sz w:val="24"/>
          <w:szCs w:val="24"/>
          <w:lang w:val="ro-MD"/>
        </w:rPr>
        <w:t>și Consiliului municipal Chișinău</w:t>
      </w:r>
      <w:r w:rsidRPr="009E5B39">
        <w:rPr>
          <w:rFonts w:asciiTheme="majorHAnsi" w:hAnsiTheme="majorHAnsi" w:cstheme="majorHAnsi"/>
          <w:sz w:val="24"/>
          <w:szCs w:val="24"/>
          <w:lang w:val="ro-MD"/>
        </w:rPr>
        <w:t>:</w:t>
      </w:r>
    </w:p>
    <w:p w14:paraId="3CAEC6D0" w14:textId="68DF2D80" w:rsidR="001965CF" w:rsidRPr="009E5B39" w:rsidRDefault="001965CF" w:rsidP="006A104B">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eliminarea deficiențelor indicate în prezentul Raport de audit, cu aprobarea unui plan de măsuri de implementare;</w:t>
      </w:r>
    </w:p>
    <w:p w14:paraId="180DF8B9" w14:textId="56D2D3FC" w:rsidR="001965CF" w:rsidRPr="009E5B39" w:rsidRDefault="001965CF" w:rsidP="006A104B">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elaborarea unor proceduri în scopul asigurării implementării recomandări</w:t>
      </w:r>
      <w:r w:rsidR="005A7A25" w:rsidRPr="009E5B39">
        <w:rPr>
          <w:rFonts w:asciiTheme="majorHAnsi" w:hAnsiTheme="majorHAnsi" w:cstheme="majorHAnsi"/>
          <w:sz w:val="24"/>
          <w:szCs w:val="24"/>
          <w:lang w:val="ro-MD"/>
        </w:rPr>
        <w:t>lor de audit (extern și intern)</w:t>
      </w:r>
      <w:r w:rsidR="00075748" w:rsidRPr="009E5B39">
        <w:rPr>
          <w:rFonts w:asciiTheme="majorHAnsi" w:hAnsiTheme="majorHAnsi" w:cstheme="majorHAnsi"/>
          <w:sz w:val="24"/>
          <w:szCs w:val="24"/>
          <w:lang w:val="ro-MD"/>
        </w:rPr>
        <w:t>, inclusiv prin completarea Dispoziției Primarului general al mun. Chișinău nr. 156-d din 09.04.2021</w:t>
      </w:r>
      <w:r w:rsidRPr="009E5B39">
        <w:rPr>
          <w:rFonts w:asciiTheme="majorHAnsi" w:hAnsiTheme="majorHAnsi" w:cstheme="majorHAnsi"/>
          <w:sz w:val="24"/>
          <w:szCs w:val="24"/>
          <w:lang w:val="ro-MD"/>
        </w:rPr>
        <w:t>;</w:t>
      </w:r>
    </w:p>
    <w:p w14:paraId="2C06806E" w14:textId="7EC1B4CE" w:rsidR="005A7A25" w:rsidRPr="009E5B39" w:rsidRDefault="005A7A25" w:rsidP="005A7A25">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shd w:val="clear" w:color="auto" w:fill="FFFFFF"/>
          <w:lang w:val="ro-MD"/>
        </w:rPr>
        <w:t>descrierea și implementarea proceselor operaționale ce țin de elaborarea și fundamentarea prognozei bugetare pe toate tipurile de venituri și cheltuieli, cu indicarea corespunzătoare a responsabilităților (pct.4.1.)</w:t>
      </w:r>
      <w:r w:rsidR="00CC2203"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 xml:space="preserve"> </w:t>
      </w:r>
    </w:p>
    <w:p w14:paraId="684241EA" w14:textId="77777777" w:rsidR="00F41035" w:rsidRPr="009E5B39" w:rsidRDefault="00F41035" w:rsidP="00F41035">
      <w:pPr>
        <w:pStyle w:val="ListParagraph"/>
        <w:spacing w:after="0" w:line="276" w:lineRule="auto"/>
        <w:ind w:left="0"/>
        <w:jc w:val="both"/>
        <w:rPr>
          <w:rFonts w:asciiTheme="majorHAnsi" w:hAnsiTheme="majorHAnsi" w:cstheme="majorHAnsi"/>
          <w:sz w:val="24"/>
          <w:szCs w:val="24"/>
          <w:lang w:val="ro-MD"/>
        </w:rPr>
      </w:pPr>
    </w:p>
    <w:p w14:paraId="4D4E8F3C" w14:textId="4224AD04" w:rsidR="005A7A25" w:rsidRPr="009E5B39" w:rsidRDefault="005A7A25" w:rsidP="005A7A25">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shd w:val="clear" w:color="auto" w:fill="FFFFFF"/>
          <w:lang w:val="ro-MD"/>
        </w:rPr>
        <w:t xml:space="preserve">identificarea tuturor bunurilor imobiliare (inclusiv a terenurilor și construcțiilor nefinisate), neevaluate în scopuri fiscale, cu informarea </w:t>
      </w:r>
      <w:r w:rsidRPr="009E5B39">
        <w:rPr>
          <w:rFonts w:asciiTheme="majorHAnsi" w:hAnsiTheme="majorHAnsi" w:cstheme="majorHAnsi"/>
          <w:sz w:val="24"/>
          <w:szCs w:val="24"/>
          <w:lang w:val="ro-MD"/>
        </w:rPr>
        <w:t xml:space="preserve">SFS și </w:t>
      </w:r>
      <w:r w:rsidRPr="009E5B39">
        <w:rPr>
          <w:rFonts w:asciiTheme="majorHAnsi" w:hAnsiTheme="majorHAnsi" w:cstheme="majorHAnsi"/>
          <w:sz w:val="24"/>
          <w:szCs w:val="24"/>
          <w:shd w:val="clear" w:color="auto" w:fill="FFFFFF"/>
          <w:lang w:val="ro-MD"/>
        </w:rPr>
        <w:t>ASP</w:t>
      </w:r>
      <w:r w:rsidR="00CC2203"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 xml:space="preserve"> pentru evaluarea acestora, inclusiv a celor transmise în arendă/locațiune/folosință/gestiune economică, asigurând înregistrarea conformă a contractelor respective (pct.4.1.</w:t>
      </w:r>
      <w:r w:rsidR="00EA398C" w:rsidRPr="009E5B39">
        <w:rPr>
          <w:rFonts w:asciiTheme="majorHAnsi" w:hAnsiTheme="majorHAnsi" w:cstheme="majorHAnsi"/>
          <w:sz w:val="24"/>
          <w:szCs w:val="24"/>
          <w:shd w:val="clear" w:color="auto" w:fill="FFFFFF"/>
          <w:lang w:val="ro-MD"/>
        </w:rPr>
        <w:t>4</w:t>
      </w:r>
      <w:r w:rsidR="00CC2203"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w:t>
      </w:r>
      <w:r w:rsidR="00CC2203" w:rsidRPr="009E5B39">
        <w:rPr>
          <w:rFonts w:asciiTheme="majorHAnsi" w:hAnsiTheme="majorHAnsi" w:cstheme="majorHAnsi"/>
          <w:sz w:val="24"/>
          <w:szCs w:val="24"/>
          <w:shd w:val="clear" w:color="auto" w:fill="FFFFFF"/>
          <w:lang w:val="ro-MD"/>
        </w:rPr>
        <w:t>;</w:t>
      </w:r>
    </w:p>
    <w:p w14:paraId="37DC11FC" w14:textId="140E3D29" w:rsidR="001965CF" w:rsidRPr="009E5B39" w:rsidRDefault="001965CF" w:rsidP="00EF4BC3">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elaborarea unui mecanism funcțional în vederea evaluării exhaustive a bazei impozabile la planificarea taxelor locale  (pct.</w:t>
      </w:r>
      <w:r w:rsidR="003E4767" w:rsidRPr="009E5B39">
        <w:rPr>
          <w:rFonts w:asciiTheme="majorHAnsi" w:hAnsiTheme="majorHAnsi" w:cstheme="majorHAnsi"/>
          <w:sz w:val="24"/>
          <w:szCs w:val="24"/>
          <w:lang w:val="ro-MD"/>
        </w:rPr>
        <w:t>4.1.</w:t>
      </w:r>
      <w:r w:rsidR="00EA398C" w:rsidRPr="009E5B39">
        <w:rPr>
          <w:rFonts w:asciiTheme="majorHAnsi" w:hAnsiTheme="majorHAnsi" w:cstheme="majorHAnsi"/>
          <w:sz w:val="24"/>
          <w:szCs w:val="24"/>
          <w:lang w:val="ro-MD"/>
        </w:rPr>
        <w:t>5</w:t>
      </w:r>
      <w:r w:rsidR="003E476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p>
    <w:p w14:paraId="10AAB303" w14:textId="014D050C" w:rsidR="001965CF" w:rsidRPr="009E5B39" w:rsidRDefault="001965CF" w:rsidP="00EF4BC3">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elaborarea reglementărilor interne </w:t>
      </w:r>
      <w:r w:rsidR="00CC2203" w:rsidRPr="009E5B39">
        <w:rPr>
          <w:rFonts w:asciiTheme="majorHAnsi" w:hAnsiTheme="majorHAnsi" w:cstheme="majorHAnsi"/>
          <w:sz w:val="24"/>
          <w:szCs w:val="24"/>
          <w:lang w:val="ro-MD"/>
        </w:rPr>
        <w:t>pe</w:t>
      </w:r>
      <w:r w:rsidRPr="009E5B39">
        <w:rPr>
          <w:rFonts w:asciiTheme="majorHAnsi" w:hAnsiTheme="majorHAnsi" w:cstheme="majorHAnsi"/>
          <w:sz w:val="24"/>
          <w:szCs w:val="24"/>
          <w:lang w:val="ro-MD"/>
        </w:rPr>
        <w:t>ntru asigurarea modalității de evidență/ monitorizare/ control periodic al prestatorilor serviciului public de transport auto de călători (pct.</w:t>
      </w:r>
      <w:r w:rsidR="003E4767" w:rsidRPr="009E5B39">
        <w:rPr>
          <w:rFonts w:asciiTheme="majorHAnsi" w:hAnsiTheme="majorHAnsi" w:cstheme="majorHAnsi"/>
          <w:sz w:val="24"/>
          <w:szCs w:val="24"/>
          <w:lang w:val="ro-MD"/>
        </w:rPr>
        <w:t>4.1.</w:t>
      </w:r>
      <w:r w:rsidR="00EA398C" w:rsidRPr="009E5B39">
        <w:rPr>
          <w:rFonts w:asciiTheme="majorHAnsi" w:hAnsiTheme="majorHAnsi" w:cstheme="majorHAnsi"/>
          <w:sz w:val="24"/>
          <w:szCs w:val="24"/>
          <w:lang w:val="ro-MD"/>
        </w:rPr>
        <w:t>6</w:t>
      </w:r>
      <w:r w:rsidR="003E4767"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p>
    <w:p w14:paraId="40493183" w14:textId="02C744DA" w:rsidR="005A7A25" w:rsidRPr="009E5B39" w:rsidRDefault="005A7A25" w:rsidP="005A7A25">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asigurarea inventarierii și evidenței veridice a suprafeței ocupat</w:t>
      </w:r>
      <w:r w:rsidR="00CC2203"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de parcări, garaje, terase de vară, vulcanizări</w:t>
      </w:r>
      <w:r w:rsidR="00D32A55" w:rsidRPr="009E5B39">
        <w:rPr>
          <w:rFonts w:asciiTheme="majorHAnsi" w:hAnsiTheme="majorHAnsi" w:cstheme="majorHAnsi"/>
          <w:sz w:val="24"/>
          <w:szCs w:val="24"/>
          <w:lang w:val="ro-MD"/>
        </w:rPr>
        <w:t>, chio</w:t>
      </w:r>
      <w:r w:rsidR="00CC2203" w:rsidRPr="009E5B39">
        <w:rPr>
          <w:rFonts w:asciiTheme="majorHAnsi" w:hAnsiTheme="majorHAnsi" w:cstheme="majorHAnsi"/>
          <w:sz w:val="24"/>
          <w:szCs w:val="24"/>
          <w:lang w:val="ro-MD"/>
        </w:rPr>
        <w:t>ș</w:t>
      </w:r>
      <w:r w:rsidR="00D32A55" w:rsidRPr="009E5B39">
        <w:rPr>
          <w:rFonts w:asciiTheme="majorHAnsi" w:hAnsiTheme="majorHAnsi" w:cstheme="majorHAnsi"/>
          <w:sz w:val="24"/>
          <w:szCs w:val="24"/>
          <w:lang w:val="ro-MD"/>
        </w:rPr>
        <w:t>curi</w:t>
      </w:r>
      <w:r w:rsidRPr="009E5B39">
        <w:rPr>
          <w:rFonts w:asciiTheme="majorHAnsi" w:hAnsiTheme="majorHAnsi" w:cstheme="majorHAnsi"/>
          <w:sz w:val="24"/>
          <w:szCs w:val="24"/>
          <w:lang w:val="ro-MD"/>
        </w:rPr>
        <w:t xml:space="preserve"> și gherete de comerț ambulant, a actelor permisive aferente activității în cauz</w:t>
      </w:r>
      <w:r w:rsidR="00CC2203"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actualizării registrelor respective, cu asigurarea stabilirii și încasării plăților aferente pentru folosirea proprietății publice (pct.4.1.</w:t>
      </w:r>
      <w:r w:rsidR="00EA398C" w:rsidRPr="009E5B39">
        <w:rPr>
          <w:rFonts w:asciiTheme="majorHAnsi" w:hAnsiTheme="majorHAnsi" w:cstheme="majorHAnsi"/>
          <w:sz w:val="24"/>
          <w:szCs w:val="24"/>
          <w:lang w:val="ro-MD"/>
        </w:rPr>
        <w:t>7</w:t>
      </w:r>
      <w:r w:rsidRPr="009E5B39">
        <w:rPr>
          <w:rFonts w:asciiTheme="majorHAnsi" w:hAnsiTheme="majorHAnsi" w:cstheme="majorHAnsi"/>
          <w:sz w:val="24"/>
          <w:szCs w:val="24"/>
          <w:lang w:val="ro-MD"/>
        </w:rPr>
        <w:t xml:space="preserve">. și </w:t>
      </w:r>
      <w:r w:rsidR="00CC2203" w:rsidRPr="009E5B39">
        <w:rPr>
          <w:rFonts w:asciiTheme="majorHAnsi" w:hAnsiTheme="majorHAnsi" w:cstheme="majorHAnsi"/>
          <w:sz w:val="24"/>
          <w:szCs w:val="24"/>
          <w:lang w:val="ro-MD"/>
        </w:rPr>
        <w:t>pct.</w:t>
      </w:r>
      <w:r w:rsidRPr="009E5B39">
        <w:rPr>
          <w:rFonts w:asciiTheme="majorHAnsi" w:hAnsiTheme="majorHAnsi" w:cstheme="majorHAnsi"/>
          <w:sz w:val="24"/>
          <w:szCs w:val="24"/>
          <w:lang w:val="ro-MD"/>
        </w:rPr>
        <w:t>4.3.);</w:t>
      </w:r>
    </w:p>
    <w:p w14:paraId="1D732211" w14:textId="09671856" w:rsidR="005A7A25" w:rsidRPr="009E5B39" w:rsidRDefault="00CC2203" w:rsidP="005A7A25">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eastAsia="Times New Roman" w:hAnsiTheme="majorHAnsi" w:cstheme="majorHAnsi"/>
          <w:sz w:val="24"/>
          <w:szCs w:val="24"/>
          <w:lang w:val="ro-MD" w:eastAsia="ru-RU"/>
        </w:rPr>
        <w:t>i</w:t>
      </w:r>
      <w:r w:rsidR="008B4C39" w:rsidRPr="009E5B39">
        <w:rPr>
          <w:rFonts w:asciiTheme="majorHAnsi" w:eastAsia="Times New Roman" w:hAnsiTheme="majorHAnsi" w:cstheme="majorHAnsi"/>
          <w:sz w:val="24"/>
          <w:szCs w:val="24"/>
          <w:lang w:val="ro-MD" w:eastAsia="ru-RU"/>
        </w:rPr>
        <w:t>nstituirea măsurilor de control</w:t>
      </w:r>
      <w:r w:rsidR="00B92717" w:rsidRPr="009E5B39">
        <w:rPr>
          <w:rFonts w:asciiTheme="majorHAnsi" w:eastAsia="Times New Roman" w:hAnsiTheme="majorHAnsi" w:cstheme="majorHAnsi"/>
          <w:sz w:val="24"/>
          <w:szCs w:val="24"/>
          <w:lang w:val="ro-MD" w:eastAsia="ru-RU"/>
        </w:rPr>
        <w:t xml:space="preserve"> intern</w:t>
      </w:r>
      <w:r w:rsidR="005A7A25" w:rsidRPr="009E5B39">
        <w:rPr>
          <w:rFonts w:asciiTheme="majorHAnsi" w:hAnsiTheme="majorHAnsi" w:cstheme="majorHAnsi"/>
          <w:sz w:val="24"/>
          <w:szCs w:val="24"/>
          <w:shd w:val="clear" w:color="auto" w:fill="FFFFFF"/>
          <w:lang w:val="ro-MD"/>
        </w:rPr>
        <w:t xml:space="preserve">, în vederea asigurării utilizării conform destinației a transferurilor cu destinație specială, în special pentru infrastructura drumului </w:t>
      </w:r>
      <w:r w:rsidR="005A7A25" w:rsidRPr="009E5B39">
        <w:rPr>
          <w:rFonts w:asciiTheme="majorHAnsi" w:hAnsiTheme="majorHAnsi" w:cstheme="majorHAnsi"/>
          <w:sz w:val="24"/>
          <w:szCs w:val="24"/>
          <w:lang w:val="ro-MD"/>
        </w:rPr>
        <w:t xml:space="preserve">(pct.4.2.1.); </w:t>
      </w:r>
    </w:p>
    <w:p w14:paraId="200DB831" w14:textId="47946EDB" w:rsidR="005A7A25" w:rsidRPr="009E5B39" w:rsidRDefault="005A7A25" w:rsidP="005A7A25">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planificarea și executarea conformă a lucrărilor de reparație capitală </w:t>
      </w:r>
      <w:r w:rsidR="00307B4C"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 xml:space="preserve">infrastructurii publice locale (drumuri, străzi, scuaruri, trotuare, etc.), cu excluderea practicii planificării și reflectării acestora ca cheltuieli curente </w:t>
      </w:r>
      <w:r w:rsidRPr="009E5B39">
        <w:rPr>
          <w:rFonts w:asciiTheme="majorHAnsi" w:hAnsiTheme="majorHAnsi" w:cstheme="majorHAnsi"/>
          <w:sz w:val="24"/>
          <w:szCs w:val="24"/>
          <w:shd w:val="clear" w:color="auto" w:fill="FFFFFF"/>
          <w:lang w:val="ro-MD"/>
        </w:rPr>
        <w:t>(pct.4.2.2</w:t>
      </w:r>
      <w:r w:rsidR="00CC2203"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w:t>
      </w:r>
      <w:r w:rsidR="00CC2203"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 xml:space="preserve"> </w:t>
      </w:r>
    </w:p>
    <w:p w14:paraId="0FE18F9B" w14:textId="39AF0450" w:rsidR="005A7A25" w:rsidRPr="009E5B39" w:rsidRDefault="005A7A25" w:rsidP="005A7A25">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shd w:val="clear" w:color="auto" w:fill="FFFFFF"/>
          <w:lang w:val="ro-MD"/>
        </w:rPr>
        <w:t>asigurarea autorizării, recepției și documentării regulamentare și exhaustive a investițiilor efectuate în bunurile proprietate publică efectuate/transmise de persoane terțe (pct.4.2.2</w:t>
      </w:r>
      <w:r w:rsidR="00CC2203"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w:t>
      </w:r>
      <w:r w:rsidR="00CC2203"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 xml:space="preserve"> </w:t>
      </w:r>
    </w:p>
    <w:p w14:paraId="2B34FBC1" w14:textId="31A9081C" w:rsidR="005A7A25" w:rsidRPr="009E5B39" w:rsidRDefault="00CC2203" w:rsidP="005A7A25">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shd w:val="clear" w:color="auto" w:fill="FFFFFF"/>
          <w:lang w:val="ro-MD"/>
        </w:rPr>
        <w:t>e</w:t>
      </w:r>
      <w:r w:rsidR="005A7A25" w:rsidRPr="009E5B39">
        <w:rPr>
          <w:rFonts w:asciiTheme="majorHAnsi" w:hAnsiTheme="majorHAnsi" w:cstheme="majorHAnsi"/>
          <w:sz w:val="24"/>
          <w:szCs w:val="24"/>
          <w:shd w:val="clear" w:color="auto" w:fill="FFFFFF"/>
          <w:lang w:val="ro-MD"/>
        </w:rPr>
        <w:t>laborarea și aprobarea unui regulament aferent ajutoarelor acordate din bugetul municipal pentru reparația proprietății private sau din condominiu, precum și a criteriilor de selectare a beneficiarilor respectivi (pct.4.2.</w:t>
      </w:r>
      <w:r w:rsidR="00EA398C" w:rsidRPr="009E5B39">
        <w:rPr>
          <w:rFonts w:asciiTheme="majorHAnsi" w:hAnsiTheme="majorHAnsi" w:cstheme="majorHAnsi"/>
          <w:sz w:val="24"/>
          <w:szCs w:val="24"/>
          <w:shd w:val="clear" w:color="auto" w:fill="FFFFFF"/>
          <w:lang w:val="ro-MD"/>
        </w:rPr>
        <w:t>9</w:t>
      </w:r>
      <w:r w:rsidR="005A7A25" w:rsidRPr="009E5B39">
        <w:rPr>
          <w:rFonts w:asciiTheme="majorHAnsi" w:hAnsiTheme="majorHAnsi" w:cstheme="majorHAnsi"/>
          <w:sz w:val="24"/>
          <w:szCs w:val="24"/>
          <w:shd w:val="clear" w:color="auto" w:fill="FFFFFF"/>
          <w:lang w:val="ro-MD"/>
        </w:rPr>
        <w:t xml:space="preserve">.); </w:t>
      </w:r>
    </w:p>
    <w:p w14:paraId="0C647DB9" w14:textId="3CA8DFE4" w:rsidR="001965CF" w:rsidRPr="009E5B39" w:rsidRDefault="001965CF" w:rsidP="00EF4BC3">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revizuirea și/sau aprobarea, conform cadrului normativ în vigoare, </w:t>
      </w:r>
      <w:r w:rsidR="00CF09D3"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 xml:space="preserve">Regulamentului privind constituirea și funcționarea Consiliului municipal Chișinău, a Primăriei mun. Chișinău, a subdiviziunilor administrației publice municipale și preturilor de sector, în vederea stabilirii exhaustive și delimitării clare a competențelor și responsabilităților acestora, în scopul excluderii dublării atribuțiilor </w:t>
      </w:r>
      <w:r w:rsidRPr="009E5B39">
        <w:rPr>
          <w:rFonts w:asciiTheme="majorHAnsi" w:hAnsiTheme="majorHAnsi" w:cstheme="majorHAnsi"/>
          <w:sz w:val="24"/>
          <w:szCs w:val="24"/>
          <w:shd w:val="clear" w:color="auto" w:fill="FFFFFF"/>
          <w:lang w:val="ro-MD"/>
        </w:rPr>
        <w:t>(pct.</w:t>
      </w:r>
      <w:r w:rsidR="003E4767" w:rsidRPr="009E5B39">
        <w:rPr>
          <w:rFonts w:asciiTheme="majorHAnsi" w:hAnsiTheme="majorHAnsi" w:cstheme="majorHAnsi"/>
          <w:sz w:val="24"/>
          <w:szCs w:val="24"/>
          <w:shd w:val="clear" w:color="auto" w:fill="FFFFFF"/>
          <w:lang w:val="ro-MD"/>
        </w:rPr>
        <w:t>4.2.</w:t>
      </w:r>
      <w:r w:rsidR="00EA398C" w:rsidRPr="009E5B39">
        <w:rPr>
          <w:rFonts w:asciiTheme="majorHAnsi" w:hAnsiTheme="majorHAnsi" w:cstheme="majorHAnsi"/>
          <w:sz w:val="24"/>
          <w:szCs w:val="24"/>
          <w:shd w:val="clear" w:color="auto" w:fill="FFFFFF"/>
          <w:lang w:val="ro-MD"/>
        </w:rPr>
        <w:t>11</w:t>
      </w:r>
      <w:r w:rsidR="003E4767"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w:t>
      </w:r>
      <w:r w:rsidR="00CF09D3"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 xml:space="preserve">  </w:t>
      </w:r>
    </w:p>
    <w:p w14:paraId="0637C859" w14:textId="35A2047C" w:rsidR="001965CF" w:rsidRPr="009E5B39" w:rsidRDefault="001965CF" w:rsidP="00EF4BC3">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revizuirea organigramei, statelor de personal și schemelor de încadrare ale PMC și entităților din subordine în strictă conformitate cu competențele și responsabilitățile acordate acestora de cadrul legal și actele normative interne, volumul de muncă existent și normele de muncă aprobate conform (art.167 din Codul </w:t>
      </w:r>
      <w:r w:rsidR="00CF09D3" w:rsidRPr="009E5B39">
        <w:rPr>
          <w:rFonts w:asciiTheme="majorHAnsi" w:hAnsiTheme="majorHAnsi" w:cstheme="majorHAnsi"/>
          <w:sz w:val="24"/>
          <w:szCs w:val="24"/>
          <w:lang w:val="ro-MD"/>
        </w:rPr>
        <w:t>m</w:t>
      </w:r>
      <w:r w:rsidRPr="009E5B39">
        <w:rPr>
          <w:rFonts w:asciiTheme="majorHAnsi" w:hAnsiTheme="majorHAnsi" w:cstheme="majorHAnsi"/>
          <w:sz w:val="24"/>
          <w:szCs w:val="24"/>
          <w:lang w:val="ro-MD"/>
        </w:rPr>
        <w:t xml:space="preserve">uncii) </w:t>
      </w:r>
      <w:r w:rsidRPr="009E5B39">
        <w:rPr>
          <w:rFonts w:asciiTheme="majorHAnsi" w:hAnsiTheme="majorHAnsi" w:cstheme="majorHAnsi"/>
          <w:sz w:val="24"/>
          <w:szCs w:val="24"/>
          <w:shd w:val="clear" w:color="auto" w:fill="FFFFFF"/>
          <w:lang w:val="ro-MD"/>
        </w:rPr>
        <w:t>(pct.</w:t>
      </w:r>
      <w:r w:rsidR="003E4767" w:rsidRPr="009E5B39">
        <w:rPr>
          <w:rFonts w:asciiTheme="majorHAnsi" w:hAnsiTheme="majorHAnsi" w:cstheme="majorHAnsi"/>
          <w:sz w:val="24"/>
          <w:szCs w:val="24"/>
          <w:shd w:val="clear" w:color="auto" w:fill="FFFFFF"/>
          <w:lang w:val="ro-MD"/>
        </w:rPr>
        <w:t>4.2.</w:t>
      </w:r>
      <w:r w:rsidR="00EA398C" w:rsidRPr="009E5B39">
        <w:rPr>
          <w:rFonts w:asciiTheme="majorHAnsi" w:hAnsiTheme="majorHAnsi" w:cstheme="majorHAnsi"/>
          <w:sz w:val="24"/>
          <w:szCs w:val="24"/>
          <w:shd w:val="clear" w:color="auto" w:fill="FFFFFF"/>
          <w:lang w:val="ro-MD"/>
        </w:rPr>
        <w:t>11</w:t>
      </w:r>
      <w:r w:rsidR="003E4767"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lang w:val="ro-MD"/>
        </w:rPr>
        <w:t xml:space="preserve">; </w:t>
      </w:r>
    </w:p>
    <w:p w14:paraId="0DAF89DB" w14:textId="2392D254" w:rsidR="005A7A25" w:rsidRPr="009E5B39" w:rsidRDefault="005A7A25" w:rsidP="005A7A25">
      <w:pPr>
        <w:pStyle w:val="ListParagraph"/>
        <w:numPr>
          <w:ilvl w:val="0"/>
          <w:numId w:val="93"/>
        </w:numPr>
        <w:spacing w:after="0" w:line="276" w:lineRule="auto"/>
        <w:ind w:left="0" w:firstLine="0"/>
        <w:jc w:val="both"/>
        <w:rPr>
          <w:rFonts w:asciiTheme="majorHAnsi" w:hAnsiTheme="majorHAnsi" w:cstheme="majorHAnsi"/>
          <w:bCs/>
          <w:sz w:val="24"/>
          <w:szCs w:val="24"/>
          <w:lang w:val="ro-MD"/>
        </w:rPr>
      </w:pPr>
      <w:r w:rsidRPr="009E5B39">
        <w:rPr>
          <w:rFonts w:asciiTheme="majorHAnsi" w:hAnsiTheme="majorHAnsi" w:cstheme="majorHAnsi"/>
          <w:bCs/>
          <w:sz w:val="24"/>
          <w:szCs w:val="24"/>
          <w:lang w:val="ro-MD"/>
        </w:rPr>
        <w:t>suspendarea aplicării</w:t>
      </w:r>
      <w:r w:rsidR="00CF09D3"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w:t>
      </w:r>
      <w:r w:rsidR="00B06F9F" w:rsidRPr="009E5B39">
        <w:rPr>
          <w:rFonts w:asciiTheme="majorHAnsi" w:hAnsiTheme="majorHAnsi" w:cstheme="majorHAnsi"/>
          <w:bCs/>
          <w:sz w:val="24"/>
          <w:szCs w:val="24"/>
          <w:lang w:val="ro-MD"/>
        </w:rPr>
        <w:t>până</w:t>
      </w:r>
      <w:r w:rsidRPr="009E5B39">
        <w:rPr>
          <w:rFonts w:asciiTheme="majorHAnsi" w:hAnsiTheme="majorHAnsi" w:cstheme="majorHAnsi"/>
          <w:bCs/>
          <w:sz w:val="24"/>
          <w:szCs w:val="24"/>
          <w:lang w:val="ro-MD"/>
        </w:rPr>
        <w:t xml:space="preserve"> la revizuirea și corelarea cu cadrul legal existent</w:t>
      </w:r>
      <w:r w:rsidR="00CF09D3"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a Deciziei CMC nr. 8/32 din 19.06.2020 privind modul de calcul</w:t>
      </w:r>
      <w:r w:rsidR="00CF09D3" w:rsidRPr="009E5B39">
        <w:rPr>
          <w:rFonts w:asciiTheme="majorHAnsi" w:hAnsiTheme="majorHAnsi" w:cstheme="majorHAnsi"/>
          <w:bCs/>
          <w:sz w:val="24"/>
          <w:szCs w:val="24"/>
          <w:lang w:val="ro-MD"/>
        </w:rPr>
        <w:t>are</w:t>
      </w:r>
      <w:r w:rsidRPr="009E5B39">
        <w:rPr>
          <w:rFonts w:asciiTheme="majorHAnsi" w:hAnsiTheme="majorHAnsi" w:cstheme="majorHAnsi"/>
          <w:bCs/>
          <w:sz w:val="24"/>
          <w:szCs w:val="24"/>
          <w:lang w:val="ro-MD"/>
        </w:rPr>
        <w:t xml:space="preserve"> a </w:t>
      </w:r>
      <w:r w:rsidR="0084184C" w:rsidRPr="009E5B39">
        <w:rPr>
          <w:rFonts w:asciiTheme="majorHAnsi" w:hAnsiTheme="majorHAnsi" w:cstheme="majorHAnsi"/>
          <w:bCs/>
          <w:sz w:val="24"/>
          <w:szCs w:val="24"/>
          <w:lang w:val="ro-MD"/>
        </w:rPr>
        <w:t>i</w:t>
      </w:r>
      <w:r w:rsidRPr="009E5B39">
        <w:rPr>
          <w:rFonts w:asciiTheme="majorHAnsi" w:hAnsiTheme="majorHAnsi" w:cstheme="majorHAnsi"/>
          <w:bCs/>
          <w:sz w:val="24"/>
          <w:szCs w:val="24"/>
          <w:lang w:val="ro-MD"/>
        </w:rPr>
        <w:t xml:space="preserve">ndemnizațiilor de </w:t>
      </w:r>
      <w:r w:rsidR="00CF09D3" w:rsidRPr="009E5B39">
        <w:rPr>
          <w:rFonts w:asciiTheme="majorHAnsi" w:hAnsiTheme="majorHAnsi" w:cstheme="majorHAnsi"/>
          <w:bCs/>
          <w:sz w:val="24"/>
          <w:szCs w:val="24"/>
          <w:lang w:val="ro-MD"/>
        </w:rPr>
        <w:t xml:space="preserve">participare la </w:t>
      </w:r>
      <w:r w:rsidRPr="009E5B39">
        <w:rPr>
          <w:rFonts w:asciiTheme="majorHAnsi" w:hAnsiTheme="majorHAnsi" w:cstheme="majorHAnsi"/>
          <w:bCs/>
          <w:sz w:val="24"/>
          <w:szCs w:val="24"/>
          <w:lang w:val="ro-MD"/>
        </w:rPr>
        <w:t>ședinț</w:t>
      </w:r>
      <w:r w:rsidR="00CF09D3" w:rsidRPr="009E5B39">
        <w:rPr>
          <w:rFonts w:asciiTheme="majorHAnsi" w:hAnsiTheme="majorHAnsi" w:cstheme="majorHAnsi"/>
          <w:bCs/>
          <w:sz w:val="24"/>
          <w:szCs w:val="24"/>
          <w:lang w:val="ro-MD"/>
        </w:rPr>
        <w:t>e</w:t>
      </w:r>
      <w:r w:rsidRPr="009E5B39">
        <w:rPr>
          <w:rFonts w:asciiTheme="majorHAnsi" w:hAnsiTheme="majorHAnsi" w:cstheme="majorHAnsi"/>
          <w:bCs/>
          <w:sz w:val="24"/>
          <w:szCs w:val="24"/>
          <w:lang w:val="ro-MD"/>
        </w:rPr>
        <w:t xml:space="preserve"> a consilierilor locali (pct. 4.2.</w:t>
      </w:r>
      <w:r w:rsidR="00EA398C" w:rsidRPr="009E5B39">
        <w:rPr>
          <w:rFonts w:asciiTheme="majorHAnsi" w:hAnsiTheme="majorHAnsi" w:cstheme="majorHAnsi"/>
          <w:bCs/>
          <w:sz w:val="24"/>
          <w:szCs w:val="24"/>
          <w:lang w:val="ro-MD"/>
        </w:rPr>
        <w:t>12</w:t>
      </w:r>
      <w:r w:rsidRPr="009E5B39">
        <w:rPr>
          <w:rFonts w:asciiTheme="majorHAnsi" w:hAnsiTheme="majorHAnsi" w:cstheme="majorHAnsi"/>
          <w:bCs/>
          <w:sz w:val="24"/>
          <w:szCs w:val="24"/>
          <w:lang w:val="ro-MD"/>
        </w:rPr>
        <w:t>.)</w:t>
      </w:r>
      <w:r w:rsidR="00CF09D3" w:rsidRPr="009E5B39">
        <w:rPr>
          <w:rFonts w:asciiTheme="majorHAnsi" w:hAnsiTheme="majorHAnsi" w:cstheme="majorHAnsi"/>
          <w:bCs/>
          <w:sz w:val="24"/>
          <w:szCs w:val="24"/>
          <w:lang w:val="ro-MD"/>
        </w:rPr>
        <w:t>;</w:t>
      </w:r>
      <w:r w:rsidRPr="009E5B39">
        <w:rPr>
          <w:rFonts w:asciiTheme="majorHAnsi" w:hAnsiTheme="majorHAnsi" w:cstheme="majorHAnsi"/>
          <w:bCs/>
          <w:sz w:val="24"/>
          <w:szCs w:val="24"/>
          <w:lang w:val="ro-MD"/>
        </w:rPr>
        <w:t xml:space="preserve"> </w:t>
      </w:r>
    </w:p>
    <w:p w14:paraId="250DC345" w14:textId="529BACB8" w:rsidR="001965CF" w:rsidRPr="009E5B39" w:rsidRDefault="00CF09D3" w:rsidP="00EF4BC3">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eastAsia="Times New Roman" w:hAnsiTheme="majorHAnsi" w:cstheme="majorHAnsi"/>
          <w:sz w:val="24"/>
          <w:szCs w:val="24"/>
          <w:lang w:val="ro-MD" w:eastAsia="ru-RU"/>
        </w:rPr>
        <w:t>i</w:t>
      </w:r>
      <w:r w:rsidR="00B92717" w:rsidRPr="009E5B39">
        <w:rPr>
          <w:rFonts w:asciiTheme="majorHAnsi" w:eastAsia="Times New Roman" w:hAnsiTheme="majorHAnsi" w:cstheme="majorHAnsi"/>
          <w:sz w:val="24"/>
          <w:szCs w:val="24"/>
          <w:lang w:val="ro-MD" w:eastAsia="ru-RU"/>
        </w:rPr>
        <w:t xml:space="preserve">nstituirea măsurilor de control </w:t>
      </w:r>
      <w:r w:rsidR="001965CF" w:rsidRPr="009E5B39">
        <w:rPr>
          <w:rFonts w:asciiTheme="majorHAnsi" w:hAnsiTheme="majorHAnsi" w:cstheme="majorHAnsi"/>
          <w:sz w:val="24"/>
          <w:szCs w:val="24"/>
          <w:shd w:val="clear" w:color="auto" w:fill="FFFFFF"/>
          <w:lang w:val="ro-MD"/>
        </w:rPr>
        <w:t>intern, care vor asigura plenitudinea planificării, transparența, legalitatea și regularitatea în procesul achizițiilor publice, inclusiv la: planificarea achizițiilor (întocmirea planurilor anuale/trimestriale), achizițiile publice de valoare mică, raportarea achizițiilor, monitorizarea îndeplinirii prevederilor contractuale etc. (pct.</w:t>
      </w:r>
      <w:r w:rsidR="003E4767" w:rsidRPr="009E5B39">
        <w:rPr>
          <w:rFonts w:asciiTheme="majorHAnsi" w:hAnsiTheme="majorHAnsi" w:cstheme="majorHAnsi"/>
          <w:sz w:val="24"/>
          <w:szCs w:val="24"/>
          <w:shd w:val="clear" w:color="auto" w:fill="FFFFFF"/>
          <w:lang w:val="ro-MD"/>
        </w:rPr>
        <w:t>4.2.</w:t>
      </w:r>
      <w:r w:rsidR="00EA398C" w:rsidRPr="009E5B39">
        <w:rPr>
          <w:rFonts w:asciiTheme="majorHAnsi" w:hAnsiTheme="majorHAnsi" w:cstheme="majorHAnsi"/>
          <w:sz w:val="24"/>
          <w:szCs w:val="24"/>
          <w:shd w:val="clear" w:color="auto" w:fill="FFFFFF"/>
          <w:lang w:val="ro-MD"/>
        </w:rPr>
        <w:t>13</w:t>
      </w:r>
      <w:r w:rsidR="003E4767" w:rsidRPr="009E5B39">
        <w:rPr>
          <w:rFonts w:asciiTheme="majorHAnsi" w:hAnsiTheme="majorHAnsi" w:cstheme="majorHAnsi"/>
          <w:sz w:val="24"/>
          <w:szCs w:val="24"/>
          <w:shd w:val="clear" w:color="auto" w:fill="FFFFFF"/>
          <w:lang w:val="ro-MD"/>
        </w:rPr>
        <w:t>.</w:t>
      </w:r>
      <w:r w:rsidR="001965CF"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w:t>
      </w:r>
      <w:r w:rsidR="001965CF" w:rsidRPr="009E5B39">
        <w:rPr>
          <w:rFonts w:asciiTheme="majorHAnsi" w:hAnsiTheme="majorHAnsi" w:cstheme="majorHAnsi"/>
          <w:sz w:val="24"/>
          <w:szCs w:val="24"/>
          <w:shd w:val="clear" w:color="auto" w:fill="FFFFFF"/>
          <w:lang w:val="ro-MD"/>
        </w:rPr>
        <w:t xml:space="preserve">  </w:t>
      </w:r>
    </w:p>
    <w:p w14:paraId="60233232" w14:textId="4D812B84" w:rsidR="00AD64B2" w:rsidRPr="009E5B39" w:rsidRDefault="00AD64B2" w:rsidP="00AD64B2">
      <w:pPr>
        <w:pStyle w:val="ListParagraph"/>
        <w:numPr>
          <w:ilvl w:val="0"/>
          <w:numId w:val="93"/>
        </w:numPr>
        <w:spacing w:after="0" w:line="276" w:lineRule="auto"/>
        <w:ind w:left="0" w:firstLine="0"/>
        <w:jc w:val="both"/>
        <w:rPr>
          <w:rFonts w:asciiTheme="majorHAnsi" w:hAnsiTheme="majorHAnsi" w:cstheme="majorHAnsi"/>
          <w:bCs/>
          <w:sz w:val="24"/>
          <w:szCs w:val="24"/>
          <w:lang w:val="ro-MD"/>
        </w:rPr>
      </w:pPr>
      <w:r w:rsidRPr="009E5B39">
        <w:rPr>
          <w:rFonts w:asciiTheme="majorHAnsi" w:hAnsiTheme="majorHAnsi" w:cstheme="majorHAnsi"/>
          <w:bCs/>
          <w:sz w:val="24"/>
          <w:szCs w:val="24"/>
          <w:lang w:val="ro-MD"/>
        </w:rPr>
        <w:t>întreprinderea măsurilor de rigoare privind înregistrarea integrală în RBI a drepturilor patrimoniale ale UAT asupra bunurilor imobile proprietate publică</w:t>
      </w:r>
      <w:r w:rsidRPr="009E5B39">
        <w:rPr>
          <w:rFonts w:asciiTheme="majorHAnsi" w:hAnsiTheme="majorHAnsi" w:cstheme="majorHAnsi"/>
          <w:bCs/>
          <w:sz w:val="24"/>
          <w:szCs w:val="24"/>
          <w:shd w:val="clear" w:color="auto" w:fill="FFFFFF"/>
          <w:lang w:val="ro-MD"/>
        </w:rPr>
        <w:t xml:space="preserve"> (pct.4.3.1 și pct. 4.3.2.); </w:t>
      </w:r>
    </w:p>
    <w:p w14:paraId="6F6F4715" w14:textId="77777777" w:rsidR="00F41035" w:rsidRPr="009E5B39" w:rsidRDefault="00F41035" w:rsidP="00F41035">
      <w:pPr>
        <w:spacing w:after="0" w:line="276" w:lineRule="auto"/>
        <w:jc w:val="both"/>
        <w:rPr>
          <w:rFonts w:asciiTheme="majorHAnsi" w:hAnsiTheme="majorHAnsi" w:cstheme="majorHAnsi"/>
          <w:bCs/>
          <w:sz w:val="24"/>
          <w:szCs w:val="24"/>
          <w:lang w:val="ro-MD"/>
        </w:rPr>
      </w:pPr>
    </w:p>
    <w:p w14:paraId="3E9A790C" w14:textId="77777777" w:rsidR="00AD64B2" w:rsidRPr="009E5B39" w:rsidRDefault="00AD64B2" w:rsidP="00AD64B2">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revizuirea modului de întocmire și aprobare a registrului patrimoniului municipal (inclusiv a celui dat în locațiune/folosință/arendă/superficie), asigurând plenitudinea și veridicitatea datelor incluse în acesta, reconcilierea datelor acestuia cu datele evidenței contabile, desemnând în acest sens subdiviziunile responsabile</w:t>
      </w:r>
      <w:r w:rsidRPr="009E5B39">
        <w:rPr>
          <w:rFonts w:asciiTheme="majorHAnsi" w:hAnsiTheme="majorHAnsi" w:cstheme="majorHAnsi"/>
          <w:sz w:val="24"/>
          <w:szCs w:val="24"/>
          <w:shd w:val="clear" w:color="auto" w:fill="FFFFFF"/>
          <w:lang w:val="ro-MD"/>
        </w:rPr>
        <w:t xml:space="preserve"> (pct.4.3.1. și pct. 4.3.2.); </w:t>
      </w:r>
    </w:p>
    <w:p w14:paraId="6B0A8FA8" w14:textId="393DDE45" w:rsidR="00AD64B2" w:rsidRPr="009E5B39" w:rsidRDefault="00AD64B2" w:rsidP="00AD64B2">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shd w:val="clear" w:color="auto" w:fill="FFFFFF"/>
          <w:lang w:val="ro-MD"/>
        </w:rPr>
        <w:t>identificarea tuturor terenurilor proprietate publică a UAT mun. Chișinău aferente obiectivelor private, cu ulterioara stabilire</w:t>
      </w:r>
      <w:r w:rsidRPr="009E5B39">
        <w:rPr>
          <w:rFonts w:asciiTheme="majorHAnsi" w:hAnsiTheme="majorHAnsi" w:cstheme="majorHAnsi"/>
          <w:sz w:val="24"/>
          <w:szCs w:val="24"/>
          <w:lang w:val="ro-MD"/>
        </w:rPr>
        <w:t xml:space="preserve"> de către CMC</w:t>
      </w:r>
      <w:r w:rsidRPr="009E5B39">
        <w:rPr>
          <w:rFonts w:asciiTheme="majorHAnsi" w:hAnsiTheme="majorHAnsi" w:cstheme="majorHAnsi"/>
          <w:sz w:val="24"/>
          <w:szCs w:val="24"/>
          <w:shd w:val="clear" w:color="auto" w:fill="FFFFFF"/>
          <w:lang w:val="ro-MD"/>
        </w:rPr>
        <w:t xml:space="preserve">, calculare și încasare, conform prevederilor legale, a plății pentru folosirea terenurilor proprietate publică aferente obiectivelor private (pct.4.3.3.); </w:t>
      </w:r>
    </w:p>
    <w:p w14:paraId="6C849910" w14:textId="6B87B2E5" w:rsidR="00AD64B2" w:rsidRPr="009E5B39" w:rsidRDefault="00AD64B2" w:rsidP="00AD64B2">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indicarea expresă a subdiviziunilor structurale care vor îndeplini funcțiile administratorilor de venituri aferente plăților de folosire a terenurilor, bunurilor imobile, redevenței în cadrul PPP, vânzării-procurării terenurilor și bunurilor imobile, și care vor fi responsabile de evidența conformă a calculelor, achitărilor, datoriilor și creanțelor aferente acestor plăți  </w:t>
      </w:r>
      <w:r w:rsidRPr="009E5B39">
        <w:rPr>
          <w:rFonts w:asciiTheme="majorHAnsi" w:hAnsiTheme="majorHAnsi" w:cstheme="majorHAnsi"/>
          <w:sz w:val="24"/>
          <w:szCs w:val="24"/>
          <w:shd w:val="clear" w:color="auto" w:fill="FFFFFF"/>
          <w:lang w:val="ro-MD"/>
        </w:rPr>
        <w:t>(pct.4.3.3. și pct</w:t>
      </w:r>
      <w:r w:rsidR="00A55345"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 xml:space="preserve"> 4.3.5.);</w:t>
      </w:r>
    </w:p>
    <w:p w14:paraId="46A0A0E5" w14:textId="77777777" w:rsidR="00AD64B2" w:rsidRPr="009E5B39" w:rsidRDefault="00AD64B2" w:rsidP="00AD64B2">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shd w:val="clear" w:color="auto" w:fill="FFFFFF"/>
          <w:lang w:val="ro-MD"/>
        </w:rPr>
        <w:t>inventarierea tuturor notificărilor și obiectelor de comerț, asigurând evidența unităților comerciale pe tipuri de activitate și condiții speciale de autorizare, cu întocmirea/ajustarea unei baze de date care ar conține informații necesare aferente urmăririi și achitării taxei locale respective (pct.4.3.4);</w:t>
      </w:r>
    </w:p>
    <w:p w14:paraId="2BC405AA" w14:textId="77777777" w:rsidR="00AD64B2" w:rsidRPr="009E5B39" w:rsidRDefault="00AD64B2" w:rsidP="00AD64B2">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shd w:val="clear" w:color="auto" w:fill="FFFFFF"/>
          <w:lang w:val="ro-MD"/>
        </w:rPr>
        <w:t xml:space="preserve">întocmirea unui plan individual de acțiuni juridice (inclusiv solicitarea explicării unor decizii judecătorești neclare), pentru fiecare bun imobil aflat în litigiu, cu desemnarea persoanelor responsabile de realizarea acestora și de recuperarea prejudiciilor aduse patrimoniului municipal (pct. 4.3.6.); </w:t>
      </w:r>
    </w:p>
    <w:p w14:paraId="3C0C5CB7" w14:textId="77777777" w:rsidR="00AD64B2" w:rsidRPr="009E5B39" w:rsidRDefault="00AD64B2" w:rsidP="00AD64B2">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shd w:val="clear" w:color="auto" w:fill="FFFFFF"/>
          <w:lang w:val="ro-MD"/>
        </w:rPr>
        <w:t xml:space="preserve">întocmirea unui plan individual de acțiuni juridice necesare recuperării creanțelor pentru folosința și vânzarea patrimoniului municipal, aferente recuperării mijloacelor achitate în contul garanțiilor emise de CMC, precum și desemnarea entităților/persoanelor responsabile de realizarea acestora (pct.4.3.8.); </w:t>
      </w:r>
    </w:p>
    <w:p w14:paraId="3203009A" w14:textId="719ABE11" w:rsidR="00AD64B2" w:rsidRPr="009E5B39" w:rsidRDefault="00AD64B2" w:rsidP="00AD64B2">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indicarea expresă în Politica de contabilitate unică a Direcțiilor responsabile de evidența  patrimoniului municipal din domeniul public (terenuri, bunuri imobile) transmise în gestiune IMSP și ÎM și </w:t>
      </w:r>
      <w:r w:rsidR="00A55345" w:rsidRPr="009E5B39">
        <w:rPr>
          <w:rFonts w:asciiTheme="majorHAnsi" w:hAnsiTheme="majorHAnsi" w:cstheme="majorHAnsi"/>
          <w:sz w:val="24"/>
          <w:szCs w:val="24"/>
          <w:lang w:val="ro-MD"/>
        </w:rPr>
        <w:t xml:space="preserve">a celor </w:t>
      </w:r>
      <w:r w:rsidRPr="009E5B39">
        <w:rPr>
          <w:rFonts w:asciiTheme="majorHAnsi" w:hAnsiTheme="majorHAnsi" w:cstheme="majorHAnsi"/>
          <w:sz w:val="24"/>
          <w:szCs w:val="24"/>
          <w:lang w:val="ro-MD"/>
        </w:rPr>
        <w:t xml:space="preserve">prin care se vor face alocările bugetare pentru modernizarea acestor entități </w:t>
      </w:r>
      <w:r w:rsidRPr="009E5B39">
        <w:rPr>
          <w:rFonts w:asciiTheme="majorHAnsi" w:hAnsiTheme="majorHAnsi" w:cstheme="majorHAnsi"/>
          <w:sz w:val="24"/>
          <w:szCs w:val="24"/>
          <w:shd w:val="clear" w:color="auto" w:fill="FFFFFF"/>
          <w:lang w:val="ro-MD"/>
        </w:rPr>
        <w:t>(pct.4.3.10.)</w:t>
      </w:r>
      <w:r w:rsidRPr="009E5B39">
        <w:rPr>
          <w:rFonts w:asciiTheme="majorHAnsi" w:hAnsiTheme="majorHAnsi" w:cstheme="majorHAnsi"/>
          <w:sz w:val="24"/>
          <w:szCs w:val="24"/>
          <w:lang w:val="ro-MD"/>
        </w:rPr>
        <w:t xml:space="preserve">; </w:t>
      </w:r>
    </w:p>
    <w:p w14:paraId="2337FCE9" w14:textId="35555168" w:rsidR="005A7A25" w:rsidRPr="009E5B39" w:rsidRDefault="005A7A25" w:rsidP="005A7A25">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finalizarea reorganizării ÎM DCC și preluarea la balanța APL a patrimoniului municipal din domeniul public aflat în evidența ÎM (pct. 4.3.1</w:t>
      </w:r>
      <w:r w:rsidR="00EA398C" w:rsidRPr="009E5B39">
        <w:rPr>
          <w:rFonts w:asciiTheme="majorHAnsi" w:hAnsiTheme="majorHAnsi" w:cstheme="majorHAnsi"/>
          <w:sz w:val="24"/>
          <w:szCs w:val="24"/>
          <w:lang w:val="ro-MD"/>
        </w:rPr>
        <w:t>1</w:t>
      </w:r>
      <w:r w:rsidRPr="009E5B39">
        <w:rPr>
          <w:rFonts w:asciiTheme="majorHAnsi" w:hAnsiTheme="majorHAnsi" w:cstheme="majorHAnsi"/>
          <w:sz w:val="24"/>
          <w:szCs w:val="24"/>
          <w:lang w:val="ro-MD"/>
        </w:rPr>
        <w:t>.);</w:t>
      </w:r>
    </w:p>
    <w:p w14:paraId="15EF194C" w14:textId="24D95954" w:rsidR="001965CF" w:rsidRPr="009E5B39" w:rsidRDefault="001965CF" w:rsidP="00AD64B2">
      <w:pPr>
        <w:pStyle w:val="ListParagraph"/>
        <w:numPr>
          <w:ilvl w:val="0"/>
          <w:numId w:val="9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shd w:val="clear" w:color="auto" w:fill="FFFFFF"/>
          <w:lang w:val="ro-MD"/>
        </w:rPr>
        <w:t xml:space="preserve">modificarea Regulamentului </w:t>
      </w:r>
      <w:r w:rsidRPr="009E5B39">
        <w:rPr>
          <w:rFonts w:asciiTheme="majorHAnsi" w:hAnsiTheme="majorHAnsi" w:cstheme="majorHAnsi"/>
          <w:sz w:val="24"/>
          <w:szCs w:val="24"/>
          <w:lang w:val="ro-MD"/>
        </w:rPr>
        <w:t xml:space="preserve">de organizare și funcționare a serviciului public de alimentare cu apă și  </w:t>
      </w:r>
      <w:r w:rsidR="0001361E" w:rsidRPr="009E5B39">
        <w:rPr>
          <w:rFonts w:asciiTheme="majorHAnsi" w:hAnsiTheme="majorHAnsi" w:cstheme="majorHAnsi"/>
          <w:sz w:val="24"/>
          <w:szCs w:val="24"/>
          <w:lang w:val="ro-MD"/>
        </w:rPr>
        <w:t xml:space="preserve">de </w:t>
      </w:r>
      <w:r w:rsidRPr="009E5B39">
        <w:rPr>
          <w:rFonts w:asciiTheme="majorHAnsi" w:hAnsiTheme="majorHAnsi" w:cstheme="majorHAnsi"/>
          <w:sz w:val="24"/>
          <w:szCs w:val="24"/>
          <w:lang w:val="ro-MD"/>
        </w:rPr>
        <w:t xml:space="preserve">canalizare, aprobat prin </w:t>
      </w:r>
      <w:r w:rsidR="0001361E" w:rsidRPr="009E5B39">
        <w:rPr>
          <w:rFonts w:asciiTheme="majorHAnsi" w:hAnsiTheme="majorHAnsi" w:cstheme="majorHAnsi"/>
          <w:sz w:val="24"/>
          <w:szCs w:val="24"/>
          <w:lang w:val="ro-MD"/>
        </w:rPr>
        <w:t>D</w:t>
      </w:r>
      <w:r w:rsidRPr="009E5B39">
        <w:rPr>
          <w:rFonts w:asciiTheme="majorHAnsi" w:hAnsiTheme="majorHAnsi" w:cstheme="majorHAnsi"/>
          <w:sz w:val="24"/>
          <w:szCs w:val="24"/>
          <w:lang w:val="ro-MD"/>
        </w:rPr>
        <w:t>ecizia CMC nr. 14/11 din 11.08.2020</w:t>
      </w:r>
      <w:r w:rsidR="0001361E"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shd w:val="clear" w:color="auto" w:fill="FFFFFF"/>
          <w:lang w:val="ro-MD"/>
        </w:rPr>
        <w:t>în scopul asigurării contractării directe a serviciilor de apă și de canalizare de către locatarii din blocurile locative pentru ambele tipuri de apă livrată (apă rece și apă menajeră), precum și pentru eliminarea facturării ineficiente a volumelor de apă aferente diferenței de volum între datele contorului la apă pe bloc și datele contoarelor individuale din apartamente (pct.</w:t>
      </w:r>
      <w:r w:rsidR="003E4767" w:rsidRPr="009E5B39">
        <w:rPr>
          <w:rFonts w:asciiTheme="majorHAnsi" w:hAnsiTheme="majorHAnsi" w:cstheme="majorHAnsi"/>
          <w:sz w:val="24"/>
          <w:szCs w:val="24"/>
          <w:shd w:val="clear" w:color="auto" w:fill="FFFFFF"/>
          <w:lang w:val="ro-MD"/>
        </w:rPr>
        <w:t>4.4.2.</w:t>
      </w:r>
      <w:r w:rsidRPr="009E5B39">
        <w:rPr>
          <w:rFonts w:asciiTheme="majorHAnsi" w:hAnsiTheme="majorHAnsi" w:cstheme="majorHAnsi"/>
          <w:sz w:val="24"/>
          <w:szCs w:val="24"/>
          <w:shd w:val="clear" w:color="auto" w:fill="FFFFFF"/>
          <w:lang w:val="ro-MD"/>
        </w:rPr>
        <w:t>)</w:t>
      </w:r>
      <w:r w:rsidR="00075748" w:rsidRPr="009E5B39">
        <w:rPr>
          <w:rFonts w:asciiTheme="majorHAnsi" w:hAnsiTheme="majorHAnsi" w:cstheme="majorHAnsi"/>
          <w:sz w:val="24"/>
          <w:szCs w:val="24"/>
          <w:shd w:val="clear" w:color="auto" w:fill="FFFFFF"/>
          <w:lang w:val="ro-MD"/>
        </w:rPr>
        <w:t>.</w:t>
      </w:r>
      <w:r w:rsidRPr="009E5B39">
        <w:rPr>
          <w:rFonts w:asciiTheme="majorHAnsi" w:hAnsiTheme="majorHAnsi" w:cstheme="majorHAnsi"/>
          <w:sz w:val="24"/>
          <w:szCs w:val="24"/>
          <w:shd w:val="clear" w:color="auto" w:fill="FFFFFF"/>
          <w:lang w:val="ro-MD"/>
        </w:rPr>
        <w:t xml:space="preserve"> </w:t>
      </w:r>
    </w:p>
    <w:p w14:paraId="43D0E45C" w14:textId="77777777" w:rsidR="00950778" w:rsidRPr="009E5B39" w:rsidRDefault="00950778" w:rsidP="00EF4BC3">
      <w:pPr>
        <w:spacing w:after="0" w:line="276" w:lineRule="auto"/>
        <w:ind w:firstLine="567"/>
        <w:jc w:val="both"/>
        <w:rPr>
          <w:rFonts w:asciiTheme="majorHAnsi" w:eastAsia="Times New Roman" w:hAnsiTheme="majorHAnsi" w:cstheme="majorHAnsi"/>
          <w:b/>
          <w:bCs/>
          <w:i/>
          <w:iCs/>
          <w:sz w:val="24"/>
          <w:szCs w:val="24"/>
          <w:lang w:val="ro-MD"/>
        </w:rPr>
      </w:pPr>
    </w:p>
    <w:p w14:paraId="10AA3890" w14:textId="447266EF" w:rsidR="001965CF" w:rsidRPr="009E5B39" w:rsidRDefault="001965CF" w:rsidP="00EF4BC3">
      <w:pPr>
        <w:spacing w:after="0" w:line="276" w:lineRule="auto"/>
        <w:ind w:firstLine="567"/>
        <w:jc w:val="both"/>
        <w:rPr>
          <w:rFonts w:asciiTheme="majorHAnsi" w:eastAsia="Times New Roman" w:hAnsiTheme="majorHAnsi" w:cstheme="majorHAnsi"/>
          <w:b/>
          <w:bCs/>
          <w:i/>
          <w:iCs/>
          <w:sz w:val="24"/>
          <w:szCs w:val="24"/>
          <w:lang w:val="ro-MD"/>
        </w:rPr>
      </w:pPr>
      <w:r w:rsidRPr="009E5B39">
        <w:rPr>
          <w:rFonts w:asciiTheme="majorHAnsi" w:eastAsia="Times New Roman" w:hAnsiTheme="majorHAnsi" w:cstheme="majorHAnsi"/>
          <w:b/>
          <w:bCs/>
          <w:i/>
          <w:iCs/>
          <w:sz w:val="24"/>
          <w:szCs w:val="24"/>
          <w:lang w:val="ro-MD"/>
        </w:rPr>
        <w:t>Recomandările reiterate, aprobate prin HCC nr.94 din 17.12.2018 „Cu privire la Raportul auditului asupra raportului financiar al municipiului Chișinău pe anul 2017” și neimplementate:</w:t>
      </w:r>
    </w:p>
    <w:p w14:paraId="6D48B421" w14:textId="77777777" w:rsidR="001965CF" w:rsidRPr="009E5B39" w:rsidRDefault="001965CF" w:rsidP="00EF4BC3">
      <w:pPr>
        <w:spacing w:after="0" w:line="276" w:lineRule="auto"/>
        <w:jc w:val="both"/>
        <w:rPr>
          <w:rFonts w:asciiTheme="majorHAnsi" w:hAnsiTheme="majorHAnsi" w:cstheme="majorHAnsi"/>
          <w:b/>
          <w:sz w:val="24"/>
          <w:szCs w:val="24"/>
          <w:lang w:val="ro-MD"/>
        </w:rPr>
      </w:pPr>
      <w:r w:rsidRPr="009E5B39">
        <w:rPr>
          <w:rFonts w:asciiTheme="majorHAnsi" w:hAnsiTheme="majorHAnsi" w:cstheme="majorHAnsi"/>
          <w:b/>
          <w:sz w:val="24"/>
          <w:szCs w:val="24"/>
          <w:lang w:val="ro-MD"/>
        </w:rPr>
        <w:t>Primarului general al municipiului Chișinău:</w:t>
      </w:r>
    </w:p>
    <w:p w14:paraId="193346F2" w14:textId="77777777" w:rsidR="001965CF" w:rsidRPr="009E5B39" w:rsidRDefault="001965CF" w:rsidP="00EF4BC3">
      <w:pPr>
        <w:pStyle w:val="ListParagraph"/>
        <w:numPr>
          <w:ilvl w:val="0"/>
          <w:numId w:val="93"/>
        </w:numPr>
        <w:spacing w:after="0" w:line="276" w:lineRule="auto"/>
        <w:ind w:left="0" w:firstLine="0"/>
        <w:jc w:val="both"/>
        <w:rPr>
          <w:rFonts w:asciiTheme="majorHAnsi" w:hAnsiTheme="majorHAnsi" w:cstheme="majorHAnsi"/>
          <w:b/>
          <w:bCs/>
          <w:sz w:val="24"/>
          <w:szCs w:val="24"/>
          <w:lang w:val="ro-MD"/>
        </w:rPr>
      </w:pPr>
      <w:r w:rsidRPr="009E5B39">
        <w:rPr>
          <w:rFonts w:asciiTheme="majorHAnsi" w:hAnsiTheme="majorHAnsi" w:cstheme="majorHAnsi"/>
          <w:bCs/>
          <w:sz w:val="24"/>
          <w:szCs w:val="24"/>
          <w:lang w:val="ro-MD"/>
        </w:rPr>
        <w:t>să respecte cadrul legal existent în vederea excluderii acordării neregulamentare a ajutoarelor de stat;</w:t>
      </w:r>
    </w:p>
    <w:p w14:paraId="5F3571D4" w14:textId="77777777" w:rsidR="001965CF" w:rsidRPr="009E5B39" w:rsidRDefault="001965CF" w:rsidP="00EF4BC3">
      <w:pPr>
        <w:pStyle w:val="ListParagraph"/>
        <w:numPr>
          <w:ilvl w:val="0"/>
          <w:numId w:val="93"/>
        </w:numPr>
        <w:spacing w:after="0" w:line="276" w:lineRule="auto"/>
        <w:ind w:left="0" w:firstLine="0"/>
        <w:jc w:val="both"/>
        <w:rPr>
          <w:rFonts w:asciiTheme="majorHAnsi" w:hAnsiTheme="majorHAnsi" w:cstheme="majorHAnsi"/>
          <w:b/>
          <w:sz w:val="24"/>
          <w:szCs w:val="24"/>
          <w:lang w:val="ro-MD"/>
        </w:rPr>
      </w:pPr>
      <w:r w:rsidRPr="009E5B39">
        <w:rPr>
          <w:rFonts w:asciiTheme="majorHAnsi" w:hAnsiTheme="majorHAnsi" w:cstheme="majorHAnsi"/>
          <w:sz w:val="24"/>
          <w:szCs w:val="24"/>
          <w:lang w:val="ro-MD"/>
        </w:rPr>
        <w:t>să asigure evidența separată a cheltuielilor după tipul activităților prestate, în special în cadrul instituțiilor de învățământ școlar din mun. Chișinău, în vederea reflectării corecte a cheltuielilor aferente procesului educațional și determinării exacte a cheltuielilor pentru alte activități, în special alimentarea elevilor.</w:t>
      </w:r>
    </w:p>
    <w:p w14:paraId="7CDE5532" w14:textId="576E7BA4" w:rsidR="00F55B80" w:rsidRPr="009E5B39" w:rsidRDefault="00F55B80" w:rsidP="00EF4BC3">
      <w:pPr>
        <w:spacing w:after="0"/>
        <w:rPr>
          <w:rFonts w:asciiTheme="majorHAnsi" w:hAnsiTheme="majorHAnsi" w:cstheme="majorHAnsi"/>
          <w:lang w:val="ro-MD"/>
        </w:rPr>
      </w:pPr>
    </w:p>
    <w:p w14:paraId="448A1A2B" w14:textId="0AD0C5C1" w:rsidR="00307B4C" w:rsidRPr="009E5B39" w:rsidRDefault="00307B4C" w:rsidP="00EF4BC3">
      <w:pPr>
        <w:spacing w:after="0"/>
        <w:rPr>
          <w:rFonts w:asciiTheme="majorHAnsi" w:hAnsiTheme="majorHAnsi" w:cstheme="majorHAnsi"/>
          <w:lang w:val="ro-MD"/>
        </w:rPr>
      </w:pPr>
    </w:p>
    <w:p w14:paraId="41357252" w14:textId="2593DEC6" w:rsidR="00C11201" w:rsidRPr="009E5B39" w:rsidRDefault="00C11201" w:rsidP="00C11201">
      <w:pPr>
        <w:spacing w:after="0"/>
        <w:jc w:val="both"/>
        <w:rPr>
          <w:rFonts w:asciiTheme="majorHAnsi" w:hAnsiTheme="majorHAnsi" w:cstheme="majorHAnsi"/>
          <w:lang w:val="ro-MD"/>
        </w:rPr>
      </w:pPr>
      <w:r w:rsidRPr="009E5B39">
        <w:rPr>
          <w:rFonts w:asciiTheme="majorHAnsi" w:hAnsiTheme="majorHAnsi" w:cstheme="majorHAnsi"/>
          <w:b/>
          <w:i/>
          <w:iCs/>
          <w:sz w:val="20"/>
          <w:szCs w:val="20"/>
          <w:lang w:val="ro-MD"/>
        </w:rPr>
        <w:t>Notă:</w:t>
      </w:r>
      <w:r w:rsidRPr="009E5B39">
        <w:rPr>
          <w:rFonts w:asciiTheme="majorHAnsi" w:hAnsiTheme="majorHAnsi" w:cstheme="majorHAnsi"/>
          <w:i/>
          <w:iCs/>
          <w:sz w:val="20"/>
          <w:szCs w:val="20"/>
          <w:lang w:val="ro-MD"/>
        </w:rPr>
        <w:t xml:space="preserve"> Prezentul Raport de audit a fost întocmit în baza probelor acumulate de către echipa de audit, în următoarea componență: șef</w:t>
      </w:r>
      <w:r w:rsidR="000F49A1" w:rsidRPr="009E5B39">
        <w:rPr>
          <w:rFonts w:asciiTheme="majorHAnsi" w:hAnsiTheme="majorHAnsi" w:cstheme="majorHAnsi"/>
          <w:i/>
          <w:iCs/>
          <w:sz w:val="20"/>
          <w:szCs w:val="20"/>
          <w:lang w:val="ro-MD"/>
        </w:rPr>
        <w:t>a de</w:t>
      </w:r>
      <w:r w:rsidRPr="009E5B39">
        <w:rPr>
          <w:rFonts w:asciiTheme="majorHAnsi" w:hAnsiTheme="majorHAnsi" w:cstheme="majorHAnsi"/>
          <w:i/>
          <w:iCs/>
          <w:sz w:val="20"/>
          <w:szCs w:val="20"/>
          <w:lang w:val="ro-MD"/>
        </w:rPr>
        <w:t xml:space="preserve"> </w:t>
      </w:r>
      <w:r w:rsidR="000F49A1" w:rsidRPr="009E5B39">
        <w:rPr>
          <w:rFonts w:asciiTheme="majorHAnsi" w:hAnsiTheme="majorHAnsi" w:cstheme="majorHAnsi"/>
          <w:i/>
          <w:iCs/>
          <w:sz w:val="20"/>
          <w:szCs w:val="20"/>
          <w:lang w:val="ro-MD"/>
        </w:rPr>
        <w:t>D</w:t>
      </w:r>
      <w:r w:rsidRPr="009E5B39">
        <w:rPr>
          <w:rFonts w:asciiTheme="majorHAnsi" w:hAnsiTheme="majorHAnsi" w:cstheme="majorHAnsi"/>
          <w:i/>
          <w:iCs/>
          <w:sz w:val="20"/>
          <w:szCs w:val="20"/>
          <w:lang w:val="ro-MD"/>
        </w:rPr>
        <w:t>irecție în cadrul DGA V – Nadejda IONIȚĂ; auditorii publici principali – Aurelia USATÎI, Igor CĂLUGĂREANU, Alla LEAȘOC, Tatiana UNGUREANU, Alexandru LÎSÎI; auditorii publici superiori</w:t>
      </w:r>
      <w:r w:rsidR="000F49A1" w:rsidRPr="009E5B39">
        <w:rPr>
          <w:rFonts w:asciiTheme="majorHAnsi" w:hAnsiTheme="majorHAnsi" w:cstheme="majorHAnsi"/>
          <w:i/>
          <w:iCs/>
          <w:sz w:val="20"/>
          <w:szCs w:val="20"/>
          <w:lang w:val="ro-MD"/>
        </w:rPr>
        <w:t xml:space="preserve"> - </w:t>
      </w:r>
      <w:r w:rsidRPr="009E5B39">
        <w:rPr>
          <w:rFonts w:asciiTheme="majorHAnsi" w:hAnsiTheme="majorHAnsi" w:cstheme="majorHAnsi"/>
          <w:i/>
          <w:iCs/>
          <w:sz w:val="20"/>
          <w:szCs w:val="20"/>
          <w:lang w:val="ro-MD"/>
        </w:rPr>
        <w:t>Sergiu MÎȚĂ, Ecaterina CHIRTOACĂ; auditorul public</w:t>
      </w:r>
      <w:r w:rsidR="000F49A1" w:rsidRPr="009E5B39">
        <w:rPr>
          <w:rFonts w:asciiTheme="majorHAnsi" w:hAnsiTheme="majorHAnsi" w:cstheme="majorHAnsi"/>
          <w:i/>
          <w:iCs/>
          <w:sz w:val="20"/>
          <w:szCs w:val="20"/>
          <w:lang w:val="ro-MD"/>
        </w:rPr>
        <w:t>-</w:t>
      </w:r>
      <w:r w:rsidRPr="009E5B39">
        <w:rPr>
          <w:rFonts w:asciiTheme="majorHAnsi" w:hAnsiTheme="majorHAnsi" w:cstheme="majorHAnsi"/>
          <w:i/>
          <w:iCs/>
          <w:sz w:val="20"/>
          <w:szCs w:val="20"/>
          <w:lang w:val="ro-MD"/>
        </w:rPr>
        <w:t xml:space="preserve"> Anatolie PETREANU.</w:t>
      </w:r>
    </w:p>
    <w:p w14:paraId="3A6F8430" w14:textId="77777777" w:rsidR="00C11201" w:rsidRPr="009E5B39" w:rsidRDefault="00C11201" w:rsidP="00C11201">
      <w:pPr>
        <w:spacing w:after="0"/>
        <w:rPr>
          <w:rFonts w:asciiTheme="majorHAnsi" w:hAnsiTheme="majorHAnsi" w:cstheme="majorHAnsi"/>
          <w:lang w:val="ro-MD"/>
        </w:rPr>
      </w:pPr>
    </w:p>
    <w:p w14:paraId="1C717F10" w14:textId="77777777" w:rsidR="00C11201" w:rsidRPr="009E5B39" w:rsidRDefault="00C11201" w:rsidP="00C11201">
      <w:pPr>
        <w:spacing w:after="0"/>
        <w:rPr>
          <w:rFonts w:asciiTheme="majorHAnsi" w:hAnsiTheme="majorHAnsi" w:cstheme="majorHAnsi"/>
          <w:lang w:val="ro-MD"/>
        </w:rPr>
      </w:pPr>
    </w:p>
    <w:p w14:paraId="49244E32" w14:textId="77777777" w:rsidR="00C11201" w:rsidRPr="009E5B39" w:rsidRDefault="00C11201" w:rsidP="00C11201">
      <w:pPr>
        <w:shd w:val="clear" w:color="auto" w:fill="FFFFFF" w:themeFill="background1"/>
        <w:spacing w:after="0" w:line="276" w:lineRule="auto"/>
        <w:jc w:val="both"/>
        <w:rPr>
          <w:rFonts w:asciiTheme="majorHAnsi" w:eastAsia="TimesNewRoman" w:hAnsiTheme="majorHAnsi" w:cstheme="majorHAnsi"/>
          <w:b/>
          <w:sz w:val="24"/>
          <w:szCs w:val="24"/>
          <w:lang w:val="ro-MD"/>
        </w:rPr>
      </w:pPr>
      <w:r w:rsidRPr="009E5B39">
        <w:rPr>
          <w:rFonts w:asciiTheme="majorHAnsi" w:eastAsia="TimesNewRoman" w:hAnsiTheme="majorHAnsi" w:cstheme="majorHAnsi"/>
          <w:b/>
          <w:sz w:val="24"/>
          <w:szCs w:val="24"/>
          <w:lang w:val="ro-MD"/>
        </w:rPr>
        <w:t>SEMNĂTURILE ECHIPEI DE AUDIT</w:t>
      </w:r>
    </w:p>
    <w:p w14:paraId="64BD60D8" w14:textId="77777777" w:rsidR="00C11201" w:rsidRPr="009E5B39" w:rsidRDefault="00C11201" w:rsidP="00C11201">
      <w:pPr>
        <w:spacing w:after="0" w:line="276" w:lineRule="auto"/>
        <w:jc w:val="both"/>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 xml:space="preserve">Responsabil de întocmirea Raportului de audit:  </w:t>
      </w:r>
    </w:p>
    <w:p w14:paraId="50391982" w14:textId="14EA324E" w:rsidR="00C11201" w:rsidRPr="009E5B39" w:rsidRDefault="000F49A1" w:rsidP="00C11201">
      <w:pPr>
        <w:tabs>
          <w:tab w:val="left" w:pos="1080"/>
          <w:tab w:val="left" w:pos="7513"/>
        </w:tabs>
        <w:spacing w:after="0" w:line="276" w:lineRule="auto"/>
        <w:rPr>
          <w:rFonts w:asciiTheme="majorHAnsi" w:hAnsiTheme="majorHAnsi" w:cstheme="majorHAnsi"/>
          <w:bCs/>
          <w:iCs/>
          <w:sz w:val="24"/>
          <w:szCs w:val="24"/>
          <w:lang w:val="ro-MD"/>
        </w:rPr>
      </w:pPr>
      <w:r w:rsidRPr="009E5B39">
        <w:rPr>
          <w:rFonts w:asciiTheme="majorHAnsi" w:eastAsiaTheme="minorEastAsia" w:hAnsiTheme="majorHAnsi" w:cstheme="majorHAnsi"/>
          <w:i/>
          <w:sz w:val="24"/>
          <w:szCs w:val="24"/>
          <w:lang w:val="ro-MD"/>
        </w:rPr>
        <w:t>a</w:t>
      </w:r>
      <w:r w:rsidR="00C11201" w:rsidRPr="009E5B39">
        <w:rPr>
          <w:rFonts w:asciiTheme="majorHAnsi" w:eastAsiaTheme="minorEastAsia" w:hAnsiTheme="majorHAnsi" w:cstheme="majorHAnsi"/>
          <w:i/>
          <w:sz w:val="24"/>
          <w:szCs w:val="24"/>
          <w:lang w:val="ro-MD"/>
        </w:rPr>
        <w:t>udito</w:t>
      </w:r>
      <w:r w:rsidRPr="009E5B39">
        <w:rPr>
          <w:rFonts w:asciiTheme="majorHAnsi" w:eastAsiaTheme="minorEastAsia" w:hAnsiTheme="majorHAnsi" w:cstheme="majorHAnsi"/>
          <w:i/>
          <w:sz w:val="24"/>
          <w:szCs w:val="24"/>
          <w:lang w:val="ro-MD"/>
        </w:rPr>
        <w:t>are</w:t>
      </w:r>
      <w:r w:rsidR="00C11201" w:rsidRPr="009E5B39">
        <w:rPr>
          <w:rFonts w:asciiTheme="majorHAnsi" w:eastAsiaTheme="minorEastAsia" w:hAnsiTheme="majorHAnsi" w:cstheme="majorHAnsi"/>
          <w:i/>
          <w:sz w:val="24"/>
          <w:szCs w:val="24"/>
          <w:lang w:val="ro-MD"/>
        </w:rPr>
        <w:t xml:space="preserve"> public</w:t>
      </w:r>
      <w:r w:rsidRPr="009E5B39">
        <w:rPr>
          <w:rFonts w:asciiTheme="majorHAnsi" w:eastAsiaTheme="minorEastAsia" w:hAnsiTheme="majorHAnsi" w:cstheme="majorHAnsi"/>
          <w:i/>
          <w:sz w:val="24"/>
          <w:szCs w:val="24"/>
          <w:lang w:val="ro-MD"/>
        </w:rPr>
        <w:t>ă</w:t>
      </w:r>
      <w:r w:rsidR="00C11201" w:rsidRPr="009E5B39">
        <w:rPr>
          <w:rFonts w:asciiTheme="majorHAnsi" w:hAnsiTheme="majorHAnsi" w:cstheme="majorHAnsi"/>
          <w:bCs/>
          <w:i/>
          <w:iCs/>
          <w:sz w:val="24"/>
          <w:szCs w:val="24"/>
          <w:lang w:val="ro-MD"/>
        </w:rPr>
        <w:t xml:space="preserve"> principal</w:t>
      </w:r>
      <w:r w:rsidRPr="009E5B39">
        <w:rPr>
          <w:rFonts w:asciiTheme="majorHAnsi" w:hAnsiTheme="majorHAnsi" w:cstheme="majorHAnsi"/>
          <w:bCs/>
          <w:i/>
          <w:iCs/>
          <w:sz w:val="24"/>
          <w:szCs w:val="24"/>
          <w:lang w:val="ro-MD"/>
        </w:rPr>
        <w:t>ă</w:t>
      </w:r>
      <w:r w:rsidR="00C11201" w:rsidRPr="009E5B39">
        <w:rPr>
          <w:rFonts w:asciiTheme="majorHAnsi" w:hAnsiTheme="majorHAnsi" w:cstheme="majorHAnsi"/>
          <w:bCs/>
          <w:iCs/>
          <w:sz w:val="24"/>
          <w:szCs w:val="24"/>
          <w:lang w:val="ro-MD"/>
        </w:rPr>
        <w:t xml:space="preserve">,                                                                                        </w:t>
      </w:r>
    </w:p>
    <w:p w14:paraId="39945E4D" w14:textId="77777777" w:rsidR="00C11201" w:rsidRPr="009E5B39" w:rsidRDefault="00C11201" w:rsidP="00C11201">
      <w:pPr>
        <w:tabs>
          <w:tab w:val="left" w:pos="1080"/>
          <w:tab w:val="left" w:pos="7513"/>
        </w:tabs>
        <w:spacing w:after="0" w:line="276" w:lineRule="auto"/>
        <w:rPr>
          <w:rFonts w:asciiTheme="majorHAnsi" w:hAnsiTheme="majorHAnsi" w:cstheme="majorHAnsi"/>
          <w:b/>
          <w:bCs/>
          <w:i/>
          <w:iCs/>
          <w:sz w:val="24"/>
          <w:szCs w:val="24"/>
          <w:lang w:val="ro-MD"/>
        </w:rPr>
      </w:pPr>
      <w:r w:rsidRPr="009E5B39">
        <w:rPr>
          <w:rFonts w:asciiTheme="majorHAnsi" w:hAnsiTheme="majorHAnsi" w:cstheme="majorHAnsi"/>
          <w:b/>
          <w:bCs/>
          <w:i/>
          <w:iCs/>
          <w:sz w:val="24"/>
          <w:szCs w:val="24"/>
          <w:lang w:val="ro-MD"/>
        </w:rPr>
        <w:t>Aurelia USATÎI</w:t>
      </w:r>
    </w:p>
    <w:p w14:paraId="1DBAEB59" w14:textId="77777777" w:rsidR="007838F1" w:rsidRPr="009E5B39" w:rsidRDefault="007838F1" w:rsidP="00C11201">
      <w:pPr>
        <w:spacing w:after="0" w:line="276" w:lineRule="auto"/>
        <w:jc w:val="both"/>
        <w:rPr>
          <w:rFonts w:asciiTheme="majorHAnsi" w:hAnsiTheme="majorHAnsi" w:cstheme="majorHAnsi"/>
          <w:i/>
          <w:sz w:val="24"/>
          <w:szCs w:val="24"/>
          <w:lang w:val="ro-MD"/>
        </w:rPr>
      </w:pPr>
    </w:p>
    <w:p w14:paraId="0BF29428" w14:textId="2393BE89" w:rsidR="00C11201" w:rsidRPr="009E5B39" w:rsidRDefault="000F49A1" w:rsidP="00C11201">
      <w:pPr>
        <w:spacing w:after="0" w:line="276" w:lineRule="auto"/>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ș</w:t>
      </w:r>
      <w:r w:rsidR="00C11201" w:rsidRPr="009E5B39">
        <w:rPr>
          <w:rFonts w:asciiTheme="majorHAnsi" w:hAnsiTheme="majorHAnsi" w:cstheme="majorHAnsi"/>
          <w:i/>
          <w:sz w:val="24"/>
          <w:szCs w:val="24"/>
          <w:lang w:val="ro-MD"/>
        </w:rPr>
        <w:t>ef</w:t>
      </w:r>
      <w:r w:rsidRPr="009E5B39">
        <w:rPr>
          <w:rFonts w:asciiTheme="majorHAnsi" w:hAnsiTheme="majorHAnsi" w:cstheme="majorHAnsi"/>
          <w:i/>
          <w:sz w:val="24"/>
          <w:szCs w:val="24"/>
          <w:lang w:val="ro-MD"/>
        </w:rPr>
        <w:t>a</w:t>
      </w:r>
      <w:r w:rsidR="00C11201" w:rsidRPr="009E5B39">
        <w:rPr>
          <w:rFonts w:asciiTheme="majorHAnsi" w:hAnsiTheme="majorHAnsi" w:cstheme="majorHAnsi"/>
          <w:i/>
          <w:sz w:val="24"/>
          <w:szCs w:val="24"/>
          <w:lang w:val="ro-MD"/>
        </w:rPr>
        <w:t xml:space="preserve"> echipei de audit, șef</w:t>
      </w:r>
      <w:r w:rsidRPr="009E5B39">
        <w:rPr>
          <w:rFonts w:asciiTheme="majorHAnsi" w:hAnsiTheme="majorHAnsi" w:cstheme="majorHAnsi"/>
          <w:i/>
          <w:sz w:val="24"/>
          <w:szCs w:val="24"/>
          <w:lang w:val="ro-MD"/>
        </w:rPr>
        <w:t>a</w:t>
      </w:r>
      <w:r w:rsidR="00C11201" w:rsidRPr="009E5B39">
        <w:rPr>
          <w:rFonts w:asciiTheme="majorHAnsi" w:hAnsiTheme="majorHAnsi" w:cstheme="majorHAnsi"/>
          <w:i/>
          <w:sz w:val="24"/>
          <w:szCs w:val="24"/>
          <w:lang w:val="ro-MD"/>
        </w:rPr>
        <w:t xml:space="preserve"> </w:t>
      </w:r>
      <w:r w:rsidRPr="009E5B39">
        <w:rPr>
          <w:rFonts w:asciiTheme="majorHAnsi" w:hAnsiTheme="majorHAnsi" w:cstheme="majorHAnsi"/>
          <w:i/>
          <w:sz w:val="24"/>
          <w:szCs w:val="24"/>
          <w:lang w:val="ro-MD"/>
        </w:rPr>
        <w:t>D</w:t>
      </w:r>
      <w:r w:rsidR="00C11201" w:rsidRPr="009E5B39">
        <w:rPr>
          <w:rFonts w:asciiTheme="majorHAnsi" w:hAnsiTheme="majorHAnsi" w:cstheme="majorHAnsi"/>
          <w:i/>
          <w:sz w:val="24"/>
          <w:szCs w:val="24"/>
          <w:lang w:val="ro-MD"/>
        </w:rPr>
        <w:t>irecție</w:t>
      </w:r>
      <w:r w:rsidRPr="009E5B39">
        <w:rPr>
          <w:rFonts w:asciiTheme="majorHAnsi" w:hAnsiTheme="majorHAnsi" w:cstheme="majorHAnsi"/>
          <w:i/>
          <w:sz w:val="24"/>
          <w:szCs w:val="24"/>
          <w:lang w:val="ro-MD"/>
        </w:rPr>
        <w:t>i</w:t>
      </w:r>
      <w:r w:rsidR="00C11201" w:rsidRPr="009E5B39">
        <w:rPr>
          <w:rFonts w:asciiTheme="majorHAnsi" w:hAnsiTheme="majorHAnsi" w:cstheme="majorHAnsi"/>
          <w:i/>
          <w:sz w:val="24"/>
          <w:szCs w:val="24"/>
          <w:lang w:val="ro-MD"/>
        </w:rPr>
        <w:t xml:space="preserve"> de audit I a DGA V</w:t>
      </w:r>
    </w:p>
    <w:p w14:paraId="742A7062" w14:textId="77777777" w:rsidR="00C11201" w:rsidRPr="009E5B39" w:rsidRDefault="00C11201" w:rsidP="00C11201">
      <w:pPr>
        <w:spacing w:after="0" w:line="276" w:lineRule="auto"/>
        <w:jc w:val="both"/>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Nadejda IONIȚĂ</w:t>
      </w:r>
    </w:p>
    <w:p w14:paraId="5A276DA0" w14:textId="77777777" w:rsidR="007838F1" w:rsidRPr="009E5B39" w:rsidRDefault="007838F1" w:rsidP="00C11201">
      <w:pPr>
        <w:tabs>
          <w:tab w:val="left" w:pos="7513"/>
        </w:tabs>
        <w:spacing w:after="0" w:line="276" w:lineRule="auto"/>
        <w:rPr>
          <w:rFonts w:asciiTheme="majorHAnsi" w:hAnsiTheme="majorHAnsi" w:cstheme="majorHAnsi"/>
          <w:b/>
          <w:i/>
          <w:iCs/>
          <w:sz w:val="24"/>
          <w:szCs w:val="24"/>
          <w:lang w:val="ro-MD"/>
        </w:rPr>
      </w:pPr>
    </w:p>
    <w:p w14:paraId="1B26661A" w14:textId="31B0793A" w:rsidR="00C11201" w:rsidRPr="009E5B39" w:rsidRDefault="00C11201" w:rsidP="00C11201">
      <w:pPr>
        <w:tabs>
          <w:tab w:val="left" w:pos="7513"/>
        </w:tabs>
        <w:spacing w:after="0" w:line="276" w:lineRule="auto"/>
        <w:rPr>
          <w:rFonts w:asciiTheme="majorHAnsi" w:hAnsiTheme="majorHAnsi" w:cstheme="majorHAnsi"/>
          <w:b/>
          <w:i/>
          <w:iCs/>
          <w:sz w:val="24"/>
          <w:szCs w:val="24"/>
          <w:lang w:val="ro-MD"/>
        </w:rPr>
      </w:pPr>
      <w:r w:rsidRPr="009E5B39">
        <w:rPr>
          <w:rFonts w:asciiTheme="majorHAnsi" w:hAnsiTheme="majorHAnsi" w:cstheme="majorHAnsi"/>
          <w:b/>
          <w:i/>
          <w:iCs/>
          <w:sz w:val="24"/>
          <w:szCs w:val="24"/>
          <w:lang w:val="ro-MD"/>
        </w:rPr>
        <w:t>Responsabil de monitorizarea și asigurarea calității auditului:</w:t>
      </w:r>
    </w:p>
    <w:p w14:paraId="2B27A8B9" w14:textId="76014F8E" w:rsidR="00C11201" w:rsidRPr="009E5B39" w:rsidRDefault="000F49A1" w:rsidP="00C11201">
      <w:pPr>
        <w:tabs>
          <w:tab w:val="left" w:pos="7513"/>
        </w:tabs>
        <w:spacing w:after="0" w:line="276" w:lineRule="auto"/>
        <w:rPr>
          <w:rFonts w:asciiTheme="majorHAnsi" w:hAnsiTheme="majorHAnsi" w:cstheme="majorHAnsi"/>
          <w:bCs/>
          <w:i/>
          <w:sz w:val="24"/>
          <w:szCs w:val="24"/>
          <w:lang w:val="ro-MD"/>
        </w:rPr>
      </w:pPr>
      <w:r w:rsidRPr="009E5B39">
        <w:rPr>
          <w:rFonts w:asciiTheme="majorHAnsi" w:hAnsiTheme="majorHAnsi" w:cstheme="majorHAnsi"/>
          <w:bCs/>
          <w:i/>
          <w:sz w:val="24"/>
          <w:szCs w:val="24"/>
          <w:lang w:val="ro-MD"/>
        </w:rPr>
        <w:t>ș</w:t>
      </w:r>
      <w:r w:rsidR="00C11201" w:rsidRPr="009E5B39">
        <w:rPr>
          <w:rFonts w:asciiTheme="majorHAnsi" w:hAnsiTheme="majorHAnsi" w:cstheme="majorHAnsi"/>
          <w:bCs/>
          <w:i/>
          <w:sz w:val="24"/>
          <w:szCs w:val="24"/>
          <w:lang w:val="ro-MD"/>
        </w:rPr>
        <w:t xml:space="preserve">eful Direcției generale de audit V,                                                                       </w:t>
      </w:r>
    </w:p>
    <w:p w14:paraId="2B807A4E" w14:textId="77777777" w:rsidR="00C11201" w:rsidRPr="009E5B39" w:rsidRDefault="00C11201" w:rsidP="00C11201">
      <w:pPr>
        <w:spacing w:after="0"/>
        <w:rPr>
          <w:rFonts w:asciiTheme="majorHAnsi" w:hAnsiTheme="majorHAnsi" w:cstheme="majorHAnsi"/>
          <w:lang w:val="ro-MD"/>
        </w:rPr>
      </w:pPr>
      <w:r w:rsidRPr="009E5B39">
        <w:rPr>
          <w:rFonts w:asciiTheme="majorHAnsi" w:hAnsiTheme="majorHAnsi" w:cstheme="majorHAnsi"/>
          <w:b/>
          <w:bCs/>
          <w:iCs/>
          <w:sz w:val="24"/>
          <w:szCs w:val="24"/>
          <w:lang w:val="ro-MD"/>
        </w:rPr>
        <w:t>Sergiu ȘTIRBU</w:t>
      </w:r>
    </w:p>
    <w:p w14:paraId="3E972507" w14:textId="77777777" w:rsidR="00E54111" w:rsidRPr="009E5B39" w:rsidRDefault="00E54111" w:rsidP="00EF4BC3">
      <w:pPr>
        <w:spacing w:after="0"/>
        <w:rPr>
          <w:rFonts w:asciiTheme="majorHAnsi" w:hAnsiTheme="majorHAnsi" w:cstheme="majorHAnsi"/>
          <w:lang w:val="ro-MD"/>
        </w:rPr>
      </w:pPr>
    </w:p>
    <w:p w14:paraId="15D4B36F" w14:textId="77777777" w:rsidR="00F55B80" w:rsidRPr="009E5B39" w:rsidRDefault="00F55B80" w:rsidP="00EF4BC3">
      <w:pPr>
        <w:spacing w:after="0" w:line="276" w:lineRule="auto"/>
        <w:jc w:val="both"/>
        <w:rPr>
          <w:rFonts w:asciiTheme="majorHAnsi" w:eastAsia="Times New Roman" w:hAnsiTheme="majorHAnsi" w:cstheme="majorHAnsi"/>
          <w:i/>
          <w:sz w:val="20"/>
          <w:szCs w:val="20"/>
          <w:lang w:val="ro-MD" w:eastAsia="ru-RU"/>
        </w:rPr>
      </w:pPr>
    </w:p>
    <w:p w14:paraId="11F9038B" w14:textId="77777777" w:rsidR="009E4EAA" w:rsidRPr="009E5B39" w:rsidRDefault="009E4EAA" w:rsidP="00EF4BC3">
      <w:pPr>
        <w:pStyle w:val="Heading1"/>
        <w:spacing w:before="0"/>
        <w:jc w:val="right"/>
        <w:rPr>
          <w:rFonts w:cstheme="majorHAnsi"/>
          <w:color w:val="auto"/>
          <w:lang w:val="ro-MD"/>
        </w:rPr>
        <w:sectPr w:rsidR="009E4EAA" w:rsidRPr="009E5B39" w:rsidSect="00DF1919">
          <w:pgSz w:w="11907" w:h="16840" w:code="9"/>
          <w:pgMar w:top="1134" w:right="851" w:bottom="1134" w:left="1701" w:header="709" w:footer="709" w:gutter="0"/>
          <w:cols w:space="708"/>
          <w:docGrid w:linePitch="360"/>
        </w:sectPr>
      </w:pPr>
    </w:p>
    <w:p w14:paraId="07EB626A" w14:textId="35723155" w:rsidR="00F55B80" w:rsidRPr="009E5B39" w:rsidRDefault="00F55B80" w:rsidP="00EF4BC3">
      <w:pPr>
        <w:pStyle w:val="Heading1"/>
        <w:spacing w:before="0"/>
        <w:jc w:val="right"/>
        <w:rPr>
          <w:rFonts w:cstheme="majorHAnsi"/>
          <w:b/>
          <w:color w:val="auto"/>
          <w:lang w:val="ro-MD"/>
        </w:rPr>
      </w:pPr>
      <w:bookmarkStart w:id="18" w:name="_Toc116026883"/>
      <w:r w:rsidRPr="009E5B39">
        <w:rPr>
          <w:rFonts w:cstheme="majorHAnsi"/>
          <w:b/>
          <w:color w:val="auto"/>
          <w:lang w:val="ro-MD"/>
        </w:rPr>
        <w:t>Anexa nr.1</w:t>
      </w:r>
      <w:bookmarkEnd w:id="18"/>
    </w:p>
    <w:p w14:paraId="08FF116A" w14:textId="77777777" w:rsidR="00C33E62" w:rsidRPr="009E5B39" w:rsidRDefault="00C33E62" w:rsidP="00EF4BC3">
      <w:pPr>
        <w:spacing w:after="0" w:line="276" w:lineRule="auto"/>
        <w:jc w:val="center"/>
        <w:rPr>
          <w:rFonts w:asciiTheme="majorHAnsi" w:eastAsia="Times New Roman" w:hAnsiTheme="majorHAnsi" w:cstheme="majorHAnsi"/>
          <w:b/>
          <w:bCs/>
          <w:sz w:val="28"/>
          <w:szCs w:val="28"/>
          <w:lang w:val="ro-MD" w:bidi="bo-CN"/>
        </w:rPr>
      </w:pPr>
      <w:r w:rsidRPr="009E5B39">
        <w:rPr>
          <w:rFonts w:asciiTheme="majorHAnsi" w:eastAsia="Times New Roman" w:hAnsiTheme="majorHAnsi" w:cstheme="majorHAnsi"/>
          <w:b/>
          <w:bCs/>
          <w:sz w:val="28"/>
          <w:szCs w:val="28"/>
          <w:lang w:val="ro-MD" w:bidi="bo-CN"/>
        </w:rPr>
        <w:t>Sfera și abordarea auditului</w:t>
      </w:r>
    </w:p>
    <w:p w14:paraId="3C4BC89B" w14:textId="77777777" w:rsidR="00C33E62" w:rsidRPr="009E5B39" w:rsidRDefault="00C33E62" w:rsidP="00EF4BC3">
      <w:pPr>
        <w:spacing w:after="0" w:line="276" w:lineRule="auto"/>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Mandatul legal și scopul auditului</w:t>
      </w:r>
    </w:p>
    <w:p w14:paraId="425BA585" w14:textId="6E8430F8" w:rsidR="00C33E62" w:rsidRPr="009E5B39" w:rsidRDefault="00C33E62" w:rsidP="00EF4BC3">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Misiunea de audit a fost desfășurată în temeiul prevederilor art.3 alin.(1), art.5 alin.(1) lit. a) și art.31 alin.(1) lit. b) din Legea nr.260 din 07.12.2017</w:t>
      </w:r>
      <w:r w:rsidRPr="009E5B39">
        <w:rPr>
          <w:rFonts w:asciiTheme="majorHAnsi" w:hAnsiTheme="majorHAnsi" w:cstheme="majorHAnsi"/>
          <w:sz w:val="24"/>
          <w:szCs w:val="24"/>
          <w:vertAlign w:val="superscript"/>
          <w:lang w:val="ro-MD"/>
        </w:rPr>
        <w:footnoteReference w:id="239"/>
      </w:r>
      <w:r w:rsidRPr="009E5B39">
        <w:rPr>
          <w:rFonts w:asciiTheme="majorHAnsi" w:hAnsiTheme="majorHAnsi" w:cstheme="majorHAnsi"/>
          <w:sz w:val="24"/>
          <w:szCs w:val="24"/>
          <w:lang w:val="ro-MD"/>
        </w:rPr>
        <w:t xml:space="preserve"> și </w:t>
      </w:r>
      <w:r w:rsidR="002E5FA6" w:rsidRPr="009E5B39">
        <w:rPr>
          <w:rFonts w:asciiTheme="majorHAnsi" w:hAnsiTheme="majorHAnsi" w:cstheme="majorHAnsi"/>
          <w:spacing w:val="-1"/>
          <w:sz w:val="24"/>
          <w:szCs w:val="24"/>
          <w:lang w:val="ro-MD"/>
        </w:rPr>
        <w:t xml:space="preserve">Programele activității de audit a Curții de </w:t>
      </w:r>
      <w:r w:rsidR="002E5FA6" w:rsidRPr="009E5B39">
        <w:rPr>
          <w:rFonts w:asciiTheme="majorHAnsi" w:hAnsiTheme="majorHAnsi" w:cstheme="majorHAnsi"/>
          <w:sz w:val="24"/>
          <w:szCs w:val="24"/>
          <w:lang w:val="ro-MD"/>
        </w:rPr>
        <w:t>Conturi pentru anii 2021 și 2022</w:t>
      </w:r>
      <w:r w:rsidRPr="009E5B39">
        <w:rPr>
          <w:rFonts w:asciiTheme="majorHAnsi" w:hAnsiTheme="majorHAnsi" w:cstheme="majorHAnsi"/>
          <w:sz w:val="24"/>
          <w:szCs w:val="24"/>
          <w:lang w:val="ro-MD"/>
        </w:rPr>
        <w:t xml:space="preserve">, în scopul </w:t>
      </w:r>
      <w:r w:rsidR="00224A8D" w:rsidRPr="009E5B39">
        <w:rPr>
          <w:rFonts w:asciiTheme="majorHAnsi" w:hAnsiTheme="majorHAnsi" w:cstheme="majorHAnsi"/>
          <w:sz w:val="24"/>
          <w:szCs w:val="24"/>
          <w:lang w:val="ro-MD"/>
        </w:rPr>
        <w:t xml:space="preserve">evaluării </w:t>
      </w:r>
      <w:r w:rsidRPr="009E5B39">
        <w:rPr>
          <w:rFonts w:asciiTheme="majorHAnsi" w:hAnsiTheme="majorHAnsi" w:cstheme="majorHAnsi"/>
          <w:sz w:val="24"/>
          <w:szCs w:val="24"/>
          <w:lang w:val="ro-MD"/>
        </w:rPr>
        <w:t xml:space="preserve">conformității procesului bugetar și gestionării patrimoniului public al UAT mun. Chișinău în anii 2018-2020. În contextul realizării scopului misiunii de audit, au fost determinate următoarele obiective specifice: </w:t>
      </w:r>
    </w:p>
    <w:p w14:paraId="6730CDAE" w14:textId="77777777" w:rsidR="00BF7741" w:rsidRPr="009E5B39" w:rsidRDefault="00BF7741" w:rsidP="00EF4BC3">
      <w:pPr>
        <w:spacing w:after="0" w:line="276" w:lineRule="auto"/>
        <w:ind w:firstLine="709"/>
        <w:jc w:val="both"/>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Obiectivul I: A identificat, a evaluat și a colectat UAT veniturile bugetare în conformitate cu cadrul legal și regulator aferent?</w:t>
      </w:r>
    </w:p>
    <w:p w14:paraId="564F75C9" w14:textId="61AE67A3" w:rsidR="00BF7741" w:rsidRPr="009E5B39" w:rsidRDefault="00BF7741" w:rsidP="00EF4BC3">
      <w:pPr>
        <w:spacing w:after="0" w:line="276" w:lineRule="auto"/>
        <w:ind w:firstLine="709"/>
        <w:jc w:val="both"/>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 xml:space="preserve">Obiectivul II: A justificat </w:t>
      </w:r>
      <w:r w:rsidR="004F78F3" w:rsidRPr="009E5B39">
        <w:rPr>
          <w:rFonts w:asciiTheme="majorHAnsi" w:hAnsiTheme="majorHAnsi" w:cstheme="majorHAnsi"/>
          <w:b/>
          <w:bCs/>
          <w:sz w:val="24"/>
          <w:szCs w:val="24"/>
          <w:lang w:val="ro-MD"/>
        </w:rPr>
        <w:t xml:space="preserve">UAT </w:t>
      </w:r>
      <w:r w:rsidRPr="009E5B39">
        <w:rPr>
          <w:rFonts w:asciiTheme="majorHAnsi" w:hAnsiTheme="majorHAnsi" w:cstheme="majorHAnsi"/>
          <w:b/>
          <w:bCs/>
          <w:sz w:val="24"/>
          <w:szCs w:val="24"/>
          <w:lang w:val="ro-MD"/>
        </w:rPr>
        <w:t xml:space="preserve">angajarea și gestionarea cheltuielilor potrivit cadrului regulator? </w:t>
      </w:r>
    </w:p>
    <w:p w14:paraId="4166773C" w14:textId="77777777" w:rsidR="00BF7741" w:rsidRPr="009E5B39" w:rsidRDefault="00BF7741" w:rsidP="00EF4BC3">
      <w:pPr>
        <w:spacing w:after="0" w:line="276" w:lineRule="auto"/>
        <w:ind w:firstLine="709"/>
        <w:jc w:val="both"/>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Obiectivul III: A înregistrat, a administrat și a gestionat UAT în modul corespunzător patrimoniul public?</w:t>
      </w:r>
    </w:p>
    <w:p w14:paraId="12F92320" w14:textId="77777777" w:rsidR="00BF7741" w:rsidRPr="009E5B39" w:rsidRDefault="00BF7741" w:rsidP="00EF4BC3">
      <w:pPr>
        <w:spacing w:after="0" w:line="276" w:lineRule="auto"/>
        <w:ind w:firstLine="709"/>
        <w:jc w:val="both"/>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 xml:space="preserve">Obiectivul IV: Evaluarea implementării recomandărilor anterioare ale Curții de Conturi. </w:t>
      </w:r>
    </w:p>
    <w:p w14:paraId="0BEE224A" w14:textId="77777777" w:rsidR="00C33E62" w:rsidRPr="009E5B39" w:rsidRDefault="00C33E62" w:rsidP="00EF4BC3">
      <w:pPr>
        <w:spacing w:after="0" w:line="276" w:lineRule="auto"/>
        <w:rPr>
          <w:rFonts w:asciiTheme="majorHAnsi" w:hAnsiTheme="majorHAnsi" w:cstheme="majorHAnsi"/>
          <w:b/>
          <w:bCs/>
          <w:sz w:val="24"/>
          <w:szCs w:val="24"/>
          <w:lang w:val="ro-MD"/>
        </w:rPr>
      </w:pPr>
    </w:p>
    <w:p w14:paraId="49A61E70" w14:textId="77777777" w:rsidR="00C33E62" w:rsidRPr="009E5B39" w:rsidRDefault="00C33E62" w:rsidP="00EF4BC3">
      <w:pPr>
        <w:spacing w:after="0" w:line="276" w:lineRule="auto"/>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Abordarea auditului</w:t>
      </w:r>
    </w:p>
    <w:p w14:paraId="7807B0A4" w14:textId="2972504D" w:rsidR="00224A8D" w:rsidRPr="009E5B39" w:rsidRDefault="00C33E62" w:rsidP="00EF4BC3">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Activitățile de audit au fost realizate în conformitate cu Standardele Internaționale de Audit aplicate de CCRM</w:t>
      </w:r>
      <w:r w:rsidR="00224A8D" w:rsidRPr="009E5B39">
        <w:rPr>
          <w:rFonts w:asciiTheme="majorHAnsi" w:hAnsiTheme="majorHAnsi" w:cstheme="majorHAnsi"/>
          <w:sz w:val="24"/>
          <w:szCs w:val="24"/>
          <w:lang w:val="ro-MD"/>
        </w:rPr>
        <w:t xml:space="preserve">, în special </w:t>
      </w:r>
      <w:r w:rsidR="00224A8D" w:rsidRPr="009E5B39">
        <w:rPr>
          <w:rFonts w:asciiTheme="majorHAnsi" w:hAnsiTheme="majorHAnsi" w:cstheme="majorHAnsi"/>
          <w:sz w:val="24"/>
          <w:szCs w:val="24"/>
          <w:shd w:val="clear" w:color="auto" w:fill="FFFFFF"/>
          <w:lang w:val="ro-MD"/>
        </w:rPr>
        <w:t xml:space="preserve">ISSAI 100, ISSAI 400, precum și </w:t>
      </w:r>
      <w:r w:rsidR="00224A8D" w:rsidRPr="009E5B39">
        <w:rPr>
          <w:rFonts w:asciiTheme="majorHAnsi" w:hAnsiTheme="majorHAnsi" w:cstheme="majorHAnsi"/>
          <w:sz w:val="24"/>
          <w:szCs w:val="24"/>
          <w:lang w:val="ro-MD"/>
        </w:rPr>
        <w:t>ISSAI 4000</w:t>
      </w:r>
      <w:r w:rsidRPr="009E5B39">
        <w:rPr>
          <w:rFonts w:asciiTheme="majorHAnsi" w:hAnsiTheme="majorHAnsi" w:cstheme="majorHAnsi"/>
          <w:sz w:val="24"/>
          <w:szCs w:val="24"/>
          <w:vertAlign w:val="superscript"/>
          <w:lang w:val="ro-MD"/>
        </w:rPr>
        <w:footnoteReference w:id="240"/>
      </w:r>
      <w:r w:rsidRPr="009E5B39">
        <w:rPr>
          <w:rFonts w:asciiTheme="majorHAnsi" w:hAnsiTheme="majorHAnsi" w:cstheme="majorHAnsi"/>
          <w:sz w:val="24"/>
          <w:szCs w:val="24"/>
          <w:lang w:val="ro-MD"/>
        </w:rPr>
        <w:t>.</w:t>
      </w:r>
    </w:p>
    <w:p w14:paraId="0AC8B0E8" w14:textId="77777777" w:rsidR="00224A8D" w:rsidRPr="009E5B39" w:rsidRDefault="00C33E62" w:rsidP="00224A8D">
      <w:pPr>
        <w:spacing w:after="0" w:line="276" w:lineRule="auto"/>
        <w:ind w:firstLine="709"/>
        <w:jc w:val="both"/>
        <w:rPr>
          <w:rFonts w:asciiTheme="majorHAnsi" w:hAnsiTheme="majorHAnsi" w:cstheme="majorHAnsi"/>
          <w:color w:val="FF0000"/>
          <w:sz w:val="24"/>
          <w:szCs w:val="24"/>
          <w:lang w:val="ro-MD"/>
        </w:rPr>
      </w:pPr>
      <w:r w:rsidRPr="009E5B39">
        <w:rPr>
          <w:rFonts w:asciiTheme="majorHAnsi" w:hAnsiTheme="majorHAnsi" w:cstheme="majorHAnsi"/>
          <w:sz w:val="24"/>
          <w:szCs w:val="24"/>
          <w:lang w:val="ro-MD"/>
        </w:rPr>
        <w:t xml:space="preserve"> </w:t>
      </w:r>
      <w:r w:rsidR="00224A8D" w:rsidRPr="009E5B39">
        <w:rPr>
          <w:rFonts w:asciiTheme="majorHAnsi" w:hAnsiTheme="majorHAnsi" w:cstheme="majorHAnsi"/>
          <w:sz w:val="24"/>
          <w:szCs w:val="24"/>
          <w:lang w:val="ro-MD"/>
        </w:rPr>
        <w:t xml:space="preserve">Abordarea auditului s-a bazat pe evaluarea concentrată a mai multor proceduri  specifice, implicate în procesul bugetar și de gestionare a patrimoniului public, </w:t>
      </w:r>
      <w:r w:rsidR="00224A8D" w:rsidRPr="009E5B39">
        <w:rPr>
          <w:rFonts w:asciiTheme="majorHAnsi" w:hAnsiTheme="majorHAnsi" w:cstheme="majorHAnsi"/>
          <w:sz w:val="24"/>
          <w:szCs w:val="24"/>
          <w:shd w:val="clear" w:color="auto" w:fill="FFFFFF"/>
          <w:lang w:val="ro-MD"/>
        </w:rPr>
        <w:t>expuse riscurilor de neconformitate cu impact major</w:t>
      </w:r>
      <w:r w:rsidR="00224A8D" w:rsidRPr="009E5B39">
        <w:rPr>
          <w:rFonts w:asciiTheme="majorHAnsi" w:hAnsiTheme="majorHAnsi" w:cstheme="majorHAnsi"/>
          <w:sz w:val="24"/>
          <w:szCs w:val="24"/>
          <w:lang w:val="ro-MD"/>
        </w:rPr>
        <w:t>, din cadrul UAT mun. Chișinău</w:t>
      </w:r>
      <w:r w:rsidR="00224A8D" w:rsidRPr="009E5B39">
        <w:rPr>
          <w:rFonts w:asciiTheme="majorHAnsi" w:hAnsiTheme="majorHAnsi" w:cstheme="majorHAnsi"/>
          <w:color w:val="FF0000"/>
          <w:sz w:val="24"/>
          <w:szCs w:val="24"/>
          <w:lang w:val="ro-MD"/>
        </w:rPr>
        <w:t>.</w:t>
      </w:r>
    </w:p>
    <w:p w14:paraId="370857BF" w14:textId="217F5F5C" w:rsidR="00C33E62" w:rsidRPr="009E5B39" w:rsidRDefault="00C33E62" w:rsidP="00EF4BC3">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Metodologia de audit a constat din acțiuni de colectare a probelor de audit în cadrul Primăriei mun. Chișinău și instituțiilor din subordine atât la distanță, cât și la fața locului. Auditul la distanță a fost condiționat de restricțiile impuse de situația de urgență epidemiologică stabilită.</w:t>
      </w:r>
    </w:p>
    <w:p w14:paraId="28D09ED9" w14:textId="6AD20A65" w:rsidR="00AF40F1" w:rsidRPr="009E5B39" w:rsidRDefault="00C33E62" w:rsidP="001A7263">
      <w:pPr>
        <w:spacing w:after="0" w:line="276" w:lineRule="auto"/>
        <w:ind w:firstLine="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Tehnicile </w:t>
      </w:r>
      <w:r w:rsidR="00594407">
        <w:rPr>
          <w:rFonts w:asciiTheme="majorHAnsi" w:hAnsiTheme="majorHAnsi" w:cstheme="majorHAnsi"/>
          <w:sz w:val="24"/>
          <w:szCs w:val="24"/>
          <w:lang w:val="ro-MD"/>
        </w:rPr>
        <w:t xml:space="preserve">specifice </w:t>
      </w:r>
      <w:r w:rsidR="00D00687" w:rsidRPr="009E5B39">
        <w:rPr>
          <w:rFonts w:asciiTheme="majorHAnsi" w:hAnsiTheme="majorHAnsi" w:cstheme="majorHAnsi"/>
          <w:sz w:val="24"/>
          <w:szCs w:val="24"/>
          <w:lang w:val="ro-MD"/>
        </w:rPr>
        <w:t xml:space="preserve">și procedurile de audit </w:t>
      </w:r>
      <w:r w:rsidR="00594407">
        <w:rPr>
          <w:rFonts w:asciiTheme="majorHAnsi" w:hAnsiTheme="majorHAnsi" w:cstheme="majorHAnsi"/>
          <w:sz w:val="24"/>
          <w:szCs w:val="24"/>
          <w:lang w:val="ro-MD"/>
        </w:rPr>
        <w:t>utilizate în scopul obținerii probelor de audit sunt</w:t>
      </w:r>
      <w:r w:rsidRPr="009E5B39">
        <w:rPr>
          <w:rFonts w:asciiTheme="majorHAnsi" w:hAnsiTheme="majorHAnsi" w:cstheme="majorHAnsi"/>
          <w:sz w:val="24"/>
          <w:szCs w:val="24"/>
          <w:lang w:val="ro-MD"/>
        </w:rPr>
        <w:t xml:space="preserve">: a) examinarea rapoartelor financiare, documentelor primare și extraselor din înregistrările în sistemele informaționale ale entității, b) </w:t>
      </w:r>
      <w:r w:rsidR="00594407">
        <w:rPr>
          <w:rFonts w:asciiTheme="majorHAnsi" w:hAnsiTheme="majorHAnsi" w:cstheme="majorHAnsi"/>
          <w:sz w:val="24"/>
          <w:szCs w:val="24"/>
          <w:lang w:val="ro-MD"/>
        </w:rPr>
        <w:t>observarea/inspecția fizică</w:t>
      </w:r>
      <w:r w:rsidR="00D00687">
        <w:rPr>
          <w:rFonts w:asciiTheme="majorHAnsi" w:hAnsiTheme="majorHAnsi" w:cstheme="majorHAnsi"/>
          <w:sz w:val="24"/>
          <w:szCs w:val="24"/>
          <w:lang w:val="ro-MD"/>
        </w:rPr>
        <w:t xml:space="preserve"> a activităților desfășurate</w:t>
      </w:r>
      <w:r w:rsidR="00594407">
        <w:rPr>
          <w:rFonts w:asciiTheme="majorHAnsi" w:hAnsiTheme="majorHAnsi" w:cstheme="majorHAnsi"/>
          <w:sz w:val="24"/>
          <w:szCs w:val="24"/>
          <w:lang w:val="ro-MD"/>
        </w:rPr>
        <w:t xml:space="preserve">; c) confirmarea; d) </w:t>
      </w:r>
      <w:r w:rsidR="00D00687">
        <w:rPr>
          <w:rFonts w:asciiTheme="majorHAnsi" w:hAnsiTheme="majorHAnsi" w:cstheme="majorHAnsi"/>
          <w:sz w:val="24"/>
          <w:szCs w:val="24"/>
          <w:lang w:val="ro-MD"/>
        </w:rPr>
        <w:t xml:space="preserve">recalcularea; </w:t>
      </w:r>
      <w:r w:rsidR="001A7263">
        <w:rPr>
          <w:rFonts w:asciiTheme="majorHAnsi" w:hAnsiTheme="majorHAnsi" w:cstheme="majorHAnsi"/>
          <w:sz w:val="24"/>
          <w:szCs w:val="24"/>
          <w:lang w:val="ro-MD"/>
        </w:rPr>
        <w:t xml:space="preserve">e) analiza comparativă a informațiilor prezentate. </w:t>
      </w:r>
    </w:p>
    <w:p w14:paraId="3191335F" w14:textId="31167A9A" w:rsidR="003E291B" w:rsidRPr="009E5B39" w:rsidRDefault="003E291B" w:rsidP="00AF40F1">
      <w:pPr>
        <w:spacing w:after="0" w:line="276" w:lineRule="auto"/>
        <w:ind w:firstLine="709"/>
        <w:jc w:val="both"/>
        <w:rPr>
          <w:rFonts w:asciiTheme="majorHAnsi" w:hAnsiTheme="majorHAnsi" w:cstheme="majorHAnsi"/>
          <w:sz w:val="24"/>
          <w:szCs w:val="24"/>
          <w:lang w:val="ro-MD"/>
        </w:rPr>
      </w:pPr>
    </w:p>
    <w:p w14:paraId="466A2795" w14:textId="239339F5" w:rsidR="003E291B" w:rsidRPr="009E5B39" w:rsidRDefault="003E291B" w:rsidP="00AF40F1">
      <w:pPr>
        <w:spacing w:after="0" w:line="276" w:lineRule="auto"/>
        <w:ind w:firstLine="709"/>
        <w:jc w:val="both"/>
        <w:rPr>
          <w:rFonts w:asciiTheme="majorHAnsi" w:hAnsiTheme="majorHAnsi" w:cstheme="majorHAnsi"/>
          <w:sz w:val="24"/>
          <w:szCs w:val="24"/>
          <w:lang w:val="ro-MD"/>
        </w:rPr>
      </w:pPr>
    </w:p>
    <w:p w14:paraId="622323AD" w14:textId="6A713DA9" w:rsidR="003E291B" w:rsidRPr="009E5B39" w:rsidRDefault="003E291B" w:rsidP="00AF40F1">
      <w:pPr>
        <w:spacing w:after="0" w:line="276" w:lineRule="auto"/>
        <w:ind w:firstLine="709"/>
        <w:jc w:val="both"/>
        <w:rPr>
          <w:rFonts w:asciiTheme="majorHAnsi" w:hAnsiTheme="majorHAnsi" w:cstheme="majorHAnsi"/>
          <w:sz w:val="24"/>
          <w:szCs w:val="24"/>
          <w:lang w:val="ro-MD"/>
        </w:rPr>
      </w:pPr>
    </w:p>
    <w:p w14:paraId="15575BEE" w14:textId="59683D91" w:rsidR="003E291B" w:rsidRPr="009E5B39" w:rsidRDefault="003E291B" w:rsidP="00AF40F1">
      <w:pPr>
        <w:spacing w:after="0" w:line="276" w:lineRule="auto"/>
        <w:ind w:firstLine="709"/>
        <w:jc w:val="both"/>
        <w:rPr>
          <w:rFonts w:asciiTheme="majorHAnsi" w:hAnsiTheme="majorHAnsi" w:cstheme="majorHAnsi"/>
          <w:sz w:val="24"/>
          <w:szCs w:val="24"/>
          <w:lang w:val="ro-MD"/>
        </w:rPr>
      </w:pPr>
    </w:p>
    <w:p w14:paraId="0F0EC802" w14:textId="15340679" w:rsidR="003E291B" w:rsidRPr="009E5B39" w:rsidRDefault="003E291B" w:rsidP="00AF40F1">
      <w:pPr>
        <w:spacing w:after="0" w:line="276" w:lineRule="auto"/>
        <w:ind w:firstLine="709"/>
        <w:jc w:val="both"/>
        <w:rPr>
          <w:rFonts w:asciiTheme="majorHAnsi" w:hAnsiTheme="majorHAnsi" w:cstheme="majorHAnsi"/>
          <w:sz w:val="24"/>
          <w:szCs w:val="24"/>
          <w:lang w:val="ro-MD"/>
        </w:rPr>
      </w:pPr>
    </w:p>
    <w:p w14:paraId="07E90024" w14:textId="75322E80" w:rsidR="003E291B" w:rsidRPr="009E5B39" w:rsidRDefault="003E291B" w:rsidP="00AF40F1">
      <w:pPr>
        <w:spacing w:after="0" w:line="276" w:lineRule="auto"/>
        <w:ind w:firstLine="709"/>
        <w:jc w:val="both"/>
        <w:rPr>
          <w:rFonts w:asciiTheme="majorHAnsi" w:hAnsiTheme="majorHAnsi" w:cstheme="majorHAnsi"/>
          <w:sz w:val="24"/>
          <w:szCs w:val="24"/>
          <w:lang w:val="ro-MD"/>
        </w:rPr>
      </w:pPr>
    </w:p>
    <w:p w14:paraId="4F57C847" w14:textId="77777777" w:rsidR="00051249" w:rsidRDefault="00051249" w:rsidP="00AF40F1">
      <w:pPr>
        <w:spacing w:after="0" w:line="276" w:lineRule="auto"/>
        <w:ind w:firstLine="709"/>
        <w:jc w:val="both"/>
        <w:rPr>
          <w:rFonts w:asciiTheme="majorHAnsi" w:hAnsiTheme="majorHAnsi" w:cstheme="majorHAnsi"/>
          <w:sz w:val="24"/>
          <w:szCs w:val="24"/>
          <w:lang w:val="ro-MD"/>
        </w:rPr>
        <w:sectPr w:rsidR="00051249" w:rsidSect="00DF1919">
          <w:pgSz w:w="11907" w:h="16840" w:code="9"/>
          <w:pgMar w:top="1134" w:right="851" w:bottom="1134" w:left="1701" w:header="709" w:footer="709" w:gutter="0"/>
          <w:cols w:space="708"/>
          <w:docGrid w:linePitch="360"/>
        </w:sectPr>
      </w:pPr>
    </w:p>
    <w:p w14:paraId="1C362B5A" w14:textId="61F2BBBA" w:rsidR="00C33E62" w:rsidRPr="009E5B39" w:rsidRDefault="00C33E62" w:rsidP="00EF4BC3">
      <w:pPr>
        <w:keepNext/>
        <w:keepLines/>
        <w:spacing w:after="0" w:line="276" w:lineRule="auto"/>
        <w:jc w:val="right"/>
        <w:outlineLvl w:val="0"/>
        <w:rPr>
          <w:rFonts w:asciiTheme="majorHAnsi" w:eastAsiaTheme="majorEastAsia" w:hAnsiTheme="majorHAnsi" w:cstheme="majorHAnsi"/>
          <w:b/>
          <w:bCs/>
          <w:sz w:val="32"/>
          <w:szCs w:val="32"/>
          <w:lang w:val="ro-MD"/>
        </w:rPr>
      </w:pPr>
      <w:bookmarkStart w:id="19" w:name="_Toc116026884"/>
      <w:r w:rsidRPr="009E5B39">
        <w:rPr>
          <w:rFonts w:asciiTheme="majorHAnsi" w:eastAsiaTheme="majorEastAsia" w:hAnsiTheme="majorHAnsi" w:cstheme="majorHAnsi"/>
          <w:b/>
          <w:bCs/>
          <w:sz w:val="32"/>
          <w:szCs w:val="32"/>
          <w:lang w:val="ro-MD"/>
        </w:rPr>
        <w:t>Anexa nr.2</w:t>
      </w:r>
      <w:bookmarkEnd w:id="19"/>
    </w:p>
    <w:p w14:paraId="5337FE58" w14:textId="77777777" w:rsidR="00EA5F7B" w:rsidRPr="009E5B39" w:rsidRDefault="00EA5F7B" w:rsidP="00EA5F7B">
      <w:pPr>
        <w:spacing w:after="0" w:line="240" w:lineRule="auto"/>
        <w:jc w:val="center"/>
        <w:rPr>
          <w:rFonts w:ascii="Calibri Light" w:eastAsia="Calibri" w:hAnsi="Calibri Light" w:cs="Times New Roman"/>
          <w:sz w:val="24"/>
          <w:szCs w:val="24"/>
          <w:lang w:val="ro-MD"/>
        </w:rPr>
      </w:pPr>
      <w:r w:rsidRPr="009E5B39">
        <w:rPr>
          <w:rFonts w:ascii="Calibri Light" w:eastAsia="Times New Roman" w:hAnsi="Calibri Light" w:cs="Times New Roman"/>
          <w:b/>
          <w:bCs/>
          <w:color w:val="212121"/>
          <w:sz w:val="24"/>
          <w:szCs w:val="24"/>
          <w:lang w:val="ro-MD" w:eastAsia="ru-RU"/>
        </w:rPr>
        <w:t>Sursa și criteriile de audit aferente domeniului auditat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2796"/>
        <w:gridCol w:w="4958"/>
        <w:gridCol w:w="1846"/>
      </w:tblGrid>
      <w:tr w:rsidR="00EA5F7B" w:rsidRPr="009E5B39" w14:paraId="2BEE1231" w14:textId="77777777" w:rsidTr="00EA5F7B">
        <w:trPr>
          <w:trHeight w:val="248"/>
          <w:jc w:val="center"/>
        </w:trPr>
        <w:tc>
          <w:tcPr>
            <w:tcW w:w="743" w:type="dxa"/>
            <w:shd w:val="clear" w:color="auto" w:fill="9CC2E5"/>
          </w:tcPr>
          <w:p w14:paraId="26256743" w14:textId="762F8573" w:rsidR="00EA5F7B" w:rsidRPr="009E5B39" w:rsidRDefault="00EA5F7B" w:rsidP="00EA5F7B">
            <w:pPr>
              <w:spacing w:after="0" w:line="240" w:lineRule="auto"/>
              <w:jc w:val="center"/>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Nr.</w:t>
            </w:r>
            <w:r w:rsidR="004D0F0D" w:rsidRPr="009E5B39">
              <w:rPr>
                <w:rFonts w:asciiTheme="majorHAnsi" w:eastAsia="Calibri" w:hAnsiTheme="majorHAnsi" w:cstheme="majorHAnsi"/>
                <w:b/>
                <w:sz w:val="18"/>
                <w:szCs w:val="18"/>
                <w:lang w:val="ro-MD"/>
              </w:rPr>
              <w:t xml:space="preserve"> </w:t>
            </w:r>
            <w:r w:rsidRPr="009E5B39">
              <w:rPr>
                <w:rFonts w:asciiTheme="majorHAnsi" w:eastAsia="Calibri" w:hAnsiTheme="majorHAnsi" w:cstheme="majorHAnsi"/>
                <w:b/>
                <w:sz w:val="18"/>
                <w:szCs w:val="18"/>
                <w:lang w:val="ro-MD"/>
              </w:rPr>
              <w:t>d/o</w:t>
            </w:r>
          </w:p>
        </w:tc>
        <w:tc>
          <w:tcPr>
            <w:tcW w:w="2796" w:type="dxa"/>
            <w:shd w:val="clear" w:color="auto" w:fill="9CC2E5"/>
          </w:tcPr>
          <w:p w14:paraId="03F74165" w14:textId="77777777" w:rsidR="00EA5F7B" w:rsidRPr="009E5B39" w:rsidRDefault="00EA5F7B" w:rsidP="00EA5F7B">
            <w:pPr>
              <w:spacing w:after="0" w:line="240" w:lineRule="auto"/>
              <w:jc w:val="center"/>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Sursa de criteriu</w:t>
            </w:r>
          </w:p>
        </w:tc>
        <w:tc>
          <w:tcPr>
            <w:tcW w:w="4958" w:type="dxa"/>
            <w:shd w:val="clear" w:color="auto" w:fill="9CC2E5"/>
          </w:tcPr>
          <w:p w14:paraId="3F94812E" w14:textId="77777777" w:rsidR="00EA5F7B" w:rsidRPr="009E5B39" w:rsidRDefault="00EA5F7B" w:rsidP="00EA5F7B">
            <w:pPr>
              <w:spacing w:after="0" w:line="240" w:lineRule="auto"/>
              <w:jc w:val="center"/>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Criteriile de audit</w:t>
            </w:r>
          </w:p>
        </w:tc>
        <w:tc>
          <w:tcPr>
            <w:tcW w:w="1846" w:type="dxa"/>
            <w:shd w:val="clear" w:color="auto" w:fill="9CC2E5"/>
          </w:tcPr>
          <w:p w14:paraId="3F2C921C" w14:textId="77777777" w:rsidR="00EA5F7B" w:rsidRPr="009E5B39" w:rsidRDefault="00EA5F7B" w:rsidP="00EA5F7B">
            <w:pPr>
              <w:spacing w:after="0" w:line="240" w:lineRule="auto"/>
              <w:jc w:val="center"/>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Subiectul auditat</w:t>
            </w:r>
          </w:p>
        </w:tc>
      </w:tr>
      <w:tr w:rsidR="00EA5F7B" w:rsidRPr="009E5B39" w14:paraId="4B0E4BBC" w14:textId="77777777" w:rsidTr="003C5073">
        <w:trPr>
          <w:trHeight w:val="10337"/>
          <w:jc w:val="center"/>
        </w:trPr>
        <w:tc>
          <w:tcPr>
            <w:tcW w:w="743" w:type="dxa"/>
            <w:shd w:val="clear" w:color="auto" w:fill="auto"/>
          </w:tcPr>
          <w:p w14:paraId="673CA95B" w14:textId="77777777" w:rsidR="00EA5F7B" w:rsidRPr="009E5B39" w:rsidRDefault="00EA5F7B" w:rsidP="00EA5F7B">
            <w:pPr>
              <w:spacing w:after="0" w:line="240" w:lineRule="auto"/>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1.</w:t>
            </w:r>
          </w:p>
        </w:tc>
        <w:tc>
          <w:tcPr>
            <w:tcW w:w="2796" w:type="dxa"/>
            <w:shd w:val="clear" w:color="auto" w:fill="auto"/>
          </w:tcPr>
          <w:p w14:paraId="1D39F3CF" w14:textId="60579B0B" w:rsidR="00EA5F7B" w:rsidRPr="009E5B39" w:rsidRDefault="00EA5F7B" w:rsidP="00EA5F7B">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4F78F3" w:rsidRPr="009E5B39">
              <w:rPr>
                <w:rFonts w:asciiTheme="majorHAnsi" w:eastAsia="Calibri" w:hAnsiTheme="majorHAnsi" w:cstheme="majorHAnsi"/>
                <w:b/>
                <w:sz w:val="18"/>
                <w:szCs w:val="18"/>
                <w:lang w:val="ro-MD"/>
              </w:rPr>
              <w:t xml:space="preserve">privind finanțele publice locale </w:t>
            </w:r>
            <w:r w:rsidRPr="009E5B39">
              <w:rPr>
                <w:rFonts w:asciiTheme="majorHAnsi" w:eastAsia="Calibri" w:hAnsiTheme="majorHAnsi" w:cstheme="majorHAnsi"/>
                <w:b/>
                <w:sz w:val="18"/>
                <w:szCs w:val="18"/>
                <w:lang w:val="ro-MD"/>
              </w:rPr>
              <w:t xml:space="preserve">nr.397 din 16.10.2003 </w:t>
            </w:r>
          </w:p>
          <w:p w14:paraId="534B0751"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p>
          <w:p w14:paraId="00649455"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p>
          <w:p w14:paraId="2D9B358E"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366256AA"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75A383F5"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1D0A43CB"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2DD78AE7"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40F896AF"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1BB99E74"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3B008AAD"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1ED4F414"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6AA465F3"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3FE80E71"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447EE5DC"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5344F679"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17B059B9"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636ED8E9"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2E844028"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229E0C62"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244DDAE1"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59D2A3F5"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734677EC" w14:textId="0F2A1179"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4F78F3" w:rsidRPr="009E5B39">
              <w:rPr>
                <w:rFonts w:asciiTheme="majorHAnsi" w:eastAsia="Calibri" w:hAnsiTheme="majorHAnsi" w:cstheme="majorHAnsi"/>
                <w:b/>
                <w:sz w:val="18"/>
                <w:szCs w:val="18"/>
                <w:lang w:val="ro-MD"/>
              </w:rPr>
              <w:t xml:space="preserve">finanțelor publice și responsabilității bugetar-fiscale </w:t>
            </w:r>
            <w:r w:rsidRPr="009E5B39">
              <w:rPr>
                <w:rFonts w:asciiTheme="majorHAnsi" w:eastAsia="Calibri" w:hAnsiTheme="majorHAnsi" w:cstheme="majorHAnsi"/>
                <w:b/>
                <w:sz w:val="18"/>
                <w:szCs w:val="18"/>
                <w:lang w:val="ro-MD"/>
              </w:rPr>
              <w:t xml:space="preserve">nr.181 din 25.07.2014 </w:t>
            </w:r>
          </w:p>
          <w:p w14:paraId="78DC16A8"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p>
          <w:p w14:paraId="2E5E33A0" w14:textId="1BE3E611" w:rsidR="00EA5F7B" w:rsidRPr="009E5B39" w:rsidRDefault="00EA5F7B" w:rsidP="00EA5F7B">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Codul fiscal, </w:t>
            </w:r>
            <w:r w:rsidR="0084184C" w:rsidRPr="009E5B39">
              <w:rPr>
                <w:rFonts w:asciiTheme="majorHAnsi" w:eastAsia="Calibri" w:hAnsiTheme="majorHAnsi" w:cstheme="majorHAnsi"/>
                <w:b/>
                <w:sz w:val="18"/>
                <w:szCs w:val="18"/>
                <w:lang w:val="ro-MD"/>
              </w:rPr>
              <w:t xml:space="preserve">adoptat </w:t>
            </w:r>
            <w:r w:rsidRPr="009E5B39">
              <w:rPr>
                <w:rFonts w:asciiTheme="majorHAnsi" w:eastAsia="Calibri" w:hAnsiTheme="majorHAnsi" w:cstheme="majorHAnsi"/>
                <w:b/>
                <w:sz w:val="18"/>
                <w:szCs w:val="18"/>
                <w:lang w:val="ro-MD"/>
              </w:rPr>
              <w:t>prin Legea nr.1163 din 24.04.1997</w:t>
            </w:r>
          </w:p>
          <w:p w14:paraId="6EEF600E"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p>
          <w:p w14:paraId="7044FE9B"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21E87486"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6DCB0807"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20FFDC19"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12AB5FC2"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5385638D"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3F48FC67"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Cs/>
                <w:sz w:val="18"/>
                <w:szCs w:val="18"/>
                <w:lang w:val="ro-MD"/>
              </w:rPr>
            </w:pPr>
          </w:p>
          <w:p w14:paraId="6E07CFA3"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Cs/>
                <w:sz w:val="18"/>
                <w:szCs w:val="18"/>
                <w:lang w:val="ro-MD"/>
              </w:rPr>
            </w:pPr>
          </w:p>
          <w:p w14:paraId="3CB58059"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Cs/>
                <w:sz w:val="18"/>
                <w:szCs w:val="18"/>
                <w:lang w:val="ro-MD"/>
              </w:rPr>
            </w:pPr>
          </w:p>
          <w:p w14:paraId="1A09B1F9"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Cs/>
                <w:sz w:val="18"/>
                <w:szCs w:val="18"/>
                <w:lang w:val="ro-MD"/>
              </w:rPr>
            </w:pPr>
          </w:p>
          <w:p w14:paraId="00FD568E"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Cs/>
                <w:sz w:val="18"/>
                <w:szCs w:val="18"/>
                <w:lang w:val="ro-MD"/>
              </w:rPr>
            </w:pPr>
          </w:p>
          <w:p w14:paraId="11EE48CD"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Cs/>
                <w:sz w:val="18"/>
                <w:szCs w:val="18"/>
                <w:lang w:val="ro-MD"/>
              </w:rPr>
            </w:pPr>
          </w:p>
          <w:p w14:paraId="053D2122" w14:textId="2E580FF0"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Hotăr</w:t>
            </w:r>
            <w:r w:rsidR="004F78F3" w:rsidRPr="009E5B39">
              <w:rPr>
                <w:rFonts w:asciiTheme="majorHAnsi" w:eastAsia="Calibri" w:hAnsiTheme="majorHAnsi" w:cstheme="majorHAnsi"/>
                <w:b/>
                <w:sz w:val="18"/>
                <w:szCs w:val="18"/>
                <w:lang w:val="ro-MD"/>
              </w:rPr>
              <w:t>â</w:t>
            </w:r>
            <w:r w:rsidRPr="009E5B39">
              <w:rPr>
                <w:rFonts w:asciiTheme="majorHAnsi" w:eastAsia="Calibri" w:hAnsiTheme="majorHAnsi" w:cstheme="majorHAnsi"/>
                <w:b/>
                <w:sz w:val="18"/>
                <w:szCs w:val="18"/>
                <w:lang w:val="ro-MD"/>
              </w:rPr>
              <w:t>rea Guvernului nr.998 din 20.08.2003</w:t>
            </w:r>
          </w:p>
          <w:p w14:paraId="324A882A" w14:textId="0EFA5D14"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Cs/>
                <w:sz w:val="18"/>
                <w:szCs w:val="18"/>
                <w:lang w:val="ro-MD"/>
              </w:rPr>
            </w:pPr>
            <w:r w:rsidRPr="009E5B39">
              <w:rPr>
                <w:rFonts w:asciiTheme="majorHAnsi" w:eastAsia="Calibri" w:hAnsiTheme="majorHAnsi" w:cstheme="majorHAnsi"/>
                <w:b/>
                <w:sz w:val="18"/>
                <w:szCs w:val="18"/>
                <w:lang w:val="ro-MD"/>
              </w:rPr>
              <w:t>„Privind activitatea serviciului de colectare a impozitelor și taxelor locale din cadrul primăriei”</w:t>
            </w:r>
          </w:p>
        </w:tc>
        <w:tc>
          <w:tcPr>
            <w:tcW w:w="4958" w:type="dxa"/>
            <w:shd w:val="clear" w:color="auto" w:fill="auto"/>
          </w:tcPr>
          <w:p w14:paraId="70568873" w14:textId="12C155C9" w:rsidR="00EA5F7B" w:rsidRPr="009E5B39" w:rsidRDefault="00EA5F7B" w:rsidP="00EA5F7B">
            <w:pPr>
              <w:spacing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i/>
                <w:sz w:val="18"/>
                <w:szCs w:val="18"/>
                <w:lang w:val="ro-MD"/>
              </w:rPr>
              <w:t xml:space="preserve">Art. 13 </w:t>
            </w:r>
            <w:r w:rsidRPr="009E5B39">
              <w:rPr>
                <w:rFonts w:asciiTheme="majorHAnsi" w:eastAsia="Calibri" w:hAnsiTheme="majorHAnsi" w:cstheme="majorHAnsi"/>
                <w:sz w:val="18"/>
                <w:szCs w:val="18"/>
                <w:lang w:val="ro-MD"/>
              </w:rPr>
              <w:t>prevede că bugetele locale nu pot fi aprobate și executate cu deficit bugetar; cu excepția cazurilor implicării, la finanțarea cheltuielilor, a încasărilor mijloacelor din v</w:t>
            </w:r>
            <w:r w:rsidR="0063186B" w:rsidRPr="009E5B39">
              <w:rPr>
                <w:rFonts w:asciiTheme="majorHAnsi" w:eastAsia="Calibri" w:hAnsiTheme="majorHAnsi" w:cstheme="majorHAnsi"/>
                <w:sz w:val="18"/>
                <w:szCs w:val="18"/>
                <w:lang w:val="ro-MD"/>
              </w:rPr>
              <w:t>â</w:t>
            </w:r>
            <w:r w:rsidRPr="009E5B39">
              <w:rPr>
                <w:rFonts w:asciiTheme="majorHAnsi" w:eastAsia="Calibri" w:hAnsiTheme="majorHAnsi" w:cstheme="majorHAnsi"/>
                <w:sz w:val="18"/>
                <w:szCs w:val="18"/>
                <w:lang w:val="ro-MD"/>
              </w:rPr>
              <w:t>nzarea și privatizarea bunurilor proprietate publică ale unităților administrativ-teritoriale și a soldurilor în conturile bugetelor locale, constituite în urma executării bugetului în anul precedent. Au</w:t>
            </w:r>
            <w:r w:rsidR="0063186B" w:rsidRPr="009E5B39">
              <w:rPr>
                <w:rFonts w:asciiTheme="majorHAnsi" w:eastAsia="Calibri" w:hAnsiTheme="majorHAnsi" w:cstheme="majorHAnsi"/>
                <w:sz w:val="18"/>
                <w:szCs w:val="18"/>
                <w:lang w:val="ro-MD"/>
              </w:rPr>
              <w:t>t</w:t>
            </w:r>
            <w:r w:rsidRPr="009E5B39">
              <w:rPr>
                <w:rFonts w:asciiTheme="majorHAnsi" w:eastAsia="Calibri" w:hAnsiTheme="majorHAnsi" w:cstheme="majorHAnsi"/>
                <w:sz w:val="18"/>
                <w:szCs w:val="18"/>
                <w:lang w:val="ro-MD"/>
              </w:rPr>
              <w:t>oritățile administrației publice locale s</w:t>
            </w:r>
            <w:r w:rsidR="0063186B" w:rsidRPr="009E5B39">
              <w:rPr>
                <w:rFonts w:asciiTheme="majorHAnsi" w:eastAsia="Calibri" w:hAnsiTheme="majorHAnsi" w:cstheme="majorHAnsi"/>
                <w:sz w:val="18"/>
                <w:szCs w:val="18"/>
                <w:lang w:val="ro-MD"/>
              </w:rPr>
              <w:t>u</w:t>
            </w:r>
            <w:r w:rsidRPr="009E5B39">
              <w:rPr>
                <w:rFonts w:asciiTheme="majorHAnsi" w:eastAsia="Calibri" w:hAnsiTheme="majorHAnsi" w:cstheme="majorHAnsi"/>
                <w:sz w:val="18"/>
                <w:szCs w:val="18"/>
                <w:lang w:val="ro-MD"/>
              </w:rPr>
              <w:t xml:space="preserve">nt obligate să întreprindă toate măsurile necesare pentru menținerea echilibrului bugetar. În cazul în care nu se încasează venituri în mărimea sumei aprobate, autoritatea reprezentativă și deliberativă este obligată să reducă cheltuielile ce includ obligațiile și plățile stabilite prin modificarea bugetului local.  </w:t>
            </w:r>
          </w:p>
          <w:p w14:paraId="42BD91C6" w14:textId="77777777" w:rsidR="00EA5F7B" w:rsidRPr="009E5B39" w:rsidRDefault="00EA5F7B" w:rsidP="00EA5F7B">
            <w:pPr>
              <w:spacing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i/>
                <w:sz w:val="18"/>
                <w:szCs w:val="18"/>
                <w:lang w:val="ro-MD"/>
              </w:rPr>
              <w:t xml:space="preserve">Art. 20 alin.(2) </w:t>
            </w:r>
            <w:r w:rsidRPr="009E5B39">
              <w:rPr>
                <w:rFonts w:asciiTheme="majorHAnsi" w:eastAsia="Calibri" w:hAnsiTheme="majorHAnsi" w:cstheme="majorHAnsi"/>
                <w:sz w:val="18"/>
                <w:szCs w:val="18"/>
                <w:lang w:val="ro-MD"/>
              </w:rPr>
              <w:t>stabilește că p</w:t>
            </w:r>
            <w:r w:rsidRPr="009E5B39">
              <w:rPr>
                <w:rFonts w:asciiTheme="majorHAnsi" w:eastAsia="Calibri" w:hAnsiTheme="majorHAnsi" w:cstheme="majorHAnsi"/>
                <w:color w:val="333333"/>
                <w:sz w:val="18"/>
                <w:szCs w:val="18"/>
                <w:shd w:val="clear" w:color="auto" w:fill="FFFFFF"/>
                <w:lang w:val="ro-MD"/>
              </w:rPr>
              <w:t>roiectul bugetului local cuprinde indicatorii realizați în ultimii doi ani bugetari, rezultatele estimate pentru anul bugetar curent, propunerile de buget pentru anul viitor și estimările pentru doi ani ulteriori.</w:t>
            </w:r>
          </w:p>
          <w:p w14:paraId="7D8E2547" w14:textId="77777777" w:rsidR="00EA5F7B" w:rsidRPr="009E5B39" w:rsidRDefault="00EA5F7B" w:rsidP="00EA5F7B">
            <w:pPr>
              <w:spacing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i/>
                <w:sz w:val="18"/>
                <w:szCs w:val="18"/>
                <w:lang w:val="ro-MD"/>
              </w:rPr>
              <w:t xml:space="preserve">Art. 33 lit.d) </w:t>
            </w:r>
            <w:r w:rsidRPr="009E5B39">
              <w:rPr>
                <w:rFonts w:asciiTheme="majorHAnsi" w:eastAsia="Calibri" w:hAnsiTheme="majorHAnsi" w:cstheme="majorHAnsi"/>
                <w:sz w:val="18"/>
                <w:szCs w:val="18"/>
                <w:lang w:val="ro-MD"/>
              </w:rPr>
              <w:t>stipulează că î</w:t>
            </w:r>
            <w:r w:rsidRPr="009E5B39">
              <w:rPr>
                <w:rFonts w:asciiTheme="majorHAnsi" w:eastAsia="Calibri" w:hAnsiTheme="majorHAnsi" w:cstheme="majorHAnsi"/>
                <w:color w:val="333333"/>
                <w:sz w:val="18"/>
                <w:szCs w:val="18"/>
                <w:shd w:val="clear" w:color="auto" w:fill="FFFFFF"/>
                <w:lang w:val="ro-MD"/>
              </w:rPr>
              <w:t>n domeniul finanțelor publice locale, autoritățile executive exercită funcția de administrator al bugetului local și au competența și responsabilitatea de a asigura corectitudinea și veridicitatea datelor, ale indicilor și ale altor informații în baza cărora a fost elaborat bugetul respectiv.</w:t>
            </w:r>
          </w:p>
          <w:p w14:paraId="245A7CB1" w14:textId="77777777" w:rsidR="00EA5F7B" w:rsidRPr="009E5B39" w:rsidRDefault="00EA5F7B" w:rsidP="003C5073">
            <w:pPr>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i/>
                <w:sz w:val="18"/>
                <w:szCs w:val="18"/>
                <w:lang w:val="ro-MD"/>
              </w:rPr>
              <w:t>Art.31 alin. (4)</w:t>
            </w:r>
            <w:r w:rsidRPr="009E5B39">
              <w:rPr>
                <w:rFonts w:asciiTheme="majorHAnsi" w:eastAsia="Calibri" w:hAnsiTheme="majorHAnsi" w:cstheme="majorHAnsi"/>
                <w:sz w:val="18"/>
                <w:szCs w:val="18"/>
                <w:lang w:val="ro-MD"/>
              </w:rPr>
              <w:t xml:space="preserve"> prevede că bugetele locale se administrează de către autoritățile executive locale.</w:t>
            </w:r>
          </w:p>
          <w:p w14:paraId="3E6E69E4"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sz w:val="18"/>
                <w:szCs w:val="18"/>
                <w:lang w:val="ro-MD"/>
              </w:rPr>
            </w:pPr>
          </w:p>
          <w:p w14:paraId="418C1238" w14:textId="74E19C63"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shd w:val="clear" w:color="auto" w:fill="FFFFFF"/>
                <w:lang w:val="ro-MD"/>
              </w:rPr>
            </w:pPr>
            <w:r w:rsidRPr="009E5B39">
              <w:rPr>
                <w:rFonts w:asciiTheme="majorHAnsi" w:eastAsia="Calibri" w:hAnsiTheme="majorHAnsi" w:cstheme="majorHAnsi"/>
                <w:b/>
                <w:i/>
                <w:sz w:val="18"/>
                <w:szCs w:val="18"/>
                <w:lang w:val="ro-MD"/>
              </w:rPr>
              <w:t>Art.278 alin.(1)</w:t>
            </w:r>
            <w:r w:rsidRPr="009E5B39">
              <w:rPr>
                <w:rFonts w:asciiTheme="majorHAnsi" w:eastAsia="Calibri" w:hAnsiTheme="majorHAnsi" w:cstheme="majorHAnsi"/>
                <w:sz w:val="18"/>
                <w:szCs w:val="18"/>
                <w:lang w:val="ro-MD"/>
              </w:rPr>
              <w:t xml:space="preserve"> stabilește că o</w:t>
            </w:r>
            <w:r w:rsidRPr="009E5B39">
              <w:rPr>
                <w:rFonts w:asciiTheme="majorHAnsi" w:eastAsia="Calibri" w:hAnsiTheme="majorHAnsi" w:cstheme="majorHAnsi"/>
                <w:color w:val="333333"/>
                <w:sz w:val="18"/>
                <w:szCs w:val="18"/>
                <w:shd w:val="clear" w:color="auto" w:fill="FFFFFF"/>
                <w:lang w:val="ro-MD"/>
              </w:rPr>
              <w:t xml:space="preserve">biecte ale impunerii cu impozit imobiliar </w:t>
            </w:r>
            <w:r w:rsidR="00DF18D8" w:rsidRPr="009E5B39">
              <w:rPr>
                <w:rFonts w:asciiTheme="majorHAnsi" w:eastAsia="Calibri" w:hAnsiTheme="majorHAnsi" w:cstheme="majorHAnsi"/>
                <w:color w:val="333333"/>
                <w:sz w:val="18"/>
                <w:szCs w:val="18"/>
                <w:shd w:val="clear" w:color="auto" w:fill="FFFFFF"/>
                <w:lang w:val="ro-MD"/>
              </w:rPr>
              <w:t>sunt</w:t>
            </w:r>
            <w:r w:rsidRPr="009E5B39">
              <w:rPr>
                <w:rFonts w:asciiTheme="majorHAnsi" w:eastAsia="Calibri" w:hAnsiTheme="majorHAnsi" w:cstheme="majorHAnsi"/>
                <w:color w:val="333333"/>
                <w:sz w:val="18"/>
                <w:szCs w:val="18"/>
                <w:shd w:val="clear" w:color="auto" w:fill="FFFFFF"/>
                <w:lang w:val="ro-MD"/>
              </w:rPr>
              <w:t xml:space="preserve">  bunurile imobiliare, inclusiv terenurile din intravilan sau din extravilan, clădirile, </w:t>
            </w:r>
            <w:r w:rsidR="00DF18D8" w:rsidRPr="009E5B39">
              <w:rPr>
                <w:rFonts w:asciiTheme="majorHAnsi" w:eastAsia="Calibri" w:hAnsiTheme="majorHAnsi" w:cstheme="majorHAnsi"/>
                <w:color w:val="333333"/>
                <w:sz w:val="18"/>
                <w:szCs w:val="18"/>
                <w:shd w:val="clear" w:color="auto" w:fill="FFFFFF"/>
                <w:lang w:val="ro-MD"/>
              </w:rPr>
              <w:t>construcțiile</w:t>
            </w:r>
            <w:r w:rsidRPr="009E5B39">
              <w:rPr>
                <w:rFonts w:asciiTheme="majorHAnsi" w:eastAsia="Calibri" w:hAnsiTheme="majorHAnsi" w:cstheme="majorHAnsi"/>
                <w:color w:val="333333"/>
                <w:sz w:val="18"/>
                <w:szCs w:val="18"/>
                <w:shd w:val="clear" w:color="auto" w:fill="FFFFFF"/>
                <w:lang w:val="ro-MD"/>
              </w:rPr>
              <w:t xml:space="preserve">, casele de locuit individuale, apartamentele </w:t>
            </w:r>
            <w:r w:rsidR="00DF18D8" w:rsidRPr="009E5B39">
              <w:rPr>
                <w:rFonts w:asciiTheme="majorHAnsi" w:eastAsia="Calibri" w:hAnsiTheme="majorHAnsi" w:cstheme="majorHAnsi"/>
                <w:color w:val="333333"/>
                <w:sz w:val="18"/>
                <w:szCs w:val="18"/>
                <w:shd w:val="clear" w:color="auto" w:fill="FFFFFF"/>
                <w:lang w:val="ro-MD"/>
              </w:rPr>
              <w:t>și</w:t>
            </w:r>
            <w:r w:rsidRPr="009E5B39">
              <w:rPr>
                <w:rFonts w:asciiTheme="majorHAnsi" w:eastAsia="Calibri" w:hAnsiTheme="majorHAnsi" w:cstheme="majorHAnsi"/>
                <w:color w:val="333333"/>
                <w:sz w:val="18"/>
                <w:szCs w:val="18"/>
                <w:shd w:val="clear" w:color="auto" w:fill="FFFFFF"/>
                <w:lang w:val="ro-MD"/>
              </w:rPr>
              <w:t xml:space="preserve"> alte încăperi izolate, inclusiv bunurile imobiliare aflate la o etapă de finisare a </w:t>
            </w:r>
            <w:r w:rsidR="00DF18D8" w:rsidRPr="009E5B39">
              <w:rPr>
                <w:rFonts w:asciiTheme="majorHAnsi" w:eastAsia="Calibri" w:hAnsiTheme="majorHAnsi" w:cstheme="majorHAnsi"/>
                <w:color w:val="333333"/>
                <w:sz w:val="18"/>
                <w:szCs w:val="18"/>
                <w:shd w:val="clear" w:color="auto" w:fill="FFFFFF"/>
                <w:lang w:val="ro-MD"/>
              </w:rPr>
              <w:t>construcției</w:t>
            </w:r>
            <w:r w:rsidRPr="009E5B39">
              <w:rPr>
                <w:rFonts w:asciiTheme="majorHAnsi" w:eastAsia="Calibri" w:hAnsiTheme="majorHAnsi" w:cstheme="majorHAnsi"/>
                <w:color w:val="333333"/>
                <w:sz w:val="18"/>
                <w:szCs w:val="18"/>
                <w:shd w:val="clear" w:color="auto" w:fill="FFFFFF"/>
                <w:lang w:val="ro-MD"/>
              </w:rPr>
              <w:t xml:space="preserve"> de 50% </w:t>
            </w:r>
            <w:r w:rsidR="00DF18D8" w:rsidRPr="009E5B39">
              <w:rPr>
                <w:rFonts w:asciiTheme="majorHAnsi" w:eastAsia="Calibri" w:hAnsiTheme="majorHAnsi" w:cstheme="majorHAnsi"/>
                <w:color w:val="333333"/>
                <w:sz w:val="18"/>
                <w:szCs w:val="18"/>
                <w:shd w:val="clear" w:color="auto" w:fill="FFFFFF"/>
                <w:lang w:val="ro-MD"/>
              </w:rPr>
              <w:t>și</w:t>
            </w:r>
            <w:r w:rsidRPr="009E5B39">
              <w:rPr>
                <w:rFonts w:asciiTheme="majorHAnsi" w:eastAsia="Calibri" w:hAnsiTheme="majorHAnsi" w:cstheme="majorHAnsi"/>
                <w:color w:val="333333"/>
                <w:sz w:val="18"/>
                <w:szCs w:val="18"/>
                <w:shd w:val="clear" w:color="auto" w:fill="FFFFFF"/>
                <w:lang w:val="ro-MD"/>
              </w:rPr>
              <w:t xml:space="preserve"> mai mult, rămase nefinisate timp de 3 ani după începutul lucrărilor de </w:t>
            </w:r>
            <w:r w:rsidR="00DF18D8" w:rsidRPr="009E5B39">
              <w:rPr>
                <w:rFonts w:asciiTheme="majorHAnsi" w:eastAsia="Calibri" w:hAnsiTheme="majorHAnsi" w:cstheme="majorHAnsi"/>
                <w:color w:val="333333"/>
                <w:sz w:val="18"/>
                <w:szCs w:val="18"/>
                <w:shd w:val="clear" w:color="auto" w:fill="FFFFFF"/>
                <w:lang w:val="ro-MD"/>
              </w:rPr>
              <w:t>construcție</w:t>
            </w:r>
            <w:r w:rsidRPr="009E5B39">
              <w:rPr>
                <w:rFonts w:asciiTheme="majorHAnsi" w:eastAsia="Calibri" w:hAnsiTheme="majorHAnsi" w:cstheme="majorHAnsi"/>
                <w:color w:val="333333"/>
                <w:sz w:val="18"/>
                <w:szCs w:val="18"/>
                <w:shd w:val="clear" w:color="auto" w:fill="FFFFFF"/>
                <w:lang w:val="ro-MD"/>
              </w:rPr>
              <w:t xml:space="preserve">. Gradul de finalizare a </w:t>
            </w:r>
            <w:r w:rsidR="00DF18D8" w:rsidRPr="009E5B39">
              <w:rPr>
                <w:rFonts w:asciiTheme="majorHAnsi" w:eastAsia="Calibri" w:hAnsiTheme="majorHAnsi" w:cstheme="majorHAnsi"/>
                <w:color w:val="333333"/>
                <w:sz w:val="18"/>
                <w:szCs w:val="18"/>
                <w:shd w:val="clear" w:color="auto" w:fill="FFFFFF"/>
                <w:lang w:val="ro-MD"/>
              </w:rPr>
              <w:t>construcției</w:t>
            </w:r>
            <w:r w:rsidRPr="009E5B39">
              <w:rPr>
                <w:rFonts w:asciiTheme="majorHAnsi" w:eastAsia="Calibri" w:hAnsiTheme="majorHAnsi" w:cstheme="majorHAnsi"/>
                <w:color w:val="333333"/>
                <w:sz w:val="18"/>
                <w:szCs w:val="18"/>
                <w:shd w:val="clear" w:color="auto" w:fill="FFFFFF"/>
                <w:lang w:val="ro-MD"/>
              </w:rPr>
              <w:t xml:space="preserve"> în scopul impozitării se determină de către </w:t>
            </w:r>
            <w:r w:rsidR="00DF18D8" w:rsidRPr="009E5B39">
              <w:rPr>
                <w:rFonts w:asciiTheme="majorHAnsi" w:eastAsia="Calibri" w:hAnsiTheme="majorHAnsi" w:cstheme="majorHAnsi"/>
                <w:color w:val="333333"/>
                <w:sz w:val="18"/>
                <w:szCs w:val="18"/>
                <w:shd w:val="clear" w:color="auto" w:fill="FFFFFF"/>
                <w:lang w:val="ro-MD"/>
              </w:rPr>
              <w:t>experții</w:t>
            </w:r>
            <w:r w:rsidRPr="009E5B39">
              <w:rPr>
                <w:rFonts w:asciiTheme="majorHAnsi" w:eastAsia="Calibri" w:hAnsiTheme="majorHAnsi" w:cstheme="majorHAnsi"/>
                <w:color w:val="333333"/>
                <w:sz w:val="18"/>
                <w:szCs w:val="18"/>
                <w:shd w:val="clear" w:color="auto" w:fill="FFFFFF"/>
                <w:lang w:val="ro-MD"/>
              </w:rPr>
              <w:t xml:space="preserve"> tehnici în </w:t>
            </w:r>
            <w:r w:rsidR="00DF18D8" w:rsidRPr="009E5B39">
              <w:rPr>
                <w:rFonts w:asciiTheme="majorHAnsi" w:eastAsia="Calibri" w:hAnsiTheme="majorHAnsi" w:cstheme="majorHAnsi"/>
                <w:color w:val="333333"/>
                <w:sz w:val="18"/>
                <w:szCs w:val="18"/>
                <w:shd w:val="clear" w:color="auto" w:fill="FFFFFF"/>
                <w:lang w:val="ro-MD"/>
              </w:rPr>
              <w:t>construcții</w:t>
            </w:r>
            <w:r w:rsidRPr="009E5B39">
              <w:rPr>
                <w:rFonts w:asciiTheme="majorHAnsi" w:eastAsia="Calibri" w:hAnsiTheme="majorHAnsi" w:cstheme="majorHAnsi"/>
                <w:color w:val="333333"/>
                <w:sz w:val="18"/>
                <w:szCs w:val="18"/>
                <w:shd w:val="clear" w:color="auto" w:fill="FFFFFF"/>
                <w:lang w:val="ro-MD"/>
              </w:rPr>
              <w:t xml:space="preserve"> sau de către </w:t>
            </w:r>
            <w:r w:rsidR="00DF18D8" w:rsidRPr="009E5B39">
              <w:rPr>
                <w:rFonts w:asciiTheme="majorHAnsi" w:eastAsia="Calibri" w:hAnsiTheme="majorHAnsi" w:cstheme="majorHAnsi"/>
                <w:color w:val="333333"/>
                <w:sz w:val="18"/>
                <w:szCs w:val="18"/>
                <w:shd w:val="clear" w:color="auto" w:fill="FFFFFF"/>
                <w:lang w:val="ro-MD"/>
              </w:rPr>
              <w:t>agenții</w:t>
            </w:r>
            <w:r w:rsidRPr="009E5B39">
              <w:rPr>
                <w:rFonts w:asciiTheme="majorHAnsi" w:eastAsia="Calibri" w:hAnsiTheme="majorHAnsi" w:cstheme="majorHAnsi"/>
                <w:color w:val="333333"/>
                <w:sz w:val="18"/>
                <w:szCs w:val="18"/>
                <w:shd w:val="clear" w:color="auto" w:fill="FFFFFF"/>
                <w:lang w:val="ro-MD"/>
              </w:rPr>
              <w:t xml:space="preserve"> economici cu </w:t>
            </w:r>
            <w:r w:rsidR="00DF18D8" w:rsidRPr="009E5B39">
              <w:rPr>
                <w:rFonts w:asciiTheme="majorHAnsi" w:eastAsia="Calibri" w:hAnsiTheme="majorHAnsi" w:cstheme="majorHAnsi"/>
                <w:color w:val="333333"/>
                <w:sz w:val="18"/>
                <w:szCs w:val="18"/>
                <w:shd w:val="clear" w:color="auto" w:fill="FFFFFF"/>
                <w:lang w:val="ro-MD"/>
              </w:rPr>
              <w:t>activități</w:t>
            </w:r>
            <w:r w:rsidRPr="009E5B39">
              <w:rPr>
                <w:rFonts w:asciiTheme="majorHAnsi" w:eastAsia="Calibri" w:hAnsiTheme="majorHAnsi" w:cstheme="majorHAnsi"/>
                <w:color w:val="333333"/>
                <w:sz w:val="18"/>
                <w:szCs w:val="18"/>
                <w:shd w:val="clear" w:color="auto" w:fill="FFFFFF"/>
                <w:lang w:val="ro-MD"/>
              </w:rPr>
              <w:t xml:space="preserve"> în domeniul expertizei tehnice, sau de către autoritatea </w:t>
            </w:r>
            <w:r w:rsidR="00DF18D8" w:rsidRPr="009E5B39">
              <w:rPr>
                <w:rFonts w:asciiTheme="majorHAnsi" w:eastAsia="Calibri" w:hAnsiTheme="majorHAnsi" w:cstheme="majorHAnsi"/>
                <w:color w:val="333333"/>
                <w:sz w:val="18"/>
                <w:szCs w:val="18"/>
                <w:shd w:val="clear" w:color="auto" w:fill="FFFFFF"/>
                <w:lang w:val="ro-MD"/>
              </w:rPr>
              <w:t>administrației</w:t>
            </w:r>
            <w:r w:rsidRPr="009E5B39">
              <w:rPr>
                <w:rFonts w:asciiTheme="majorHAnsi" w:eastAsia="Calibri" w:hAnsiTheme="majorHAnsi" w:cstheme="majorHAnsi"/>
                <w:color w:val="333333"/>
                <w:sz w:val="18"/>
                <w:szCs w:val="18"/>
                <w:shd w:val="clear" w:color="auto" w:fill="FFFFFF"/>
                <w:lang w:val="ro-MD"/>
              </w:rPr>
              <w:t xml:space="preserve"> publice locale, în baza metodei stabilite de organul central de specialitate al </w:t>
            </w:r>
            <w:r w:rsidR="00DF18D8" w:rsidRPr="009E5B39">
              <w:rPr>
                <w:rFonts w:asciiTheme="majorHAnsi" w:eastAsia="Calibri" w:hAnsiTheme="majorHAnsi" w:cstheme="majorHAnsi"/>
                <w:color w:val="333333"/>
                <w:sz w:val="18"/>
                <w:szCs w:val="18"/>
                <w:shd w:val="clear" w:color="auto" w:fill="FFFFFF"/>
                <w:lang w:val="ro-MD"/>
              </w:rPr>
              <w:t>administrației</w:t>
            </w:r>
            <w:r w:rsidRPr="009E5B39">
              <w:rPr>
                <w:rFonts w:asciiTheme="majorHAnsi" w:eastAsia="Calibri" w:hAnsiTheme="majorHAnsi" w:cstheme="majorHAnsi"/>
                <w:color w:val="333333"/>
                <w:sz w:val="18"/>
                <w:szCs w:val="18"/>
                <w:shd w:val="clear" w:color="auto" w:fill="FFFFFF"/>
                <w:lang w:val="ro-MD"/>
              </w:rPr>
              <w:t xml:space="preserve"> publice în domeniul </w:t>
            </w:r>
            <w:r w:rsidR="00DF18D8" w:rsidRPr="009E5B39">
              <w:rPr>
                <w:rFonts w:asciiTheme="majorHAnsi" w:eastAsia="Calibri" w:hAnsiTheme="majorHAnsi" w:cstheme="majorHAnsi"/>
                <w:color w:val="333333"/>
                <w:sz w:val="18"/>
                <w:szCs w:val="18"/>
                <w:shd w:val="clear" w:color="auto" w:fill="FFFFFF"/>
                <w:lang w:val="ro-MD"/>
              </w:rPr>
              <w:t>construcțiilor</w:t>
            </w:r>
            <w:r w:rsidRPr="009E5B39">
              <w:rPr>
                <w:rFonts w:asciiTheme="majorHAnsi" w:eastAsia="Calibri" w:hAnsiTheme="majorHAnsi" w:cstheme="majorHAnsi"/>
                <w:color w:val="333333"/>
                <w:sz w:val="18"/>
                <w:szCs w:val="18"/>
                <w:shd w:val="clear" w:color="auto" w:fill="FFFFFF"/>
                <w:lang w:val="ro-MD"/>
              </w:rPr>
              <w:t>.</w:t>
            </w:r>
          </w:p>
          <w:p w14:paraId="35A3D705"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shd w:val="clear" w:color="auto" w:fill="FFFFFF"/>
                <w:lang w:val="ro-MD"/>
              </w:rPr>
            </w:pPr>
          </w:p>
          <w:p w14:paraId="697CAB23" w14:textId="102E32EE"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shd w:val="clear" w:color="auto" w:fill="FFFFFF"/>
                <w:lang w:val="ro-MD"/>
              </w:rPr>
            </w:pPr>
            <w:r w:rsidRPr="009E5B39">
              <w:rPr>
                <w:rFonts w:asciiTheme="majorHAnsi" w:eastAsia="Calibri" w:hAnsiTheme="majorHAnsi" w:cstheme="majorHAnsi"/>
                <w:b/>
                <w:i/>
                <w:color w:val="333333"/>
                <w:sz w:val="18"/>
                <w:szCs w:val="18"/>
                <w:shd w:val="clear" w:color="auto" w:fill="FFFFFF"/>
                <w:lang w:val="ro-MD"/>
              </w:rPr>
              <w:t>Art.298 alin.(3)</w:t>
            </w:r>
            <w:r w:rsidRPr="009E5B39">
              <w:rPr>
                <w:rFonts w:asciiTheme="majorHAnsi" w:eastAsia="Calibri" w:hAnsiTheme="majorHAnsi" w:cstheme="majorHAnsi"/>
                <w:color w:val="333333"/>
                <w:sz w:val="18"/>
                <w:szCs w:val="18"/>
                <w:shd w:val="clear" w:color="auto" w:fill="FFFFFF"/>
                <w:lang w:val="ro-MD"/>
              </w:rPr>
              <w:t xml:space="preserve"> prevede că Serviciul Fiscal de Stat exercită controlul asupra modului în care </w:t>
            </w:r>
            <w:r w:rsidR="00DF18D8" w:rsidRPr="009E5B39">
              <w:rPr>
                <w:rFonts w:asciiTheme="majorHAnsi" w:eastAsia="Calibri" w:hAnsiTheme="majorHAnsi" w:cstheme="majorHAnsi"/>
                <w:color w:val="333333"/>
                <w:sz w:val="18"/>
                <w:szCs w:val="18"/>
                <w:shd w:val="clear" w:color="auto" w:fill="FFFFFF"/>
                <w:lang w:val="ro-MD"/>
              </w:rPr>
              <w:t>autoritățile</w:t>
            </w:r>
            <w:r w:rsidRPr="009E5B39">
              <w:rPr>
                <w:rFonts w:asciiTheme="majorHAnsi" w:eastAsia="Calibri" w:hAnsiTheme="majorHAnsi" w:cstheme="majorHAnsi"/>
                <w:color w:val="333333"/>
                <w:sz w:val="18"/>
                <w:szCs w:val="18"/>
                <w:shd w:val="clear" w:color="auto" w:fill="FFFFFF"/>
                <w:lang w:val="ro-MD"/>
              </w:rPr>
              <w:t xml:space="preserve"> </w:t>
            </w:r>
            <w:r w:rsidR="00DF18D8" w:rsidRPr="009E5B39">
              <w:rPr>
                <w:rFonts w:asciiTheme="majorHAnsi" w:eastAsia="Calibri" w:hAnsiTheme="majorHAnsi" w:cstheme="majorHAnsi"/>
                <w:color w:val="333333"/>
                <w:sz w:val="18"/>
                <w:szCs w:val="18"/>
                <w:shd w:val="clear" w:color="auto" w:fill="FFFFFF"/>
                <w:lang w:val="ro-MD"/>
              </w:rPr>
              <w:t>administrației</w:t>
            </w:r>
            <w:r w:rsidRPr="009E5B39">
              <w:rPr>
                <w:rFonts w:asciiTheme="majorHAnsi" w:eastAsia="Calibri" w:hAnsiTheme="majorHAnsi" w:cstheme="majorHAnsi"/>
                <w:color w:val="333333"/>
                <w:sz w:val="18"/>
                <w:szCs w:val="18"/>
                <w:shd w:val="clear" w:color="auto" w:fill="FFFFFF"/>
                <w:lang w:val="ro-MD"/>
              </w:rPr>
              <w:t xml:space="preserve"> publice locale execută prezentul titlu, cu </w:t>
            </w:r>
            <w:r w:rsidR="00DF18D8" w:rsidRPr="009E5B39">
              <w:rPr>
                <w:rFonts w:asciiTheme="majorHAnsi" w:eastAsia="Calibri" w:hAnsiTheme="majorHAnsi" w:cstheme="majorHAnsi"/>
                <w:color w:val="333333"/>
                <w:sz w:val="18"/>
                <w:szCs w:val="18"/>
                <w:shd w:val="clear" w:color="auto" w:fill="FFFFFF"/>
                <w:lang w:val="ro-MD"/>
              </w:rPr>
              <w:t>excepția</w:t>
            </w:r>
            <w:r w:rsidRPr="009E5B39">
              <w:rPr>
                <w:rFonts w:asciiTheme="majorHAnsi" w:eastAsia="Calibri" w:hAnsiTheme="majorHAnsi" w:cstheme="majorHAnsi"/>
                <w:color w:val="333333"/>
                <w:sz w:val="18"/>
                <w:szCs w:val="18"/>
                <w:shd w:val="clear" w:color="auto" w:fill="FFFFFF"/>
                <w:lang w:val="ro-MD"/>
              </w:rPr>
              <w:t xml:space="preserve"> prevederilor art.297 alin.(8) şi (9).</w:t>
            </w:r>
          </w:p>
          <w:p w14:paraId="6EBE5320"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shd w:val="clear" w:color="auto" w:fill="FFFFFF"/>
                <w:lang w:val="ro-MD"/>
              </w:rPr>
            </w:pPr>
          </w:p>
          <w:p w14:paraId="1687E4AB"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color w:val="333333"/>
                <w:sz w:val="18"/>
                <w:szCs w:val="18"/>
                <w:shd w:val="clear" w:color="auto" w:fill="FFFFFF"/>
                <w:lang w:val="ro-MD"/>
              </w:rPr>
              <w:t>Reglementează activitatea SCITL; care sunt impozitele și taxele administrate de către acesta, etc.</w:t>
            </w:r>
          </w:p>
        </w:tc>
        <w:tc>
          <w:tcPr>
            <w:tcW w:w="1846" w:type="dxa"/>
            <w:shd w:val="clear" w:color="auto" w:fill="auto"/>
          </w:tcPr>
          <w:p w14:paraId="765C3947" w14:textId="35D1845C" w:rsidR="00EA5F7B" w:rsidRPr="009E5B39" w:rsidRDefault="00EA5F7B">
            <w:pPr>
              <w:spacing w:after="0" w:line="240" w:lineRule="auto"/>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1.</w:t>
            </w:r>
            <w:r w:rsidR="00F85920" w:rsidRPr="009E5B39">
              <w:rPr>
                <w:rFonts w:asciiTheme="majorHAnsi" w:eastAsia="Calibri" w:hAnsiTheme="majorHAnsi" w:cstheme="majorHAnsi"/>
                <w:b/>
                <w:sz w:val="18"/>
                <w:szCs w:val="18"/>
                <w:u w:val="single"/>
                <w:lang w:val="ro-MD"/>
              </w:rPr>
              <w:t xml:space="preserve"> </w:t>
            </w:r>
            <w:r w:rsidRPr="009E5B39">
              <w:rPr>
                <w:rFonts w:asciiTheme="majorHAnsi" w:eastAsia="Calibri" w:hAnsiTheme="majorHAnsi" w:cstheme="majorHAnsi"/>
                <w:b/>
                <w:sz w:val="18"/>
                <w:szCs w:val="18"/>
                <w:lang w:val="ro-MD"/>
              </w:rPr>
              <w:t xml:space="preserve">A identificat, a evaluat și a colectat </w:t>
            </w:r>
            <w:r w:rsidRPr="009E5B39">
              <w:rPr>
                <w:rFonts w:asciiTheme="majorHAnsi" w:eastAsia="Calibri" w:hAnsiTheme="majorHAnsi" w:cstheme="majorHAnsi"/>
                <w:b/>
                <w:sz w:val="18"/>
                <w:szCs w:val="18"/>
                <w:shd w:val="clear" w:color="auto" w:fill="FFFFFF"/>
                <w:lang w:val="ro-MD"/>
              </w:rPr>
              <w:t>UAT</w:t>
            </w:r>
            <w:r w:rsidRPr="009E5B39">
              <w:rPr>
                <w:rFonts w:asciiTheme="majorHAnsi" w:eastAsia="Calibri" w:hAnsiTheme="majorHAnsi" w:cstheme="majorHAnsi"/>
                <w:b/>
                <w:sz w:val="18"/>
                <w:szCs w:val="18"/>
                <w:lang w:val="ro-MD"/>
              </w:rPr>
              <w:t xml:space="preserve"> veniturile bugetare în conformitate cu cadrul legal și regulator aferent?</w:t>
            </w:r>
          </w:p>
        </w:tc>
      </w:tr>
      <w:tr w:rsidR="00EA5F7B" w:rsidRPr="009E5B39" w14:paraId="0FE90549" w14:textId="77777777" w:rsidTr="00EA5F7B">
        <w:trPr>
          <w:trHeight w:val="933"/>
          <w:jc w:val="center"/>
        </w:trPr>
        <w:tc>
          <w:tcPr>
            <w:tcW w:w="743" w:type="dxa"/>
            <w:shd w:val="clear" w:color="auto" w:fill="auto"/>
          </w:tcPr>
          <w:p w14:paraId="7E7C3758" w14:textId="77777777" w:rsidR="00EA5F7B" w:rsidRPr="009E5B39" w:rsidRDefault="00EA5F7B" w:rsidP="00EA5F7B">
            <w:pPr>
              <w:spacing w:after="0" w:line="240" w:lineRule="auto"/>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2.</w:t>
            </w:r>
          </w:p>
        </w:tc>
        <w:tc>
          <w:tcPr>
            <w:tcW w:w="2796" w:type="dxa"/>
            <w:shd w:val="clear" w:color="auto" w:fill="auto"/>
          </w:tcPr>
          <w:p w14:paraId="57F27B77" w14:textId="1E04CE2C" w:rsidR="004F78F3" w:rsidRPr="009E5B39" w:rsidRDefault="00EA5F7B" w:rsidP="004F78F3">
            <w:pPr>
              <w:spacing w:after="0" w:line="240" w:lineRule="auto"/>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Legea</w:t>
            </w:r>
            <w:r w:rsidR="004F78F3" w:rsidRPr="009E5B39">
              <w:rPr>
                <w:rFonts w:asciiTheme="majorHAnsi" w:eastAsia="Calibri" w:hAnsiTheme="majorHAnsi" w:cstheme="majorHAnsi"/>
                <w:b/>
                <w:sz w:val="18"/>
                <w:szCs w:val="18"/>
                <w:lang w:val="ro-MD"/>
              </w:rPr>
              <w:t xml:space="preserve"> fondului rutier</w:t>
            </w:r>
          </w:p>
          <w:p w14:paraId="65F2909F" w14:textId="396632C5" w:rsidR="00EA5F7B" w:rsidRPr="009E5B39" w:rsidRDefault="00EA5F7B" w:rsidP="00EA5F7B">
            <w:pPr>
              <w:spacing w:after="0" w:line="240" w:lineRule="auto"/>
              <w:rPr>
                <w:rFonts w:asciiTheme="majorHAnsi" w:eastAsia="Calibri" w:hAnsiTheme="majorHAnsi" w:cstheme="majorHAnsi"/>
                <w:sz w:val="18"/>
                <w:szCs w:val="18"/>
                <w:lang w:val="ro-MD"/>
              </w:rPr>
            </w:pPr>
            <w:r w:rsidRPr="009E5B39">
              <w:rPr>
                <w:rFonts w:asciiTheme="majorHAnsi" w:eastAsia="Calibri" w:hAnsiTheme="majorHAnsi" w:cstheme="majorHAnsi"/>
                <w:b/>
                <w:sz w:val="18"/>
                <w:szCs w:val="18"/>
                <w:lang w:val="ro-MD"/>
              </w:rPr>
              <w:t xml:space="preserve">nr.720-XIII din 02.02.1996  </w:t>
            </w:r>
          </w:p>
          <w:p w14:paraId="25A307CB"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7A6EBD07"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05569DEC"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66F51B42"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6423997A"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44C3C9BE"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261F517F"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1A8635F4"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29D089B0"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403EF9AF"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4AFD72C2"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7828618D"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40335FB3"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0DEB2B13"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11E0319A" w14:textId="41CF8AD3" w:rsidR="00EA5F7B" w:rsidRPr="009E5B39" w:rsidRDefault="00EA5F7B" w:rsidP="00EA5F7B">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63186B" w:rsidRPr="009E5B39">
              <w:rPr>
                <w:rFonts w:asciiTheme="majorHAnsi" w:eastAsia="Calibri" w:hAnsiTheme="majorHAnsi" w:cstheme="majorHAnsi"/>
                <w:b/>
                <w:sz w:val="18"/>
                <w:szCs w:val="18"/>
                <w:lang w:val="ro-MD"/>
              </w:rPr>
              <w:t xml:space="preserve">privind finanțele publice locale </w:t>
            </w:r>
            <w:r w:rsidRPr="009E5B39">
              <w:rPr>
                <w:rFonts w:asciiTheme="majorHAnsi" w:eastAsia="Calibri" w:hAnsiTheme="majorHAnsi" w:cstheme="majorHAnsi"/>
                <w:b/>
                <w:sz w:val="18"/>
                <w:szCs w:val="18"/>
                <w:lang w:val="ro-MD"/>
              </w:rPr>
              <w:t xml:space="preserve">nr.397 din 16.10.2003 </w:t>
            </w:r>
          </w:p>
          <w:p w14:paraId="60DB8F2D" w14:textId="77777777" w:rsidR="00EA5F7B" w:rsidRPr="009E5B39" w:rsidRDefault="00EA5F7B" w:rsidP="00EA5F7B">
            <w:pPr>
              <w:spacing w:after="0" w:line="240" w:lineRule="auto"/>
              <w:rPr>
                <w:rFonts w:asciiTheme="majorHAnsi" w:eastAsia="Times New Roman" w:hAnsiTheme="majorHAnsi" w:cstheme="majorHAnsi"/>
                <w:i/>
                <w:sz w:val="18"/>
                <w:szCs w:val="18"/>
                <w:lang w:val="ro-MD"/>
              </w:rPr>
            </w:pPr>
          </w:p>
          <w:p w14:paraId="62108DF5" w14:textId="77777777" w:rsidR="00EA5F7B" w:rsidRPr="009E5B39" w:rsidRDefault="00EA5F7B" w:rsidP="00EA5F7B">
            <w:pPr>
              <w:spacing w:after="0" w:line="240" w:lineRule="auto"/>
              <w:rPr>
                <w:rFonts w:asciiTheme="majorHAnsi" w:eastAsia="Times New Roman" w:hAnsiTheme="majorHAnsi" w:cstheme="majorHAnsi"/>
                <w:i/>
                <w:sz w:val="18"/>
                <w:szCs w:val="18"/>
                <w:lang w:val="ro-MD"/>
              </w:rPr>
            </w:pPr>
          </w:p>
          <w:p w14:paraId="3022DD53"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44919384"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1FD50B0B"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4B15618A"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0E4BBBFC"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0A7765A7" w14:textId="77777777" w:rsidR="00EA5F7B" w:rsidRPr="009E5B39" w:rsidRDefault="00EA5F7B" w:rsidP="00EA5F7B">
            <w:pPr>
              <w:spacing w:after="0" w:line="240" w:lineRule="auto"/>
              <w:rPr>
                <w:rFonts w:asciiTheme="majorHAnsi" w:eastAsia="Calibri" w:hAnsiTheme="majorHAnsi" w:cstheme="majorHAnsi"/>
                <w:sz w:val="18"/>
                <w:szCs w:val="18"/>
                <w:lang w:val="ro-MD"/>
              </w:rPr>
            </w:pPr>
          </w:p>
        </w:tc>
        <w:tc>
          <w:tcPr>
            <w:tcW w:w="4958" w:type="dxa"/>
            <w:shd w:val="clear" w:color="auto" w:fill="auto"/>
          </w:tcPr>
          <w:p w14:paraId="21836680" w14:textId="6645ED20"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shd w:val="clear" w:color="auto" w:fill="FFFFFF"/>
                <w:lang w:val="ro-MD"/>
              </w:rPr>
            </w:pPr>
            <w:r w:rsidRPr="009E5B39">
              <w:rPr>
                <w:rFonts w:asciiTheme="majorHAnsi" w:eastAsia="Calibri" w:hAnsiTheme="majorHAnsi" w:cstheme="majorHAnsi"/>
                <w:b/>
                <w:i/>
                <w:sz w:val="18"/>
                <w:szCs w:val="18"/>
                <w:lang w:val="ro-MD"/>
              </w:rPr>
              <w:t>Atr.1</w:t>
            </w:r>
            <w:r w:rsidRPr="009E5B39">
              <w:rPr>
                <w:rFonts w:asciiTheme="majorHAnsi" w:eastAsia="Calibri" w:hAnsiTheme="majorHAnsi" w:cstheme="majorHAnsi"/>
                <w:sz w:val="18"/>
                <w:szCs w:val="18"/>
                <w:lang w:val="ro-MD"/>
              </w:rPr>
              <w:t xml:space="preserve"> stabilește că fondul rutier are o destinație specială, și se utilizează pentru finanțarea: </w:t>
            </w:r>
            <w:r w:rsidRPr="009E5B39">
              <w:rPr>
                <w:rFonts w:asciiTheme="majorHAnsi" w:eastAsia="Calibri" w:hAnsiTheme="majorHAnsi" w:cstheme="majorHAnsi"/>
                <w:color w:val="333333"/>
                <w:sz w:val="18"/>
                <w:szCs w:val="18"/>
                <w:shd w:val="clear" w:color="auto" w:fill="FFFFFF"/>
                <w:lang w:val="ro-MD"/>
              </w:rPr>
              <w:t xml:space="preserve">a) </w:t>
            </w:r>
            <w:r w:rsidR="00DF18D8" w:rsidRPr="009E5B39">
              <w:rPr>
                <w:rFonts w:asciiTheme="majorHAnsi" w:eastAsia="Calibri" w:hAnsiTheme="majorHAnsi" w:cstheme="majorHAnsi"/>
                <w:color w:val="333333"/>
                <w:sz w:val="18"/>
                <w:szCs w:val="18"/>
                <w:shd w:val="clear" w:color="auto" w:fill="FFFFFF"/>
                <w:lang w:val="ro-MD"/>
              </w:rPr>
              <w:t>întreținerii</w:t>
            </w:r>
            <w:r w:rsidRPr="009E5B39">
              <w:rPr>
                <w:rFonts w:asciiTheme="majorHAnsi" w:eastAsia="Calibri" w:hAnsiTheme="majorHAnsi" w:cstheme="majorHAnsi"/>
                <w:color w:val="333333"/>
                <w:sz w:val="18"/>
                <w:szCs w:val="18"/>
                <w:shd w:val="clear" w:color="auto" w:fill="FFFFFF"/>
                <w:lang w:val="ro-MD"/>
              </w:rPr>
              <w:t xml:space="preserve">, </w:t>
            </w:r>
            <w:r w:rsidR="00DF18D8" w:rsidRPr="009E5B39">
              <w:rPr>
                <w:rFonts w:asciiTheme="majorHAnsi" w:eastAsia="Calibri" w:hAnsiTheme="majorHAnsi" w:cstheme="majorHAnsi"/>
                <w:color w:val="333333"/>
                <w:sz w:val="18"/>
                <w:szCs w:val="18"/>
                <w:shd w:val="clear" w:color="auto" w:fill="FFFFFF"/>
                <w:lang w:val="ro-MD"/>
              </w:rPr>
              <w:t>reparației</w:t>
            </w:r>
            <w:r w:rsidRPr="009E5B39">
              <w:rPr>
                <w:rFonts w:asciiTheme="majorHAnsi" w:eastAsia="Calibri" w:hAnsiTheme="majorHAnsi" w:cstheme="majorHAnsi"/>
                <w:color w:val="333333"/>
                <w:sz w:val="18"/>
                <w:szCs w:val="18"/>
                <w:shd w:val="clear" w:color="auto" w:fill="FFFFFF"/>
                <w:lang w:val="ro-MD"/>
              </w:rPr>
              <w:t xml:space="preserve"> </w:t>
            </w:r>
            <w:r w:rsidR="00DF18D8" w:rsidRPr="009E5B39">
              <w:rPr>
                <w:rFonts w:asciiTheme="majorHAnsi" w:eastAsia="Calibri" w:hAnsiTheme="majorHAnsi" w:cstheme="majorHAnsi"/>
                <w:color w:val="333333"/>
                <w:sz w:val="18"/>
                <w:szCs w:val="18"/>
                <w:shd w:val="clear" w:color="auto" w:fill="FFFFFF"/>
                <w:lang w:val="ro-MD"/>
              </w:rPr>
              <w:t>și</w:t>
            </w:r>
            <w:r w:rsidRPr="009E5B39">
              <w:rPr>
                <w:rFonts w:asciiTheme="majorHAnsi" w:eastAsia="Calibri" w:hAnsiTheme="majorHAnsi" w:cstheme="majorHAnsi"/>
                <w:color w:val="333333"/>
                <w:sz w:val="18"/>
                <w:szCs w:val="18"/>
                <w:shd w:val="clear" w:color="auto" w:fill="FFFFFF"/>
                <w:lang w:val="ro-MD"/>
              </w:rPr>
              <w:t xml:space="preserve"> </w:t>
            </w:r>
            <w:r w:rsidR="00DF18D8" w:rsidRPr="009E5B39">
              <w:rPr>
                <w:rFonts w:asciiTheme="majorHAnsi" w:eastAsia="Calibri" w:hAnsiTheme="majorHAnsi" w:cstheme="majorHAnsi"/>
                <w:color w:val="333333"/>
                <w:sz w:val="18"/>
                <w:szCs w:val="18"/>
                <w:shd w:val="clear" w:color="auto" w:fill="FFFFFF"/>
                <w:lang w:val="ro-MD"/>
              </w:rPr>
              <w:t>reconstrucției</w:t>
            </w:r>
            <w:r w:rsidRPr="009E5B39">
              <w:rPr>
                <w:rFonts w:asciiTheme="majorHAnsi" w:eastAsia="Calibri" w:hAnsiTheme="majorHAnsi" w:cstheme="majorHAnsi"/>
                <w:color w:val="333333"/>
                <w:sz w:val="18"/>
                <w:szCs w:val="18"/>
                <w:shd w:val="clear" w:color="auto" w:fill="FFFFFF"/>
                <w:lang w:val="ro-MD"/>
              </w:rPr>
              <w:t xml:space="preserve"> drumurilor publice </w:t>
            </w:r>
            <w:r w:rsidR="00DF18D8" w:rsidRPr="009E5B39">
              <w:rPr>
                <w:rFonts w:asciiTheme="majorHAnsi" w:eastAsia="Calibri" w:hAnsiTheme="majorHAnsi" w:cstheme="majorHAnsi"/>
                <w:color w:val="333333"/>
                <w:sz w:val="18"/>
                <w:szCs w:val="18"/>
                <w:shd w:val="clear" w:color="auto" w:fill="FFFFFF"/>
                <w:lang w:val="ro-MD"/>
              </w:rPr>
              <w:t>naționale</w:t>
            </w:r>
            <w:r w:rsidRPr="009E5B39">
              <w:rPr>
                <w:rFonts w:asciiTheme="majorHAnsi" w:eastAsia="Calibri" w:hAnsiTheme="majorHAnsi" w:cstheme="majorHAnsi"/>
                <w:color w:val="333333"/>
                <w:sz w:val="18"/>
                <w:szCs w:val="18"/>
                <w:shd w:val="clear" w:color="auto" w:fill="FFFFFF"/>
                <w:lang w:val="ro-MD"/>
              </w:rPr>
              <w:t xml:space="preserve"> și locale; b) proiectării de drumuri; c) dezvoltării bazei de </w:t>
            </w:r>
            <w:r w:rsidR="00DF18D8" w:rsidRPr="009E5B39">
              <w:rPr>
                <w:rFonts w:asciiTheme="majorHAnsi" w:eastAsia="Calibri" w:hAnsiTheme="majorHAnsi" w:cstheme="majorHAnsi"/>
                <w:color w:val="333333"/>
                <w:sz w:val="18"/>
                <w:szCs w:val="18"/>
                <w:shd w:val="clear" w:color="auto" w:fill="FFFFFF"/>
                <w:lang w:val="ro-MD"/>
              </w:rPr>
              <w:t>producție</w:t>
            </w:r>
            <w:r w:rsidRPr="009E5B39">
              <w:rPr>
                <w:rFonts w:asciiTheme="majorHAnsi" w:eastAsia="Calibri" w:hAnsiTheme="majorHAnsi" w:cstheme="majorHAnsi"/>
                <w:color w:val="333333"/>
                <w:sz w:val="18"/>
                <w:szCs w:val="18"/>
                <w:shd w:val="clear" w:color="auto" w:fill="FFFFFF"/>
                <w:lang w:val="ro-MD"/>
              </w:rPr>
              <w:t xml:space="preserve"> a </w:t>
            </w:r>
            <w:r w:rsidR="00DF18D8" w:rsidRPr="009E5B39">
              <w:rPr>
                <w:rFonts w:asciiTheme="majorHAnsi" w:eastAsia="Calibri" w:hAnsiTheme="majorHAnsi" w:cstheme="majorHAnsi"/>
                <w:color w:val="333333"/>
                <w:sz w:val="18"/>
                <w:szCs w:val="18"/>
                <w:shd w:val="clear" w:color="auto" w:fill="FFFFFF"/>
                <w:lang w:val="ro-MD"/>
              </w:rPr>
              <w:t>unităților</w:t>
            </w:r>
            <w:r w:rsidRPr="009E5B39">
              <w:rPr>
                <w:rFonts w:asciiTheme="majorHAnsi" w:eastAsia="Calibri" w:hAnsiTheme="majorHAnsi" w:cstheme="majorHAnsi"/>
                <w:color w:val="333333"/>
                <w:sz w:val="18"/>
                <w:szCs w:val="18"/>
                <w:shd w:val="clear" w:color="auto" w:fill="FFFFFF"/>
                <w:lang w:val="ro-MD"/>
              </w:rPr>
              <w:t xml:space="preserve"> care efectuează lucrări de </w:t>
            </w:r>
            <w:r w:rsidR="00DF18D8" w:rsidRPr="009E5B39">
              <w:rPr>
                <w:rFonts w:asciiTheme="majorHAnsi" w:eastAsia="Calibri" w:hAnsiTheme="majorHAnsi" w:cstheme="majorHAnsi"/>
                <w:color w:val="333333"/>
                <w:sz w:val="18"/>
                <w:szCs w:val="18"/>
                <w:shd w:val="clear" w:color="auto" w:fill="FFFFFF"/>
                <w:lang w:val="ro-MD"/>
              </w:rPr>
              <w:t>întreținere</w:t>
            </w:r>
            <w:r w:rsidRPr="009E5B39">
              <w:rPr>
                <w:rFonts w:asciiTheme="majorHAnsi" w:eastAsia="Calibri" w:hAnsiTheme="majorHAnsi" w:cstheme="majorHAnsi"/>
                <w:color w:val="333333"/>
                <w:sz w:val="18"/>
                <w:szCs w:val="18"/>
                <w:shd w:val="clear" w:color="auto" w:fill="FFFFFF"/>
                <w:lang w:val="ro-MD"/>
              </w:rPr>
              <w:t xml:space="preserve"> a drumurilor, procurării tehnicii </w:t>
            </w:r>
            <w:r w:rsidR="00DF18D8" w:rsidRPr="009E5B39">
              <w:rPr>
                <w:rFonts w:asciiTheme="majorHAnsi" w:eastAsia="Calibri" w:hAnsiTheme="majorHAnsi" w:cstheme="majorHAnsi"/>
                <w:color w:val="333333"/>
                <w:sz w:val="18"/>
                <w:szCs w:val="18"/>
                <w:shd w:val="clear" w:color="auto" w:fill="FFFFFF"/>
                <w:lang w:val="ro-MD"/>
              </w:rPr>
              <w:t>și</w:t>
            </w:r>
            <w:r w:rsidRPr="009E5B39">
              <w:rPr>
                <w:rFonts w:asciiTheme="majorHAnsi" w:eastAsia="Calibri" w:hAnsiTheme="majorHAnsi" w:cstheme="majorHAnsi"/>
                <w:color w:val="333333"/>
                <w:sz w:val="18"/>
                <w:szCs w:val="18"/>
                <w:shd w:val="clear" w:color="auto" w:fill="FFFFFF"/>
                <w:lang w:val="ro-MD"/>
              </w:rPr>
              <w:t xml:space="preserve"> utilajului pentru acestea; d) producerii de materiale de </w:t>
            </w:r>
            <w:r w:rsidR="00DF18D8" w:rsidRPr="009E5B39">
              <w:rPr>
                <w:rFonts w:asciiTheme="majorHAnsi" w:eastAsia="Calibri" w:hAnsiTheme="majorHAnsi" w:cstheme="majorHAnsi"/>
                <w:color w:val="333333"/>
                <w:sz w:val="18"/>
                <w:szCs w:val="18"/>
                <w:shd w:val="clear" w:color="auto" w:fill="FFFFFF"/>
                <w:lang w:val="ro-MD"/>
              </w:rPr>
              <w:t>construcție</w:t>
            </w:r>
            <w:r w:rsidRPr="009E5B39">
              <w:rPr>
                <w:rFonts w:asciiTheme="majorHAnsi" w:eastAsia="Calibri" w:hAnsiTheme="majorHAnsi" w:cstheme="majorHAnsi"/>
                <w:color w:val="333333"/>
                <w:sz w:val="18"/>
                <w:szCs w:val="18"/>
                <w:shd w:val="clear" w:color="auto" w:fill="FFFFFF"/>
                <w:lang w:val="ro-MD"/>
              </w:rPr>
              <w:t xml:space="preserve"> rutieră; f) lucrărilor de cercetare </w:t>
            </w:r>
            <w:r w:rsidR="00DF18D8" w:rsidRPr="009E5B39">
              <w:rPr>
                <w:rFonts w:asciiTheme="majorHAnsi" w:eastAsia="Calibri" w:hAnsiTheme="majorHAnsi" w:cstheme="majorHAnsi"/>
                <w:color w:val="333333"/>
                <w:sz w:val="18"/>
                <w:szCs w:val="18"/>
                <w:shd w:val="clear" w:color="auto" w:fill="FFFFFF"/>
                <w:lang w:val="ro-MD"/>
              </w:rPr>
              <w:t>științifică</w:t>
            </w:r>
            <w:r w:rsidRPr="009E5B39">
              <w:rPr>
                <w:rFonts w:asciiTheme="majorHAnsi" w:eastAsia="Calibri" w:hAnsiTheme="majorHAnsi" w:cstheme="majorHAnsi"/>
                <w:color w:val="333333"/>
                <w:sz w:val="18"/>
                <w:szCs w:val="18"/>
                <w:shd w:val="clear" w:color="auto" w:fill="FFFFFF"/>
                <w:lang w:val="ro-MD"/>
              </w:rPr>
              <w:t xml:space="preserve">, de proiectare </w:t>
            </w:r>
            <w:r w:rsidR="00DF18D8" w:rsidRPr="009E5B39">
              <w:rPr>
                <w:rFonts w:asciiTheme="majorHAnsi" w:eastAsia="Calibri" w:hAnsiTheme="majorHAnsi" w:cstheme="majorHAnsi"/>
                <w:color w:val="333333"/>
                <w:sz w:val="18"/>
                <w:szCs w:val="18"/>
                <w:shd w:val="clear" w:color="auto" w:fill="FFFFFF"/>
                <w:lang w:val="ro-MD"/>
              </w:rPr>
              <w:t>și</w:t>
            </w:r>
            <w:r w:rsidRPr="009E5B39">
              <w:rPr>
                <w:rFonts w:asciiTheme="majorHAnsi" w:eastAsia="Calibri" w:hAnsiTheme="majorHAnsi" w:cstheme="majorHAnsi"/>
                <w:color w:val="333333"/>
                <w:sz w:val="18"/>
                <w:szCs w:val="18"/>
                <w:shd w:val="clear" w:color="auto" w:fill="FFFFFF"/>
                <w:lang w:val="ro-MD"/>
              </w:rPr>
              <w:t xml:space="preserve"> </w:t>
            </w:r>
            <w:r w:rsidR="00DF18D8" w:rsidRPr="009E5B39">
              <w:rPr>
                <w:rFonts w:asciiTheme="majorHAnsi" w:eastAsia="Calibri" w:hAnsiTheme="majorHAnsi" w:cstheme="majorHAnsi"/>
                <w:color w:val="333333"/>
                <w:sz w:val="18"/>
                <w:szCs w:val="18"/>
                <w:shd w:val="clear" w:color="auto" w:fill="FFFFFF"/>
                <w:lang w:val="ro-MD"/>
              </w:rPr>
              <w:t>construcție</w:t>
            </w:r>
            <w:r w:rsidRPr="009E5B39">
              <w:rPr>
                <w:rFonts w:asciiTheme="majorHAnsi" w:eastAsia="Calibri" w:hAnsiTheme="majorHAnsi" w:cstheme="majorHAnsi"/>
                <w:color w:val="333333"/>
                <w:sz w:val="18"/>
                <w:szCs w:val="18"/>
                <w:shd w:val="clear" w:color="auto" w:fill="FFFFFF"/>
                <w:lang w:val="ro-MD"/>
              </w:rPr>
              <w:t xml:space="preserve"> în domeniu; g) administrării gospodăriei drumurilor.</w:t>
            </w:r>
          </w:p>
          <w:p w14:paraId="49000422"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shd w:val="clear" w:color="auto" w:fill="FFFFFF"/>
                <w:lang w:val="ro-MD"/>
              </w:rPr>
            </w:pPr>
            <w:r w:rsidRPr="009E5B39">
              <w:rPr>
                <w:rFonts w:asciiTheme="majorHAnsi" w:eastAsia="Calibri" w:hAnsiTheme="majorHAnsi" w:cstheme="majorHAnsi"/>
                <w:color w:val="333333"/>
                <w:sz w:val="18"/>
                <w:szCs w:val="18"/>
                <w:shd w:val="clear" w:color="auto" w:fill="FFFFFF"/>
                <w:lang w:val="ro-MD"/>
              </w:rPr>
              <w:t>Mijloacele fondului pentru drumurile publice naționale și locale se distribuie în funcție de numărul de kilometri echivalenți administrați. Modul de distribuire a mijloacelor fondului pe capitole de cheltuieli pentru drumurile publice locale se aprobă anual de autoritățile publice locale de nivelul al doilea.</w:t>
            </w:r>
          </w:p>
          <w:p w14:paraId="20AB58B5"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shd w:val="clear" w:color="auto" w:fill="FFFFFF"/>
                <w:lang w:val="ro-MD"/>
              </w:rPr>
            </w:pPr>
          </w:p>
          <w:p w14:paraId="30E68207" w14:textId="7A2F816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i/>
                <w:color w:val="333333"/>
                <w:sz w:val="18"/>
                <w:szCs w:val="18"/>
                <w:shd w:val="clear" w:color="auto" w:fill="FFFFFF"/>
                <w:lang w:val="ro-MD"/>
              </w:rPr>
              <w:t>Art.12</w:t>
            </w:r>
            <w:r w:rsidRPr="009E5B39">
              <w:rPr>
                <w:rFonts w:asciiTheme="majorHAnsi" w:eastAsia="Calibri" w:hAnsiTheme="majorHAnsi" w:cstheme="majorHAnsi"/>
                <w:color w:val="333333"/>
                <w:sz w:val="18"/>
                <w:szCs w:val="18"/>
                <w:shd w:val="clear" w:color="auto" w:fill="FFFFFF"/>
                <w:lang w:val="ro-MD"/>
              </w:rPr>
              <w:t xml:space="preserve"> stabilește că transferurile cu </w:t>
            </w:r>
            <w:r w:rsidR="00DF18D8" w:rsidRPr="009E5B39">
              <w:rPr>
                <w:rFonts w:asciiTheme="majorHAnsi" w:eastAsia="Calibri" w:hAnsiTheme="majorHAnsi" w:cstheme="majorHAnsi"/>
                <w:color w:val="333333"/>
                <w:sz w:val="18"/>
                <w:szCs w:val="18"/>
                <w:shd w:val="clear" w:color="auto" w:fill="FFFFFF"/>
                <w:lang w:val="ro-MD"/>
              </w:rPr>
              <w:t>destinație</w:t>
            </w:r>
            <w:r w:rsidRPr="009E5B39">
              <w:rPr>
                <w:rFonts w:asciiTheme="majorHAnsi" w:eastAsia="Calibri" w:hAnsiTheme="majorHAnsi" w:cstheme="majorHAnsi"/>
                <w:color w:val="333333"/>
                <w:sz w:val="18"/>
                <w:szCs w:val="18"/>
                <w:shd w:val="clear" w:color="auto" w:fill="FFFFFF"/>
                <w:lang w:val="ro-MD"/>
              </w:rPr>
              <w:t xml:space="preserve"> specială de la bugetul de stat se alocă bugetelor locale pentru </w:t>
            </w:r>
            <w:r w:rsidR="00DF18D8" w:rsidRPr="009E5B39">
              <w:rPr>
                <w:rFonts w:asciiTheme="majorHAnsi" w:eastAsia="Calibri" w:hAnsiTheme="majorHAnsi" w:cstheme="majorHAnsi"/>
                <w:color w:val="333333"/>
                <w:sz w:val="18"/>
                <w:szCs w:val="18"/>
                <w:shd w:val="clear" w:color="auto" w:fill="FFFFFF"/>
                <w:lang w:val="ro-MD"/>
              </w:rPr>
              <w:t>finanțarea</w:t>
            </w:r>
            <w:r w:rsidRPr="009E5B39">
              <w:rPr>
                <w:rFonts w:asciiTheme="majorHAnsi" w:eastAsia="Calibri" w:hAnsiTheme="majorHAnsi" w:cstheme="majorHAnsi"/>
                <w:color w:val="333333"/>
                <w:sz w:val="18"/>
                <w:szCs w:val="18"/>
                <w:shd w:val="clear" w:color="auto" w:fill="FFFFFF"/>
                <w:lang w:val="ro-MD"/>
              </w:rPr>
              <w:t xml:space="preserve"> infrastructurii drumurilor publice locale.  Pentru bugetele locale de nivelul al doilea, transferurile cu destinație specială pentru finanțarea infrastructurii drumurilor publice locale </w:t>
            </w:r>
            <w:r w:rsidR="00DF18D8" w:rsidRPr="009E5B39">
              <w:rPr>
                <w:rFonts w:asciiTheme="majorHAnsi" w:eastAsia="Calibri" w:hAnsiTheme="majorHAnsi" w:cstheme="majorHAnsi"/>
                <w:color w:val="333333"/>
                <w:sz w:val="18"/>
                <w:szCs w:val="18"/>
                <w:shd w:val="clear" w:color="auto" w:fill="FFFFFF"/>
                <w:lang w:val="ro-MD"/>
              </w:rPr>
              <w:t>sunt</w:t>
            </w:r>
            <w:r w:rsidRPr="009E5B39">
              <w:rPr>
                <w:rFonts w:asciiTheme="majorHAnsi" w:eastAsia="Calibri" w:hAnsiTheme="majorHAnsi" w:cstheme="majorHAnsi"/>
                <w:color w:val="333333"/>
                <w:sz w:val="18"/>
                <w:szCs w:val="18"/>
                <w:shd w:val="clear" w:color="auto" w:fill="FFFFFF"/>
                <w:lang w:val="ro-MD"/>
              </w:rPr>
              <w:t xml:space="preserve"> calculate și distribuite în funcție de numărul de kilometri echivalenți administrați, conform legislației privind fondul rutier. Transferurile cu destinație specială stipulate la alin. (1) lit. b) din prezentul articol pentru bugetele locale de nivelul </w:t>
            </w:r>
            <w:r w:rsidR="00DF18D8" w:rsidRPr="009E5B39">
              <w:rPr>
                <w:rFonts w:asciiTheme="majorHAnsi" w:eastAsia="Calibri" w:hAnsiTheme="majorHAnsi" w:cstheme="majorHAnsi"/>
                <w:color w:val="333333"/>
                <w:sz w:val="18"/>
                <w:szCs w:val="18"/>
                <w:shd w:val="clear" w:color="auto" w:fill="FFFFFF"/>
                <w:lang w:val="ro-MD"/>
              </w:rPr>
              <w:t>întâi</w:t>
            </w:r>
            <w:r w:rsidRPr="009E5B39">
              <w:rPr>
                <w:rFonts w:asciiTheme="majorHAnsi" w:eastAsia="Calibri" w:hAnsiTheme="majorHAnsi" w:cstheme="majorHAnsi"/>
                <w:color w:val="333333"/>
                <w:sz w:val="18"/>
                <w:szCs w:val="18"/>
                <w:shd w:val="clear" w:color="auto" w:fill="FFFFFF"/>
                <w:lang w:val="ro-MD"/>
              </w:rPr>
              <w:t xml:space="preserve">, inclusiv pentru bugetele municipale Bălți și Chișinău, </w:t>
            </w:r>
            <w:r w:rsidR="00DF18D8" w:rsidRPr="009E5B39">
              <w:rPr>
                <w:rFonts w:asciiTheme="majorHAnsi" w:eastAsia="Calibri" w:hAnsiTheme="majorHAnsi" w:cstheme="majorHAnsi"/>
                <w:color w:val="333333"/>
                <w:sz w:val="18"/>
                <w:szCs w:val="18"/>
                <w:shd w:val="clear" w:color="auto" w:fill="FFFFFF"/>
                <w:lang w:val="ro-MD"/>
              </w:rPr>
              <w:t>sunt</w:t>
            </w:r>
            <w:r w:rsidRPr="009E5B39">
              <w:rPr>
                <w:rFonts w:asciiTheme="majorHAnsi" w:eastAsia="Calibri" w:hAnsiTheme="majorHAnsi" w:cstheme="majorHAnsi"/>
                <w:color w:val="333333"/>
                <w:sz w:val="18"/>
                <w:szCs w:val="18"/>
                <w:shd w:val="clear" w:color="auto" w:fill="FFFFFF"/>
                <w:lang w:val="ro-MD"/>
              </w:rPr>
              <w:t xml:space="preserve"> calculate și distribuite proporțional numărului populației din teritoriul </w:t>
            </w:r>
            <w:r w:rsidR="00DF18D8" w:rsidRPr="009E5B39">
              <w:rPr>
                <w:rFonts w:asciiTheme="majorHAnsi" w:eastAsia="Calibri" w:hAnsiTheme="majorHAnsi" w:cstheme="majorHAnsi"/>
                <w:color w:val="333333"/>
                <w:sz w:val="18"/>
                <w:szCs w:val="18"/>
                <w:shd w:val="clear" w:color="auto" w:fill="FFFFFF"/>
                <w:lang w:val="ro-MD"/>
              </w:rPr>
              <w:t>unității</w:t>
            </w:r>
            <w:r w:rsidRPr="009E5B39">
              <w:rPr>
                <w:rFonts w:asciiTheme="majorHAnsi" w:eastAsia="Calibri" w:hAnsiTheme="majorHAnsi" w:cstheme="majorHAnsi"/>
                <w:color w:val="333333"/>
                <w:sz w:val="18"/>
                <w:szCs w:val="18"/>
                <w:shd w:val="clear" w:color="auto" w:fill="FFFFFF"/>
                <w:lang w:val="ro-MD"/>
              </w:rPr>
              <w:t xml:space="preserve"> administrativ-teritoriale respective, în baza datelor oficiale existente la momentul calculării acestora, în cuantumul de 50% din volumul total al taxei pentru folosirea drumurilor de către autovehiculele înmatriculate în Republica Moldova, aprobat în legea anuală a bugetului de stat, și se vor utiliza exclusiv pentru infrastructura drumurilor comunale și a străzilor. Iar Transferurile cu </w:t>
            </w:r>
            <w:r w:rsidR="00DF18D8" w:rsidRPr="009E5B39">
              <w:rPr>
                <w:rFonts w:asciiTheme="majorHAnsi" w:eastAsia="Calibri" w:hAnsiTheme="majorHAnsi" w:cstheme="majorHAnsi"/>
                <w:color w:val="333333"/>
                <w:sz w:val="18"/>
                <w:szCs w:val="18"/>
                <w:shd w:val="clear" w:color="auto" w:fill="FFFFFF"/>
                <w:lang w:val="ro-MD"/>
              </w:rPr>
              <w:t>destinație</w:t>
            </w:r>
            <w:r w:rsidRPr="009E5B39">
              <w:rPr>
                <w:rFonts w:asciiTheme="majorHAnsi" w:eastAsia="Calibri" w:hAnsiTheme="majorHAnsi" w:cstheme="majorHAnsi"/>
                <w:color w:val="333333"/>
                <w:sz w:val="18"/>
                <w:szCs w:val="18"/>
                <w:shd w:val="clear" w:color="auto" w:fill="FFFFFF"/>
                <w:lang w:val="ro-MD"/>
              </w:rPr>
              <w:t xml:space="preserve"> specială, stipulate la alin.(1) din prezentul articol, utilizate contrar </w:t>
            </w:r>
            <w:r w:rsidR="00DF18D8" w:rsidRPr="009E5B39">
              <w:rPr>
                <w:rFonts w:asciiTheme="majorHAnsi" w:eastAsia="Calibri" w:hAnsiTheme="majorHAnsi" w:cstheme="majorHAnsi"/>
                <w:color w:val="333333"/>
                <w:sz w:val="18"/>
                <w:szCs w:val="18"/>
                <w:shd w:val="clear" w:color="auto" w:fill="FFFFFF"/>
                <w:lang w:val="ro-MD"/>
              </w:rPr>
              <w:t>destinației</w:t>
            </w:r>
            <w:r w:rsidRPr="009E5B39">
              <w:rPr>
                <w:rFonts w:asciiTheme="majorHAnsi" w:eastAsia="Calibri" w:hAnsiTheme="majorHAnsi" w:cstheme="majorHAnsi"/>
                <w:color w:val="333333"/>
                <w:sz w:val="18"/>
                <w:szCs w:val="18"/>
                <w:shd w:val="clear" w:color="auto" w:fill="FFFFFF"/>
                <w:lang w:val="ro-MD"/>
              </w:rPr>
              <w:t xml:space="preserve"> se virează, </w:t>
            </w:r>
            <w:r w:rsidR="00DF18D8" w:rsidRPr="009E5B39">
              <w:rPr>
                <w:rFonts w:asciiTheme="majorHAnsi" w:eastAsia="Calibri" w:hAnsiTheme="majorHAnsi" w:cstheme="majorHAnsi"/>
                <w:color w:val="333333"/>
                <w:sz w:val="18"/>
                <w:szCs w:val="18"/>
                <w:shd w:val="clear" w:color="auto" w:fill="FFFFFF"/>
                <w:lang w:val="ro-MD"/>
              </w:rPr>
              <w:t>până</w:t>
            </w:r>
            <w:r w:rsidRPr="009E5B39">
              <w:rPr>
                <w:rFonts w:asciiTheme="majorHAnsi" w:eastAsia="Calibri" w:hAnsiTheme="majorHAnsi" w:cstheme="majorHAnsi"/>
                <w:color w:val="333333"/>
                <w:sz w:val="18"/>
                <w:szCs w:val="18"/>
                <w:shd w:val="clear" w:color="auto" w:fill="FFFFFF"/>
                <w:lang w:val="ro-MD"/>
              </w:rPr>
              <w:t xml:space="preserve"> la </w:t>
            </w:r>
            <w:r w:rsidR="00DF18D8" w:rsidRPr="009E5B39">
              <w:rPr>
                <w:rFonts w:asciiTheme="majorHAnsi" w:eastAsia="Calibri" w:hAnsiTheme="majorHAnsi" w:cstheme="majorHAnsi"/>
                <w:color w:val="333333"/>
                <w:sz w:val="18"/>
                <w:szCs w:val="18"/>
                <w:shd w:val="clear" w:color="auto" w:fill="FFFFFF"/>
                <w:lang w:val="ro-MD"/>
              </w:rPr>
              <w:t>sfârșitul</w:t>
            </w:r>
            <w:r w:rsidRPr="009E5B39">
              <w:rPr>
                <w:rFonts w:asciiTheme="majorHAnsi" w:eastAsia="Calibri" w:hAnsiTheme="majorHAnsi" w:cstheme="majorHAnsi"/>
                <w:color w:val="333333"/>
                <w:sz w:val="18"/>
                <w:szCs w:val="18"/>
                <w:shd w:val="clear" w:color="auto" w:fill="FFFFFF"/>
                <w:lang w:val="ro-MD"/>
              </w:rPr>
              <w:t xml:space="preserve"> anului bugetar, în mărimea sumei respective în bugetul de la care au fost primite. În cazul în care suma corespunzătoare nu este virată de bugetul respectiv, Ministerul </w:t>
            </w:r>
            <w:r w:rsidR="00DF18D8" w:rsidRPr="009E5B39">
              <w:rPr>
                <w:rFonts w:asciiTheme="majorHAnsi" w:eastAsia="Calibri" w:hAnsiTheme="majorHAnsi" w:cstheme="majorHAnsi"/>
                <w:color w:val="333333"/>
                <w:sz w:val="18"/>
                <w:szCs w:val="18"/>
                <w:shd w:val="clear" w:color="auto" w:fill="FFFFFF"/>
                <w:lang w:val="ro-MD"/>
              </w:rPr>
              <w:t>Finanțelor</w:t>
            </w:r>
            <w:r w:rsidRPr="009E5B39">
              <w:rPr>
                <w:rFonts w:asciiTheme="majorHAnsi" w:eastAsia="Calibri" w:hAnsiTheme="majorHAnsi" w:cstheme="majorHAnsi"/>
                <w:color w:val="333333"/>
                <w:sz w:val="18"/>
                <w:szCs w:val="18"/>
                <w:shd w:val="clear" w:color="auto" w:fill="FFFFFF"/>
                <w:lang w:val="ro-MD"/>
              </w:rPr>
              <w:t xml:space="preserve">, în baza dării de seamă anuale, este în drept să restabilească </w:t>
            </w:r>
            <w:r w:rsidR="00DF18D8" w:rsidRPr="009E5B39">
              <w:rPr>
                <w:rFonts w:asciiTheme="majorHAnsi" w:eastAsia="Calibri" w:hAnsiTheme="majorHAnsi" w:cstheme="majorHAnsi"/>
                <w:color w:val="333333"/>
                <w:sz w:val="18"/>
                <w:szCs w:val="18"/>
                <w:shd w:val="clear" w:color="auto" w:fill="FFFFFF"/>
                <w:lang w:val="ro-MD"/>
              </w:rPr>
              <w:t>forțat</w:t>
            </w:r>
            <w:r w:rsidRPr="009E5B39">
              <w:rPr>
                <w:rFonts w:asciiTheme="majorHAnsi" w:eastAsia="Calibri" w:hAnsiTheme="majorHAnsi" w:cstheme="majorHAnsi"/>
                <w:color w:val="333333"/>
                <w:sz w:val="18"/>
                <w:szCs w:val="18"/>
                <w:shd w:val="clear" w:color="auto" w:fill="FFFFFF"/>
                <w:lang w:val="ro-MD"/>
              </w:rPr>
              <w:t xml:space="preserve"> la bugetul de stat sumele transferurilor utilizate contrar </w:t>
            </w:r>
            <w:r w:rsidR="00DF18D8" w:rsidRPr="009E5B39">
              <w:rPr>
                <w:rFonts w:asciiTheme="majorHAnsi" w:eastAsia="Calibri" w:hAnsiTheme="majorHAnsi" w:cstheme="majorHAnsi"/>
                <w:color w:val="333333"/>
                <w:sz w:val="18"/>
                <w:szCs w:val="18"/>
                <w:shd w:val="clear" w:color="auto" w:fill="FFFFFF"/>
                <w:lang w:val="ro-MD"/>
              </w:rPr>
              <w:t>destinației</w:t>
            </w:r>
            <w:r w:rsidRPr="009E5B39">
              <w:rPr>
                <w:rFonts w:asciiTheme="majorHAnsi" w:eastAsia="Calibri" w:hAnsiTheme="majorHAnsi" w:cstheme="majorHAnsi"/>
                <w:color w:val="333333"/>
                <w:sz w:val="18"/>
                <w:szCs w:val="18"/>
                <w:shd w:val="clear" w:color="auto" w:fill="FFFFFF"/>
                <w:lang w:val="ro-MD"/>
              </w:rPr>
              <w:t xml:space="preserve"> prin intermediul </w:t>
            </w:r>
            <w:r w:rsidR="00DF18D8" w:rsidRPr="009E5B39">
              <w:rPr>
                <w:rFonts w:asciiTheme="majorHAnsi" w:eastAsia="Calibri" w:hAnsiTheme="majorHAnsi" w:cstheme="majorHAnsi"/>
                <w:color w:val="333333"/>
                <w:sz w:val="18"/>
                <w:szCs w:val="18"/>
                <w:shd w:val="clear" w:color="auto" w:fill="FFFFFF"/>
                <w:lang w:val="ro-MD"/>
              </w:rPr>
              <w:t>relațiilor</w:t>
            </w:r>
            <w:r w:rsidRPr="009E5B39">
              <w:rPr>
                <w:rFonts w:asciiTheme="majorHAnsi" w:eastAsia="Calibri" w:hAnsiTheme="majorHAnsi" w:cstheme="majorHAnsi"/>
                <w:color w:val="333333"/>
                <w:sz w:val="18"/>
                <w:szCs w:val="18"/>
                <w:shd w:val="clear" w:color="auto" w:fill="FFFFFF"/>
                <w:lang w:val="ro-MD"/>
              </w:rPr>
              <w:t xml:space="preserve"> interbugetare.</w:t>
            </w:r>
          </w:p>
        </w:tc>
        <w:tc>
          <w:tcPr>
            <w:tcW w:w="1846" w:type="dxa"/>
            <w:shd w:val="clear" w:color="auto" w:fill="auto"/>
          </w:tcPr>
          <w:p w14:paraId="16171E10"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2.1. Transferurile cu destinație specială pentru infrastructura drumurilor publice locale</w:t>
            </w:r>
          </w:p>
        </w:tc>
      </w:tr>
      <w:tr w:rsidR="00EA5F7B" w:rsidRPr="009E5B39" w14:paraId="3728CC8D" w14:textId="77777777" w:rsidTr="00EA5F7B">
        <w:trPr>
          <w:trHeight w:val="248"/>
          <w:jc w:val="center"/>
        </w:trPr>
        <w:tc>
          <w:tcPr>
            <w:tcW w:w="743" w:type="dxa"/>
            <w:shd w:val="clear" w:color="auto" w:fill="auto"/>
          </w:tcPr>
          <w:p w14:paraId="797C8135" w14:textId="77777777" w:rsidR="00EA5F7B" w:rsidRPr="009E5B39" w:rsidRDefault="00EA5F7B" w:rsidP="00EA5F7B">
            <w:pPr>
              <w:spacing w:after="0" w:line="240" w:lineRule="auto"/>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3.</w:t>
            </w:r>
          </w:p>
        </w:tc>
        <w:tc>
          <w:tcPr>
            <w:tcW w:w="2796" w:type="dxa"/>
            <w:shd w:val="clear" w:color="auto" w:fill="auto"/>
          </w:tcPr>
          <w:p w14:paraId="5C4263A1" w14:textId="418CA2AC" w:rsidR="0063186B" w:rsidRPr="009E5B39" w:rsidRDefault="00EA5F7B" w:rsidP="0063186B">
            <w:pPr>
              <w:spacing w:after="0" w:line="240" w:lineRule="auto"/>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63186B" w:rsidRPr="009E5B39">
              <w:rPr>
                <w:rFonts w:asciiTheme="majorHAnsi" w:eastAsia="Calibri" w:hAnsiTheme="majorHAnsi" w:cstheme="majorHAnsi"/>
                <w:b/>
                <w:sz w:val="18"/>
                <w:szCs w:val="18"/>
                <w:lang w:val="ro-MD"/>
              </w:rPr>
              <w:t xml:space="preserve">privind statutul municipiului Chișinău </w:t>
            </w:r>
          </w:p>
          <w:p w14:paraId="17031858" w14:textId="3C039073" w:rsidR="00EA5F7B" w:rsidRPr="009E5B39" w:rsidRDefault="0063186B" w:rsidP="00EA5F7B">
            <w:pPr>
              <w:spacing w:after="0" w:line="240" w:lineRule="auto"/>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n</w:t>
            </w:r>
            <w:r w:rsidR="00EA5F7B" w:rsidRPr="009E5B39">
              <w:rPr>
                <w:rFonts w:asciiTheme="majorHAnsi" w:eastAsia="Calibri" w:hAnsiTheme="majorHAnsi" w:cstheme="majorHAnsi"/>
                <w:b/>
                <w:sz w:val="18"/>
                <w:szCs w:val="18"/>
                <w:lang w:val="ro-MD"/>
              </w:rPr>
              <w:t xml:space="preserve">r. 136 din 17.06.2016 </w:t>
            </w:r>
          </w:p>
          <w:p w14:paraId="1C3A731C" w14:textId="77499E26" w:rsidR="00EA5F7B" w:rsidRPr="009E5B39" w:rsidRDefault="00EA5F7B" w:rsidP="00EA5F7B">
            <w:pPr>
              <w:spacing w:after="0" w:line="240" w:lineRule="auto"/>
              <w:rPr>
                <w:rFonts w:asciiTheme="majorHAnsi" w:eastAsia="Calibri" w:hAnsiTheme="majorHAnsi" w:cstheme="majorHAnsi"/>
                <w:b/>
                <w:sz w:val="18"/>
                <w:szCs w:val="18"/>
                <w:lang w:val="ro-MD"/>
              </w:rPr>
            </w:pPr>
          </w:p>
          <w:p w14:paraId="095EB591" w14:textId="6FC95F52" w:rsidR="00EA5F7B" w:rsidRPr="009E5B39" w:rsidRDefault="00EA5F7B" w:rsidP="00EA5F7B">
            <w:pPr>
              <w:spacing w:after="0" w:line="240" w:lineRule="auto"/>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Hotărârea Guvernului nr.1404 din 30.12.2005 </w:t>
            </w:r>
            <w:r w:rsidRPr="009E5B39">
              <w:rPr>
                <w:rFonts w:asciiTheme="majorHAnsi" w:eastAsia="Calibri" w:hAnsiTheme="majorHAnsi" w:cstheme="majorHAnsi"/>
                <w:sz w:val="18"/>
                <w:szCs w:val="18"/>
                <w:lang w:val="ro-MD"/>
              </w:rPr>
              <w:t>„Privind reglementarea utilizării autoturismelor de serviciu de către autoritățile administrației publice”</w:t>
            </w:r>
          </w:p>
        </w:tc>
        <w:tc>
          <w:tcPr>
            <w:tcW w:w="4958" w:type="dxa"/>
            <w:shd w:val="clear" w:color="auto" w:fill="auto"/>
          </w:tcPr>
          <w:p w14:paraId="11683E97"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lang w:val="ro-MD"/>
              </w:rPr>
            </w:pPr>
            <w:r w:rsidRPr="009E5B39">
              <w:rPr>
                <w:rFonts w:asciiTheme="majorHAnsi" w:eastAsia="Calibri" w:hAnsiTheme="majorHAnsi" w:cstheme="majorHAnsi"/>
                <w:color w:val="333333"/>
                <w:sz w:val="18"/>
                <w:szCs w:val="18"/>
                <w:lang w:val="ro-MD"/>
              </w:rPr>
              <w:t xml:space="preserve">Prin </w:t>
            </w:r>
            <w:r w:rsidRPr="009E5B39">
              <w:rPr>
                <w:rFonts w:asciiTheme="majorHAnsi" w:eastAsia="Calibri" w:hAnsiTheme="majorHAnsi" w:cstheme="majorHAnsi"/>
                <w:b/>
                <w:i/>
                <w:color w:val="333333"/>
                <w:sz w:val="18"/>
                <w:szCs w:val="18"/>
                <w:lang w:val="ro-MD"/>
              </w:rPr>
              <w:t>Art.6</w:t>
            </w:r>
            <w:r w:rsidRPr="009E5B39">
              <w:rPr>
                <w:rFonts w:asciiTheme="majorHAnsi" w:eastAsia="Calibri" w:hAnsiTheme="majorHAnsi" w:cstheme="majorHAnsi"/>
                <w:color w:val="333333"/>
                <w:sz w:val="18"/>
                <w:szCs w:val="18"/>
                <w:lang w:val="ro-MD"/>
              </w:rPr>
              <w:t xml:space="preserve"> sunt prevăzute competențele consiliului municipal în toate problemele de interes local în teritoriul orașului Chișinău și în cele de interes municipal – în teritoriul municipiului, cu excepția problemelor ce țin de competența altor autorități publice. </w:t>
            </w:r>
          </w:p>
          <w:p w14:paraId="6735E232"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lang w:val="ro-MD"/>
              </w:rPr>
            </w:pPr>
          </w:p>
          <w:p w14:paraId="193392F9" w14:textId="2A871D55"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lang w:val="ro-MD"/>
              </w:rPr>
            </w:pPr>
            <w:r w:rsidRPr="009E5B39">
              <w:rPr>
                <w:rFonts w:asciiTheme="majorHAnsi" w:eastAsia="Calibri" w:hAnsiTheme="majorHAnsi" w:cstheme="majorHAnsi"/>
                <w:b/>
                <w:i/>
                <w:color w:val="333333"/>
                <w:sz w:val="18"/>
                <w:szCs w:val="18"/>
                <w:lang w:val="ro-MD"/>
              </w:rPr>
              <w:t>Pct.2</w:t>
            </w:r>
            <w:r w:rsidRPr="009E5B39">
              <w:rPr>
                <w:rFonts w:asciiTheme="majorHAnsi" w:eastAsia="Calibri" w:hAnsiTheme="majorHAnsi" w:cstheme="majorHAnsi"/>
                <w:color w:val="333333"/>
                <w:sz w:val="18"/>
                <w:szCs w:val="18"/>
                <w:lang w:val="ro-MD"/>
              </w:rPr>
              <w:t xml:space="preserve"> stabilește că întru asigurarea îndeplinirii atribuțiilor de serviciu autoritatea administrației publice locale de nivelul </w:t>
            </w:r>
            <w:r w:rsidR="00DF18D8" w:rsidRPr="009E5B39">
              <w:rPr>
                <w:rFonts w:asciiTheme="majorHAnsi" w:eastAsia="Calibri" w:hAnsiTheme="majorHAnsi" w:cstheme="majorHAnsi"/>
                <w:color w:val="333333"/>
                <w:sz w:val="18"/>
                <w:szCs w:val="18"/>
                <w:lang w:val="ro-MD"/>
              </w:rPr>
              <w:t>întâi</w:t>
            </w:r>
            <w:r w:rsidRPr="009E5B39">
              <w:rPr>
                <w:rFonts w:asciiTheme="majorHAnsi" w:eastAsia="Calibri" w:hAnsiTheme="majorHAnsi" w:cstheme="majorHAnsi"/>
                <w:color w:val="333333"/>
                <w:sz w:val="18"/>
                <w:szCs w:val="18"/>
                <w:lang w:val="ro-MD"/>
              </w:rPr>
              <w:t xml:space="preserve"> și al doilea aprobă prin decizia consiliului local Regulamentul privind aprobarea numărului-limită al autoturismelor de serviciu și a parcursului- limită anual pentru un autoturism.   </w:t>
            </w:r>
          </w:p>
        </w:tc>
        <w:tc>
          <w:tcPr>
            <w:tcW w:w="1846" w:type="dxa"/>
            <w:shd w:val="clear" w:color="auto" w:fill="auto"/>
          </w:tcPr>
          <w:p w14:paraId="6A9A2921" w14:textId="1B5ABAF0" w:rsidR="00EA5F7B" w:rsidRPr="009E5B39" w:rsidRDefault="00EA5F7B" w:rsidP="00EA5F7B">
            <w:pPr>
              <w:spacing w:after="0" w:line="240" w:lineRule="auto"/>
              <w:rPr>
                <w:rFonts w:asciiTheme="majorHAnsi" w:eastAsia="Calibri" w:hAnsiTheme="majorHAnsi" w:cstheme="majorHAnsi"/>
                <w:i/>
                <w:sz w:val="18"/>
                <w:szCs w:val="18"/>
                <w:lang w:val="ro-MD"/>
              </w:rPr>
            </w:pPr>
            <w:r w:rsidRPr="009E5B39">
              <w:rPr>
                <w:rFonts w:asciiTheme="majorHAnsi" w:eastAsia="Calibri" w:hAnsiTheme="majorHAnsi" w:cstheme="majorHAnsi"/>
                <w:i/>
                <w:sz w:val="18"/>
                <w:szCs w:val="18"/>
                <w:lang w:val="ro-MD"/>
              </w:rPr>
              <w:t xml:space="preserve">2.2. Competențele </w:t>
            </w:r>
            <w:r w:rsidR="0063186B" w:rsidRPr="009E5B39">
              <w:rPr>
                <w:rFonts w:asciiTheme="majorHAnsi" w:eastAsia="Calibri" w:hAnsiTheme="majorHAnsi" w:cstheme="majorHAnsi"/>
                <w:i/>
                <w:sz w:val="18"/>
                <w:szCs w:val="18"/>
                <w:lang w:val="ro-MD"/>
              </w:rPr>
              <w:t>C</w:t>
            </w:r>
            <w:r w:rsidRPr="009E5B39">
              <w:rPr>
                <w:rFonts w:asciiTheme="majorHAnsi" w:eastAsia="Calibri" w:hAnsiTheme="majorHAnsi" w:cstheme="majorHAnsi"/>
                <w:i/>
                <w:sz w:val="18"/>
                <w:szCs w:val="18"/>
                <w:lang w:val="ro-MD"/>
              </w:rPr>
              <w:t>onsiliului municipal Chișinău</w:t>
            </w:r>
          </w:p>
        </w:tc>
      </w:tr>
      <w:tr w:rsidR="00EA5F7B" w:rsidRPr="009E5B39" w14:paraId="2FAA102B" w14:textId="77777777" w:rsidTr="00EA5F7B">
        <w:trPr>
          <w:trHeight w:val="248"/>
          <w:jc w:val="center"/>
        </w:trPr>
        <w:tc>
          <w:tcPr>
            <w:tcW w:w="743" w:type="dxa"/>
            <w:shd w:val="clear" w:color="auto" w:fill="auto"/>
          </w:tcPr>
          <w:p w14:paraId="333C16D7" w14:textId="77777777" w:rsidR="00EA5F7B" w:rsidRPr="009E5B39" w:rsidRDefault="00EA5F7B" w:rsidP="00EA5F7B">
            <w:pPr>
              <w:spacing w:after="0" w:line="240" w:lineRule="auto"/>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4.</w:t>
            </w:r>
          </w:p>
        </w:tc>
        <w:tc>
          <w:tcPr>
            <w:tcW w:w="2796" w:type="dxa"/>
            <w:shd w:val="clear" w:color="auto" w:fill="auto"/>
          </w:tcPr>
          <w:p w14:paraId="2344F2E0" w14:textId="520D8C7B" w:rsidR="00EA5F7B" w:rsidRPr="009E5B39" w:rsidRDefault="00EA5F7B" w:rsidP="00EA5F7B">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63186B" w:rsidRPr="009E5B39">
              <w:rPr>
                <w:rFonts w:asciiTheme="majorHAnsi" w:eastAsia="Calibri" w:hAnsiTheme="majorHAnsi" w:cstheme="majorHAnsi"/>
                <w:b/>
                <w:sz w:val="18"/>
                <w:szCs w:val="18"/>
                <w:lang w:val="ro-MD"/>
              </w:rPr>
              <w:t xml:space="preserve">privind finanțele publice locale </w:t>
            </w:r>
            <w:r w:rsidRPr="009E5B39">
              <w:rPr>
                <w:rFonts w:asciiTheme="majorHAnsi" w:eastAsia="Calibri" w:hAnsiTheme="majorHAnsi" w:cstheme="majorHAnsi"/>
                <w:b/>
                <w:sz w:val="18"/>
                <w:szCs w:val="18"/>
                <w:lang w:val="ro-MD"/>
              </w:rPr>
              <w:t xml:space="preserve">nr.397 din 16.10.2003 </w:t>
            </w:r>
          </w:p>
          <w:p w14:paraId="27263AC4" w14:textId="77777777" w:rsidR="00EA5F7B" w:rsidRPr="009E5B39" w:rsidRDefault="00EA5F7B" w:rsidP="00EA5F7B">
            <w:pPr>
              <w:spacing w:after="0" w:line="240" w:lineRule="auto"/>
              <w:jc w:val="both"/>
              <w:rPr>
                <w:rFonts w:asciiTheme="majorHAnsi" w:eastAsia="Calibri" w:hAnsiTheme="majorHAnsi" w:cstheme="majorHAnsi"/>
                <w:bCs/>
                <w:sz w:val="18"/>
                <w:szCs w:val="18"/>
                <w:lang w:val="ro-MD"/>
              </w:rPr>
            </w:pPr>
          </w:p>
          <w:p w14:paraId="00A93E4F" w14:textId="77777777" w:rsidR="00EA5F7B" w:rsidRPr="009E5B39" w:rsidRDefault="00EA5F7B" w:rsidP="00EA5F7B">
            <w:pPr>
              <w:spacing w:after="0" w:line="240" w:lineRule="auto"/>
              <w:jc w:val="both"/>
              <w:rPr>
                <w:rFonts w:asciiTheme="majorHAnsi" w:eastAsia="Calibri" w:hAnsiTheme="majorHAnsi" w:cstheme="majorHAnsi"/>
                <w:bCs/>
                <w:sz w:val="18"/>
                <w:szCs w:val="18"/>
                <w:lang w:val="ro-MD"/>
              </w:rPr>
            </w:pPr>
          </w:p>
          <w:p w14:paraId="77C80CA6" w14:textId="77777777" w:rsidR="00EA5F7B" w:rsidRPr="009E5B39" w:rsidRDefault="00EA5F7B" w:rsidP="00EA5F7B">
            <w:pPr>
              <w:spacing w:after="0" w:line="240" w:lineRule="auto"/>
              <w:jc w:val="both"/>
              <w:rPr>
                <w:rFonts w:asciiTheme="majorHAnsi" w:eastAsia="Calibri" w:hAnsiTheme="majorHAnsi" w:cstheme="majorHAnsi"/>
                <w:bCs/>
                <w:sz w:val="18"/>
                <w:szCs w:val="18"/>
                <w:lang w:val="ro-MD"/>
              </w:rPr>
            </w:pPr>
          </w:p>
          <w:p w14:paraId="509A4619" w14:textId="77777777" w:rsidR="00EA5F7B" w:rsidRPr="009E5B39" w:rsidRDefault="00EA5F7B" w:rsidP="00EA5F7B">
            <w:pPr>
              <w:spacing w:after="0" w:line="240" w:lineRule="auto"/>
              <w:jc w:val="both"/>
              <w:rPr>
                <w:rFonts w:asciiTheme="majorHAnsi" w:eastAsia="Calibri" w:hAnsiTheme="majorHAnsi" w:cstheme="majorHAnsi"/>
                <w:b/>
                <w:bCs/>
                <w:sz w:val="18"/>
                <w:szCs w:val="18"/>
                <w:lang w:val="ro-MD"/>
              </w:rPr>
            </w:pPr>
          </w:p>
          <w:p w14:paraId="498013F5"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p>
        </w:tc>
        <w:tc>
          <w:tcPr>
            <w:tcW w:w="4958" w:type="dxa"/>
            <w:shd w:val="clear" w:color="auto" w:fill="auto"/>
          </w:tcPr>
          <w:p w14:paraId="19754B94" w14:textId="536240C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shd w:val="clear" w:color="auto" w:fill="FFFFFF"/>
                <w:lang w:val="ro-MD"/>
              </w:rPr>
            </w:pPr>
            <w:r w:rsidRPr="009E5B39">
              <w:rPr>
                <w:rFonts w:asciiTheme="majorHAnsi" w:eastAsia="Calibri" w:hAnsiTheme="majorHAnsi" w:cstheme="majorHAnsi"/>
                <w:b/>
                <w:i/>
                <w:color w:val="333333"/>
                <w:sz w:val="18"/>
                <w:szCs w:val="18"/>
                <w:shd w:val="clear" w:color="auto" w:fill="FFFFFF"/>
                <w:lang w:val="ro-MD"/>
              </w:rPr>
              <w:t>Art.26 alin.(1)</w:t>
            </w:r>
            <w:r w:rsidRPr="009E5B39">
              <w:rPr>
                <w:rFonts w:asciiTheme="majorHAnsi" w:eastAsia="Calibri" w:hAnsiTheme="majorHAnsi" w:cstheme="majorHAnsi"/>
                <w:color w:val="333333"/>
                <w:sz w:val="18"/>
                <w:szCs w:val="18"/>
                <w:shd w:val="clear" w:color="auto" w:fill="FFFFFF"/>
                <w:lang w:val="ro-MD"/>
              </w:rPr>
              <w:t xml:space="preserve"> prevede că pe parcursul anului bugetar, fără afectarea indicatorilor aprobați prin decizia bugetară anuală, redistribuirea alocațiilor bugetare se permite:</w:t>
            </w:r>
            <w:r w:rsidRPr="009E5B39">
              <w:rPr>
                <w:rFonts w:asciiTheme="majorHAnsi" w:eastAsia="Calibri" w:hAnsiTheme="majorHAnsi" w:cstheme="majorHAnsi"/>
                <w:color w:val="333333"/>
                <w:sz w:val="18"/>
                <w:szCs w:val="18"/>
                <w:lang w:val="ro-MD"/>
              </w:rPr>
              <w:br/>
            </w:r>
            <w:r w:rsidRPr="009E5B39">
              <w:rPr>
                <w:rFonts w:asciiTheme="majorHAnsi" w:eastAsia="Calibri" w:hAnsiTheme="majorHAnsi" w:cstheme="majorHAnsi"/>
                <w:color w:val="333333"/>
                <w:sz w:val="18"/>
                <w:szCs w:val="18"/>
                <w:shd w:val="clear" w:color="auto" w:fill="FFFFFF"/>
                <w:lang w:val="ro-MD"/>
              </w:rPr>
              <w:t>    a) cu acordul administratorului de buget – între categoriile economice de cheltuieli, fără majorarea cheltuielilor de personal și fără modificarea cheltuielilor pentru investiții capitale și a transferurilor interbugetare;</w:t>
            </w:r>
          </w:p>
        </w:tc>
        <w:tc>
          <w:tcPr>
            <w:tcW w:w="1846" w:type="dxa"/>
            <w:shd w:val="clear" w:color="auto" w:fill="auto"/>
          </w:tcPr>
          <w:p w14:paraId="43E12736" w14:textId="77777777" w:rsidR="00EA5F7B" w:rsidRPr="009E5B39" w:rsidRDefault="00EA5F7B" w:rsidP="00EA5F7B">
            <w:pPr>
              <w:spacing w:after="0" w:line="240" w:lineRule="auto"/>
              <w:rPr>
                <w:rFonts w:asciiTheme="majorHAnsi" w:eastAsia="Calibri" w:hAnsiTheme="majorHAnsi" w:cstheme="majorHAnsi"/>
                <w:i/>
                <w:sz w:val="18"/>
                <w:szCs w:val="18"/>
                <w:lang w:val="ro-MD"/>
              </w:rPr>
            </w:pPr>
            <w:r w:rsidRPr="009E5B39">
              <w:rPr>
                <w:rFonts w:asciiTheme="majorHAnsi" w:eastAsia="Calibri" w:hAnsiTheme="majorHAnsi" w:cstheme="majorHAnsi"/>
                <w:i/>
                <w:sz w:val="18"/>
                <w:szCs w:val="18"/>
                <w:lang w:val="ro-MD"/>
              </w:rPr>
              <w:t>2.3. Redistribuirea alocațiilor bugetare pe parcursul anului bugetar</w:t>
            </w:r>
          </w:p>
        </w:tc>
      </w:tr>
      <w:tr w:rsidR="00EA5F7B" w:rsidRPr="009E5B39" w14:paraId="15C15CBE" w14:textId="77777777" w:rsidTr="00EA5F7B">
        <w:trPr>
          <w:trHeight w:val="248"/>
          <w:jc w:val="center"/>
        </w:trPr>
        <w:tc>
          <w:tcPr>
            <w:tcW w:w="743" w:type="dxa"/>
            <w:shd w:val="clear" w:color="auto" w:fill="auto"/>
          </w:tcPr>
          <w:p w14:paraId="2A3B1B63" w14:textId="77777777" w:rsidR="00EA5F7B" w:rsidRPr="009E5B39" w:rsidRDefault="00EA5F7B" w:rsidP="00EA5F7B">
            <w:pPr>
              <w:spacing w:after="0" w:line="240" w:lineRule="auto"/>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5.</w:t>
            </w:r>
          </w:p>
        </w:tc>
        <w:tc>
          <w:tcPr>
            <w:tcW w:w="2796" w:type="dxa"/>
            <w:shd w:val="clear" w:color="auto" w:fill="auto"/>
          </w:tcPr>
          <w:p w14:paraId="38966FAB" w14:textId="6CD31DA0" w:rsidR="00EA5F7B" w:rsidRPr="009E5B39" w:rsidRDefault="00EA5F7B">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63186B" w:rsidRPr="009E5B39">
              <w:rPr>
                <w:rFonts w:asciiTheme="majorHAnsi" w:eastAsia="Calibri" w:hAnsiTheme="majorHAnsi" w:cstheme="majorHAnsi"/>
                <w:b/>
                <w:sz w:val="18"/>
                <w:szCs w:val="18"/>
                <w:lang w:val="ro-MD"/>
              </w:rPr>
              <w:t xml:space="preserve">privind descentralizarea administrativă </w:t>
            </w:r>
            <w:r w:rsidRPr="009E5B39">
              <w:rPr>
                <w:rFonts w:asciiTheme="majorHAnsi" w:eastAsia="Calibri" w:hAnsiTheme="majorHAnsi" w:cstheme="majorHAnsi"/>
                <w:b/>
                <w:sz w:val="18"/>
                <w:szCs w:val="18"/>
                <w:lang w:val="ro-MD"/>
              </w:rPr>
              <w:t xml:space="preserve">nr.435 din 28.12.2006 </w:t>
            </w:r>
          </w:p>
        </w:tc>
        <w:tc>
          <w:tcPr>
            <w:tcW w:w="4958" w:type="dxa"/>
            <w:shd w:val="clear" w:color="auto" w:fill="auto"/>
          </w:tcPr>
          <w:p w14:paraId="7E46D0A1" w14:textId="77777777" w:rsidR="00EA5F7B" w:rsidRPr="009E5B39" w:rsidRDefault="00EA5F7B" w:rsidP="00EA5F7B">
            <w:pPr>
              <w:spacing w:after="0" w:line="240" w:lineRule="auto"/>
              <w:jc w:val="both"/>
              <w:rPr>
                <w:rFonts w:asciiTheme="majorHAnsi" w:eastAsia="Calibri" w:hAnsiTheme="majorHAnsi" w:cstheme="majorHAnsi"/>
                <w:b/>
                <w:bCs/>
                <w:color w:val="333333"/>
                <w:sz w:val="18"/>
                <w:szCs w:val="18"/>
                <w:lang w:val="ro-MD"/>
              </w:rPr>
            </w:pPr>
            <w:r w:rsidRPr="009E5B39">
              <w:rPr>
                <w:rFonts w:asciiTheme="majorHAnsi" w:eastAsia="Calibri" w:hAnsiTheme="majorHAnsi" w:cstheme="majorHAnsi"/>
                <w:b/>
                <w:i/>
                <w:sz w:val="18"/>
                <w:szCs w:val="18"/>
                <w:lang w:val="ro-MD"/>
              </w:rPr>
              <w:t>Art.4</w:t>
            </w:r>
            <w:r w:rsidRPr="009E5B39">
              <w:rPr>
                <w:rFonts w:asciiTheme="majorHAnsi" w:eastAsia="Calibri" w:hAnsiTheme="majorHAnsi" w:cstheme="majorHAnsi"/>
                <w:sz w:val="18"/>
                <w:szCs w:val="18"/>
                <w:lang w:val="ro-MD"/>
              </w:rPr>
              <w:t xml:space="preserve"> prevede că de domeniile proprii de activitate ale APL de nivelul I ține și construcția, întreținerea și iluminarea străzilor și drumurilor publice locale; APL de nivelul I și II, în limitele legii, dispun de libertate deplină de acțiune în reglementarea și gestionarea oricărei chestiuni de interes local care nu este exclusă din competența lor și nu este atribuită unei alte autorități.</w:t>
            </w:r>
          </w:p>
        </w:tc>
        <w:tc>
          <w:tcPr>
            <w:tcW w:w="1846" w:type="dxa"/>
            <w:shd w:val="clear" w:color="auto" w:fill="auto"/>
          </w:tcPr>
          <w:p w14:paraId="7DBEA4B3" w14:textId="35DDD38C" w:rsidR="00EA5F7B" w:rsidRPr="009E5B39" w:rsidRDefault="00EA5F7B" w:rsidP="00EA5F7B">
            <w:pPr>
              <w:spacing w:after="0" w:line="240" w:lineRule="auto"/>
              <w:jc w:val="both"/>
              <w:rPr>
                <w:rFonts w:asciiTheme="majorHAnsi" w:eastAsia="Calibri" w:hAnsiTheme="majorHAnsi" w:cstheme="majorHAnsi"/>
                <w:i/>
                <w:sz w:val="18"/>
                <w:szCs w:val="18"/>
                <w:lang w:val="ro-MD"/>
              </w:rPr>
            </w:pPr>
            <w:r w:rsidRPr="009E5B39">
              <w:rPr>
                <w:rFonts w:asciiTheme="majorHAnsi" w:eastAsia="Calibri" w:hAnsiTheme="majorHAnsi" w:cstheme="majorHAnsi"/>
                <w:i/>
                <w:sz w:val="18"/>
                <w:szCs w:val="18"/>
                <w:lang w:val="ro-MD"/>
              </w:rPr>
              <w:t xml:space="preserve">2.4.Domeniile de activitate ale autorităților publice locale de nivelul </w:t>
            </w:r>
            <w:r w:rsidR="0063186B" w:rsidRPr="009E5B39">
              <w:rPr>
                <w:rFonts w:asciiTheme="majorHAnsi" w:eastAsia="Calibri" w:hAnsiTheme="majorHAnsi" w:cstheme="majorHAnsi"/>
                <w:i/>
                <w:sz w:val="18"/>
                <w:szCs w:val="18"/>
                <w:lang w:val="ro-MD"/>
              </w:rPr>
              <w:t>I</w:t>
            </w:r>
          </w:p>
        </w:tc>
      </w:tr>
      <w:tr w:rsidR="00EA5F7B" w:rsidRPr="009E5B39" w14:paraId="60CA4A73" w14:textId="77777777" w:rsidTr="00EA5F7B">
        <w:trPr>
          <w:trHeight w:val="248"/>
          <w:jc w:val="center"/>
        </w:trPr>
        <w:tc>
          <w:tcPr>
            <w:tcW w:w="743" w:type="dxa"/>
            <w:shd w:val="clear" w:color="auto" w:fill="auto"/>
          </w:tcPr>
          <w:p w14:paraId="360FA649" w14:textId="77777777" w:rsidR="00EA5F7B" w:rsidRPr="009E5B39" w:rsidRDefault="00EA5F7B" w:rsidP="00EA5F7B">
            <w:pPr>
              <w:spacing w:after="0" w:line="240" w:lineRule="auto"/>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6.</w:t>
            </w:r>
          </w:p>
        </w:tc>
        <w:tc>
          <w:tcPr>
            <w:tcW w:w="2796" w:type="dxa"/>
            <w:shd w:val="clear" w:color="auto" w:fill="auto"/>
          </w:tcPr>
          <w:p w14:paraId="116B2061" w14:textId="1A096ED0" w:rsidR="00EA5F7B" w:rsidRPr="009E5B39" w:rsidRDefault="00EA5F7B" w:rsidP="00EA5F7B">
            <w:pPr>
              <w:spacing w:after="0" w:line="240" w:lineRule="auto"/>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Legea</w:t>
            </w:r>
            <w:r w:rsidR="0063186B" w:rsidRPr="009E5B39">
              <w:rPr>
                <w:rFonts w:asciiTheme="majorHAnsi" w:eastAsia="Calibri" w:hAnsiTheme="majorHAnsi" w:cstheme="majorHAnsi"/>
                <w:b/>
                <w:sz w:val="18"/>
                <w:szCs w:val="18"/>
                <w:lang w:val="ro-MD"/>
              </w:rPr>
              <w:t xml:space="preserve"> contabilității și raportării financiare</w:t>
            </w:r>
            <w:r w:rsidRPr="009E5B39">
              <w:rPr>
                <w:rFonts w:asciiTheme="majorHAnsi" w:eastAsia="Calibri" w:hAnsiTheme="majorHAnsi" w:cstheme="majorHAnsi"/>
                <w:b/>
                <w:sz w:val="18"/>
                <w:szCs w:val="18"/>
                <w:lang w:val="ro-MD"/>
              </w:rPr>
              <w:t xml:space="preserve"> nr.287 din 15.12.2017 </w:t>
            </w:r>
          </w:p>
          <w:p w14:paraId="55C5E541"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23F8DB69"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1D061B18"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0E4A3A4B"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4C8B79C2" w14:textId="699ACD02" w:rsidR="00EA5F7B" w:rsidRPr="009E5B39" w:rsidRDefault="00EA5F7B" w:rsidP="00EA5F7B">
            <w:pPr>
              <w:spacing w:after="0" w:line="240" w:lineRule="auto"/>
              <w:rPr>
                <w:rFonts w:asciiTheme="majorHAnsi" w:eastAsia="Calibri" w:hAnsiTheme="majorHAnsi" w:cstheme="majorHAnsi"/>
                <w:sz w:val="18"/>
                <w:szCs w:val="18"/>
                <w:lang w:val="ro-MD"/>
              </w:rPr>
            </w:pPr>
          </w:p>
          <w:p w14:paraId="1DCAD7BA" w14:textId="77777777" w:rsidR="00EA5F7B" w:rsidRPr="009E5B39" w:rsidRDefault="00EA5F7B" w:rsidP="00EA5F7B">
            <w:pPr>
              <w:spacing w:after="0" w:line="240" w:lineRule="auto"/>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Standardul național de contabilitate „Stocuri”, aprobat prin Ordinul MF nr.118 din 06.08.2013 „Privind aprobarea Standardelor Naționale  de Contabilitate”</w:t>
            </w:r>
          </w:p>
          <w:p w14:paraId="09C2C2A8"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0FB25078" w14:textId="77777777" w:rsidR="00EA5F7B" w:rsidRPr="009E5B39" w:rsidRDefault="00EA5F7B" w:rsidP="00EA5F7B">
            <w:pPr>
              <w:spacing w:after="0" w:line="240" w:lineRule="auto"/>
              <w:rPr>
                <w:rFonts w:asciiTheme="majorHAnsi" w:eastAsia="Calibri" w:hAnsiTheme="majorHAnsi" w:cstheme="majorHAnsi"/>
                <w:sz w:val="18"/>
                <w:szCs w:val="18"/>
                <w:lang w:val="ro-MD"/>
              </w:rPr>
            </w:pPr>
          </w:p>
          <w:p w14:paraId="46C5D03A" w14:textId="79D7AE38" w:rsidR="00EA5F7B" w:rsidRPr="009E5B39" w:rsidRDefault="00EA5F7B" w:rsidP="00EA5F7B">
            <w:pPr>
              <w:spacing w:after="0" w:line="240" w:lineRule="auto"/>
              <w:rPr>
                <w:rFonts w:asciiTheme="majorHAnsi" w:eastAsia="Times New Roman" w:hAnsiTheme="majorHAnsi" w:cstheme="majorHAnsi"/>
                <w:b/>
                <w:bCs/>
                <w:color w:val="333333"/>
                <w:sz w:val="18"/>
                <w:szCs w:val="18"/>
                <w:lang w:val="ro-MD"/>
              </w:rPr>
            </w:pPr>
            <w:r w:rsidRPr="009E5B39">
              <w:rPr>
                <w:rFonts w:asciiTheme="majorHAnsi" w:eastAsia="Times New Roman" w:hAnsiTheme="majorHAnsi" w:cstheme="majorHAnsi"/>
                <w:b/>
                <w:bCs/>
                <w:color w:val="333333"/>
                <w:sz w:val="18"/>
                <w:szCs w:val="18"/>
                <w:lang w:val="ro-MD"/>
              </w:rPr>
              <w:t>Legea</w:t>
            </w:r>
            <w:r w:rsidRPr="009E5B39">
              <w:rPr>
                <w:rFonts w:asciiTheme="majorHAnsi" w:eastAsia="Times New Roman" w:hAnsiTheme="majorHAnsi" w:cstheme="majorHAnsi"/>
                <w:b/>
                <w:color w:val="333333"/>
                <w:sz w:val="18"/>
                <w:szCs w:val="18"/>
                <w:lang w:val="ro-MD"/>
              </w:rPr>
              <w:t> </w:t>
            </w:r>
            <w:r w:rsidR="0063186B" w:rsidRPr="009E5B39">
              <w:rPr>
                <w:rFonts w:asciiTheme="majorHAnsi" w:eastAsia="Times New Roman" w:hAnsiTheme="majorHAnsi" w:cstheme="majorHAnsi"/>
                <w:b/>
                <w:bCs/>
                <w:color w:val="333333"/>
                <w:sz w:val="18"/>
                <w:szCs w:val="18"/>
                <w:lang w:val="ro-MD"/>
              </w:rPr>
              <w:t>privind delimitarea proprietății publice</w:t>
            </w:r>
            <w:r w:rsidR="0063186B" w:rsidRPr="009E5B39">
              <w:rPr>
                <w:rFonts w:asciiTheme="majorHAnsi" w:eastAsia="Times New Roman" w:hAnsiTheme="majorHAnsi" w:cstheme="majorHAnsi"/>
                <w:b/>
                <w:color w:val="333333"/>
                <w:sz w:val="18"/>
                <w:szCs w:val="18"/>
                <w:lang w:val="ro-MD"/>
              </w:rPr>
              <w:t xml:space="preserve"> </w:t>
            </w:r>
            <w:r w:rsidRPr="009E5B39">
              <w:rPr>
                <w:rFonts w:asciiTheme="majorHAnsi" w:eastAsia="Times New Roman" w:hAnsiTheme="majorHAnsi" w:cstheme="majorHAnsi"/>
                <w:b/>
                <w:color w:val="333333"/>
                <w:sz w:val="18"/>
                <w:szCs w:val="18"/>
                <w:lang w:val="ro-MD"/>
              </w:rPr>
              <w:t>nr.29 din 05.04.2018</w:t>
            </w:r>
          </w:p>
          <w:p w14:paraId="2DD22999" w14:textId="77777777" w:rsidR="00EA5F7B" w:rsidRPr="009E5B39" w:rsidRDefault="00EA5F7B" w:rsidP="00EA5F7B">
            <w:pPr>
              <w:spacing w:after="0" w:line="240" w:lineRule="auto"/>
              <w:rPr>
                <w:rFonts w:asciiTheme="majorHAnsi" w:eastAsia="Times New Roman" w:hAnsiTheme="majorHAnsi" w:cstheme="majorHAnsi"/>
                <w:b/>
                <w:bCs/>
                <w:color w:val="333333"/>
                <w:sz w:val="18"/>
                <w:szCs w:val="18"/>
                <w:lang w:val="ro-MD"/>
              </w:rPr>
            </w:pPr>
          </w:p>
          <w:p w14:paraId="729294F7" w14:textId="77777777" w:rsidR="00EA5F7B" w:rsidRPr="009E5B39" w:rsidRDefault="00EA5F7B" w:rsidP="00EA5F7B">
            <w:pPr>
              <w:spacing w:after="0" w:line="240" w:lineRule="auto"/>
              <w:rPr>
                <w:rFonts w:asciiTheme="majorHAnsi" w:eastAsia="Times New Roman" w:hAnsiTheme="majorHAnsi" w:cstheme="majorHAnsi"/>
                <w:b/>
                <w:bCs/>
                <w:color w:val="333333"/>
                <w:sz w:val="18"/>
                <w:szCs w:val="18"/>
                <w:lang w:val="ro-MD"/>
              </w:rPr>
            </w:pPr>
          </w:p>
          <w:p w14:paraId="7C69C562" w14:textId="62439B4B" w:rsidR="00EA5F7B" w:rsidRPr="009E5B39" w:rsidRDefault="00EA5F7B" w:rsidP="00EA5F7B">
            <w:pPr>
              <w:spacing w:after="0" w:line="240" w:lineRule="auto"/>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63186B" w:rsidRPr="009E5B39">
              <w:rPr>
                <w:rFonts w:asciiTheme="majorHAnsi" w:eastAsia="Calibri" w:hAnsiTheme="majorHAnsi" w:cstheme="majorHAnsi"/>
                <w:b/>
                <w:sz w:val="18"/>
                <w:szCs w:val="18"/>
                <w:lang w:val="ro-MD"/>
              </w:rPr>
              <w:t xml:space="preserve">privind statutul municipiului Chișinău </w:t>
            </w:r>
            <w:r w:rsidRPr="009E5B39">
              <w:rPr>
                <w:rFonts w:asciiTheme="majorHAnsi" w:eastAsia="Calibri" w:hAnsiTheme="majorHAnsi" w:cstheme="majorHAnsi"/>
                <w:b/>
                <w:sz w:val="18"/>
                <w:szCs w:val="18"/>
                <w:lang w:val="ro-MD"/>
              </w:rPr>
              <w:t xml:space="preserve">nr. 136 din 17.06.2016 </w:t>
            </w:r>
          </w:p>
          <w:p w14:paraId="00C631F9" w14:textId="77777777" w:rsidR="00EA5F7B" w:rsidRPr="009E5B39" w:rsidRDefault="00EA5F7B" w:rsidP="00EA5F7B">
            <w:pPr>
              <w:spacing w:after="0" w:line="240" w:lineRule="auto"/>
              <w:rPr>
                <w:rFonts w:asciiTheme="majorHAnsi" w:eastAsia="Calibri" w:hAnsiTheme="majorHAnsi" w:cstheme="majorHAnsi"/>
                <w:b/>
                <w:sz w:val="18"/>
                <w:szCs w:val="18"/>
                <w:lang w:val="ro-MD"/>
              </w:rPr>
            </w:pPr>
          </w:p>
        </w:tc>
        <w:tc>
          <w:tcPr>
            <w:tcW w:w="4958" w:type="dxa"/>
            <w:shd w:val="clear" w:color="auto" w:fill="auto"/>
          </w:tcPr>
          <w:p w14:paraId="4E77CA30"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i/>
                <w:sz w:val="18"/>
                <w:szCs w:val="18"/>
                <w:lang w:val="ro-MD"/>
              </w:rPr>
              <w:t>Art.11</w:t>
            </w:r>
            <w:r w:rsidRPr="009E5B39">
              <w:rPr>
                <w:rFonts w:asciiTheme="majorHAnsi" w:eastAsia="Calibri" w:hAnsiTheme="majorHAnsi" w:cstheme="majorHAnsi"/>
                <w:sz w:val="18"/>
                <w:szCs w:val="18"/>
                <w:lang w:val="ro-MD"/>
              </w:rPr>
              <w:t xml:space="preserve"> stipulează că se interzise deținerea de către entitate a activelor cu orice titlu, înregistrarea surselor de proveniență a acestora și a faptelor economice fără documentarea și reflectarea acestora în contabilitate. Documentele primare se întocmesc în timpul efectuării (producerii) faptelor economice, iar dacă acest lucru este imposibil – nemijlocit după efectuarea (producerea) faptelor respective. </w:t>
            </w:r>
          </w:p>
          <w:p w14:paraId="64947E22"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sz w:val="18"/>
                <w:szCs w:val="18"/>
                <w:lang w:val="ro-MD"/>
              </w:rPr>
            </w:pPr>
          </w:p>
          <w:p w14:paraId="2FB7DCD5"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i/>
                <w:sz w:val="18"/>
                <w:szCs w:val="18"/>
                <w:lang w:val="ro-MD"/>
              </w:rPr>
            </w:pPr>
            <w:r w:rsidRPr="009E5B39">
              <w:rPr>
                <w:rFonts w:asciiTheme="majorHAnsi" w:eastAsia="Calibri" w:hAnsiTheme="majorHAnsi" w:cstheme="majorHAnsi"/>
                <w:b/>
                <w:sz w:val="18"/>
                <w:szCs w:val="18"/>
                <w:lang w:val="ro-MD"/>
              </w:rPr>
              <w:t>pct.24</w:t>
            </w:r>
            <w:r w:rsidRPr="009E5B39">
              <w:rPr>
                <w:rFonts w:asciiTheme="majorHAnsi" w:eastAsia="Calibri" w:hAnsiTheme="majorHAnsi" w:cstheme="majorHAnsi"/>
                <w:sz w:val="18"/>
                <w:szCs w:val="18"/>
                <w:lang w:val="ro-MD"/>
              </w:rPr>
              <w:t xml:space="preserve"> prevede că </w:t>
            </w:r>
            <w:r w:rsidRPr="009E5B39">
              <w:rPr>
                <w:rFonts w:asciiTheme="majorHAnsi" w:eastAsia="Calibri" w:hAnsiTheme="majorHAnsi" w:cstheme="majorHAnsi"/>
                <w:i/>
                <w:sz w:val="18"/>
                <w:szCs w:val="18"/>
                <w:lang w:val="ro-MD"/>
              </w:rPr>
              <w:t>stocurile obținute în urma ieșirii/reparației activelor imobilizante și obiectelor de mică valoare și scurtă durată, precum și deșeurile recuperabile se evaluează la valoarea justă și se contabilizează ca majorare a stocurilor și diminuare a imobilizărilor corporale, stocurilor, costurilor activităților de bază și/sau auxiliare, majorare a veniturilor curente, etc.</w:t>
            </w:r>
          </w:p>
          <w:p w14:paraId="3B9FA23C"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sz w:val="18"/>
                <w:szCs w:val="18"/>
                <w:lang w:val="ro-MD"/>
              </w:rPr>
            </w:pPr>
          </w:p>
          <w:p w14:paraId="761F9CE1"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sz w:val="18"/>
                <w:szCs w:val="18"/>
                <w:lang w:val="ro-MD"/>
              </w:rPr>
              <w:t>Art.11</w:t>
            </w:r>
            <w:r w:rsidRPr="009E5B39">
              <w:rPr>
                <w:rFonts w:asciiTheme="majorHAnsi" w:eastAsia="Calibri" w:hAnsiTheme="majorHAnsi" w:cstheme="majorHAnsi"/>
                <w:sz w:val="18"/>
                <w:szCs w:val="18"/>
                <w:lang w:val="ro-MD"/>
              </w:rPr>
              <w:t xml:space="preserve"> parcurile, scuarurile, grădinile publice și alte spații verzi, ale administrației publice locale și terenurile aferente acestora, sunt bunurile domeniului public al UAT</w:t>
            </w:r>
          </w:p>
          <w:p w14:paraId="35D24FB6"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sz w:val="18"/>
                <w:szCs w:val="18"/>
                <w:lang w:val="ro-MD"/>
              </w:rPr>
            </w:pPr>
          </w:p>
          <w:p w14:paraId="6048C937"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sz w:val="18"/>
                <w:szCs w:val="18"/>
                <w:lang w:val="ro-MD"/>
              </w:rPr>
              <w:t>Art.15</w:t>
            </w:r>
            <w:r w:rsidRPr="009E5B39">
              <w:rPr>
                <w:rFonts w:asciiTheme="majorHAnsi" w:eastAsia="Calibri" w:hAnsiTheme="majorHAnsi" w:cstheme="majorHAnsi"/>
                <w:sz w:val="18"/>
                <w:szCs w:val="18"/>
                <w:lang w:val="ro-MD"/>
              </w:rPr>
              <w:t xml:space="preserve"> prevede că de atribuțiile de bază ale primarului general ține și de a dispune, în teritoriul orașului Chișinău, asupra tăierii, defrișării arborilor și arbuștilor din spațiile verzi proprietate publică a municipiului.</w:t>
            </w:r>
          </w:p>
        </w:tc>
        <w:tc>
          <w:tcPr>
            <w:tcW w:w="1846" w:type="dxa"/>
            <w:shd w:val="clear" w:color="auto" w:fill="auto"/>
          </w:tcPr>
          <w:p w14:paraId="635C237C" w14:textId="0A1E4D6E" w:rsidR="00EA5F7B" w:rsidRPr="009E5B39" w:rsidRDefault="00EA5F7B" w:rsidP="00EA5F7B">
            <w:pPr>
              <w:spacing w:after="0" w:line="240" w:lineRule="auto"/>
              <w:jc w:val="both"/>
              <w:rPr>
                <w:rFonts w:asciiTheme="majorHAnsi" w:eastAsia="Calibri" w:hAnsiTheme="majorHAnsi" w:cstheme="majorHAnsi"/>
                <w:i/>
                <w:sz w:val="18"/>
                <w:szCs w:val="18"/>
                <w:lang w:val="ro-MD"/>
              </w:rPr>
            </w:pPr>
            <w:r w:rsidRPr="009E5B39">
              <w:rPr>
                <w:rFonts w:asciiTheme="majorHAnsi" w:eastAsia="Calibri" w:hAnsiTheme="majorHAnsi" w:cstheme="majorHAnsi"/>
                <w:i/>
                <w:sz w:val="18"/>
                <w:szCs w:val="18"/>
                <w:lang w:val="ro-MD"/>
              </w:rPr>
              <w:t>2.5. Evaluarea și evidența materialelor obținute în urma demontării/defrișării</w:t>
            </w:r>
            <w:r w:rsidR="0063186B" w:rsidRPr="009E5B39">
              <w:rPr>
                <w:rFonts w:asciiTheme="majorHAnsi" w:eastAsia="Calibri" w:hAnsiTheme="majorHAnsi" w:cstheme="majorHAnsi"/>
                <w:i/>
                <w:sz w:val="18"/>
                <w:szCs w:val="18"/>
                <w:lang w:val="ro-MD"/>
              </w:rPr>
              <w:t>,</w:t>
            </w:r>
            <w:r w:rsidRPr="009E5B39">
              <w:rPr>
                <w:rFonts w:asciiTheme="majorHAnsi" w:eastAsia="Calibri" w:hAnsiTheme="majorHAnsi" w:cstheme="majorHAnsi"/>
                <w:i/>
                <w:sz w:val="18"/>
                <w:szCs w:val="18"/>
                <w:lang w:val="ro-MD"/>
              </w:rPr>
              <w:t xml:space="preserve"> care mai pot fi utilizate</w:t>
            </w:r>
          </w:p>
        </w:tc>
      </w:tr>
      <w:tr w:rsidR="00EA5F7B" w:rsidRPr="009E5B39" w14:paraId="61A2B63A" w14:textId="77777777" w:rsidTr="00EA5F7B">
        <w:trPr>
          <w:trHeight w:val="248"/>
          <w:jc w:val="center"/>
        </w:trPr>
        <w:tc>
          <w:tcPr>
            <w:tcW w:w="743" w:type="dxa"/>
            <w:shd w:val="clear" w:color="auto" w:fill="auto"/>
          </w:tcPr>
          <w:p w14:paraId="4B970806" w14:textId="77777777" w:rsidR="00EA5F7B" w:rsidRPr="009E5B39" w:rsidRDefault="00EA5F7B" w:rsidP="00EA5F7B">
            <w:pPr>
              <w:spacing w:after="0" w:line="240" w:lineRule="auto"/>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7.</w:t>
            </w:r>
          </w:p>
        </w:tc>
        <w:tc>
          <w:tcPr>
            <w:tcW w:w="2796" w:type="dxa"/>
            <w:shd w:val="clear" w:color="auto" w:fill="auto"/>
          </w:tcPr>
          <w:p w14:paraId="7C1BBDBF" w14:textId="56A97D50" w:rsidR="00EA5F7B" w:rsidRPr="009E5B39" w:rsidRDefault="00EA5F7B" w:rsidP="00EA5F7B">
            <w:pPr>
              <w:spacing w:after="0" w:line="240" w:lineRule="auto"/>
              <w:rPr>
                <w:rFonts w:asciiTheme="majorHAnsi" w:eastAsia="Calibri" w:hAnsiTheme="majorHAnsi" w:cstheme="majorHAnsi"/>
                <w:b/>
                <w:bCs/>
                <w:iCs/>
                <w:sz w:val="18"/>
                <w:szCs w:val="18"/>
                <w:lang w:val="ro-MD"/>
              </w:rPr>
            </w:pPr>
            <w:r w:rsidRPr="009E5B39">
              <w:rPr>
                <w:rFonts w:asciiTheme="majorHAnsi" w:eastAsia="Calibri" w:hAnsiTheme="majorHAnsi" w:cstheme="majorHAnsi"/>
                <w:b/>
                <w:bCs/>
                <w:iCs/>
                <w:sz w:val="18"/>
                <w:szCs w:val="18"/>
                <w:lang w:val="ro-MD"/>
              </w:rPr>
              <w:t xml:space="preserve">Legea </w:t>
            </w:r>
            <w:r w:rsidR="0063186B" w:rsidRPr="009E5B39">
              <w:rPr>
                <w:rFonts w:asciiTheme="majorHAnsi" w:eastAsia="Calibri" w:hAnsiTheme="majorHAnsi" w:cstheme="majorHAnsi"/>
                <w:b/>
                <w:bCs/>
                <w:iCs/>
                <w:sz w:val="18"/>
                <w:szCs w:val="18"/>
                <w:lang w:val="ro-MD"/>
              </w:rPr>
              <w:t xml:space="preserve">privind achizițiile </w:t>
            </w:r>
            <w:r w:rsidR="00587F1F" w:rsidRPr="009E5B39">
              <w:rPr>
                <w:rFonts w:asciiTheme="majorHAnsi" w:eastAsia="Calibri" w:hAnsiTheme="majorHAnsi" w:cstheme="majorHAnsi"/>
                <w:b/>
                <w:bCs/>
                <w:iCs/>
                <w:sz w:val="18"/>
                <w:szCs w:val="18"/>
                <w:lang w:val="ro-MD"/>
              </w:rPr>
              <w:t xml:space="preserve">publice </w:t>
            </w:r>
            <w:r w:rsidRPr="009E5B39">
              <w:rPr>
                <w:rFonts w:asciiTheme="majorHAnsi" w:eastAsia="Calibri" w:hAnsiTheme="majorHAnsi" w:cstheme="majorHAnsi"/>
                <w:b/>
                <w:bCs/>
                <w:iCs/>
                <w:sz w:val="18"/>
                <w:szCs w:val="18"/>
                <w:lang w:val="ro-MD"/>
              </w:rPr>
              <w:t xml:space="preserve">nr. 131 din 03.07.2015 </w:t>
            </w:r>
          </w:p>
          <w:p w14:paraId="4F4B33FC" w14:textId="77777777" w:rsidR="00EA5F7B" w:rsidRPr="009E5B39" w:rsidRDefault="00EA5F7B" w:rsidP="00EA5F7B">
            <w:pPr>
              <w:spacing w:after="0" w:line="240" w:lineRule="auto"/>
              <w:rPr>
                <w:rFonts w:asciiTheme="majorHAnsi" w:eastAsia="Calibri" w:hAnsiTheme="majorHAnsi" w:cstheme="majorHAnsi"/>
                <w:b/>
                <w:bCs/>
                <w:iCs/>
                <w:sz w:val="18"/>
                <w:szCs w:val="18"/>
                <w:lang w:val="ro-MD"/>
              </w:rPr>
            </w:pPr>
          </w:p>
          <w:p w14:paraId="13161E18" w14:textId="77777777" w:rsidR="00EA5F7B" w:rsidRPr="009E5B39" w:rsidRDefault="00EA5F7B" w:rsidP="00EA5F7B">
            <w:pPr>
              <w:spacing w:after="0" w:line="240" w:lineRule="auto"/>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Hotărârea Guvernului nr.667 din 26.05.2016 „Pentru aprobarea Regulamentului cu privire la activitatea grupului de lucru pentru achiziții”</w:t>
            </w:r>
          </w:p>
          <w:p w14:paraId="528D4680" w14:textId="77777777" w:rsidR="00EA5F7B" w:rsidRPr="009E5B39" w:rsidRDefault="00EA5F7B" w:rsidP="00EA5F7B">
            <w:pPr>
              <w:spacing w:after="0" w:line="240" w:lineRule="auto"/>
              <w:rPr>
                <w:rFonts w:asciiTheme="majorHAnsi" w:eastAsia="Calibri" w:hAnsiTheme="majorHAnsi" w:cstheme="majorHAnsi"/>
                <w:b/>
                <w:sz w:val="18"/>
                <w:szCs w:val="18"/>
                <w:lang w:val="ro-MD"/>
              </w:rPr>
            </w:pPr>
          </w:p>
          <w:p w14:paraId="0E97F881" w14:textId="5735C074" w:rsidR="00EA5F7B" w:rsidRPr="009E5B39" w:rsidRDefault="00EA5F7B" w:rsidP="00EA5F7B">
            <w:pPr>
              <w:spacing w:after="0" w:line="240" w:lineRule="auto"/>
              <w:rPr>
                <w:rFonts w:asciiTheme="majorHAnsi" w:eastAsia="Calibri" w:hAnsiTheme="majorHAnsi" w:cstheme="majorHAnsi"/>
                <w:b/>
                <w:sz w:val="18"/>
                <w:szCs w:val="18"/>
                <w:lang w:val="ro-MD"/>
              </w:rPr>
            </w:pPr>
          </w:p>
          <w:p w14:paraId="77252D86" w14:textId="3F394393" w:rsidR="00EA5F7B" w:rsidRPr="009E5B39" w:rsidRDefault="00EA5F7B" w:rsidP="00EA5F7B">
            <w:pPr>
              <w:spacing w:after="0" w:line="240" w:lineRule="auto"/>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Hotăr</w:t>
            </w:r>
            <w:r w:rsidR="0063186B" w:rsidRPr="009E5B39">
              <w:rPr>
                <w:rFonts w:asciiTheme="majorHAnsi" w:eastAsia="Calibri" w:hAnsiTheme="majorHAnsi" w:cstheme="majorHAnsi"/>
                <w:b/>
                <w:sz w:val="18"/>
                <w:szCs w:val="18"/>
                <w:lang w:val="ro-MD"/>
              </w:rPr>
              <w:t>â</w:t>
            </w:r>
            <w:r w:rsidRPr="009E5B39">
              <w:rPr>
                <w:rFonts w:asciiTheme="majorHAnsi" w:eastAsia="Calibri" w:hAnsiTheme="majorHAnsi" w:cstheme="majorHAnsi"/>
                <w:b/>
                <w:sz w:val="18"/>
                <w:szCs w:val="18"/>
                <w:lang w:val="ro-MD"/>
              </w:rPr>
              <w:t>rea Guvernului nr.1419 din 28.12.2016 „Pentru aprobarea Regulamentului cu privire la modul de planificare a contractelor de achiziții publice”</w:t>
            </w:r>
          </w:p>
        </w:tc>
        <w:tc>
          <w:tcPr>
            <w:tcW w:w="4958" w:type="dxa"/>
            <w:shd w:val="clear" w:color="auto" w:fill="auto"/>
          </w:tcPr>
          <w:p w14:paraId="68506484"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lang w:val="ro-MD"/>
              </w:rPr>
            </w:pPr>
            <w:r w:rsidRPr="009E5B39">
              <w:rPr>
                <w:rFonts w:asciiTheme="majorHAnsi" w:eastAsia="Calibri" w:hAnsiTheme="majorHAnsi" w:cstheme="majorHAnsi"/>
                <w:color w:val="333333"/>
                <w:sz w:val="18"/>
                <w:szCs w:val="18"/>
                <w:lang w:val="ro-MD"/>
              </w:rPr>
              <w:t>Reglementează modalitatea de organizare și desfășurare a procedurilor de achiziții publice.</w:t>
            </w:r>
          </w:p>
          <w:p w14:paraId="6F2CF916"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lang w:val="ro-MD"/>
              </w:rPr>
            </w:pPr>
          </w:p>
          <w:p w14:paraId="2B5CB8BB" w14:textId="52F89D52"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lang w:val="ro-MD"/>
              </w:rPr>
            </w:pPr>
            <w:r w:rsidRPr="009E5B39">
              <w:rPr>
                <w:rFonts w:asciiTheme="majorHAnsi" w:eastAsia="Calibri" w:hAnsiTheme="majorHAnsi" w:cstheme="majorHAnsi"/>
                <w:color w:val="333333"/>
                <w:sz w:val="18"/>
                <w:szCs w:val="18"/>
                <w:lang w:val="ro-MD"/>
              </w:rPr>
              <w:t xml:space="preserve">Stabilește funcțiile, obligațiile și drepturile grupului de lucru pentru achiziții; modul de creare și activitate a acestuia. Grupul de lucru reprezintă un grup de </w:t>
            </w:r>
            <w:r w:rsidR="00DF18D8" w:rsidRPr="009E5B39">
              <w:rPr>
                <w:rFonts w:asciiTheme="majorHAnsi" w:eastAsia="Calibri" w:hAnsiTheme="majorHAnsi" w:cstheme="majorHAnsi"/>
                <w:color w:val="333333"/>
                <w:sz w:val="18"/>
                <w:szCs w:val="18"/>
                <w:lang w:val="ro-MD"/>
              </w:rPr>
              <w:t>specialiști</w:t>
            </w:r>
            <w:r w:rsidRPr="009E5B39">
              <w:rPr>
                <w:rFonts w:asciiTheme="majorHAnsi" w:eastAsia="Calibri" w:hAnsiTheme="majorHAnsi" w:cstheme="majorHAnsi"/>
                <w:color w:val="333333"/>
                <w:sz w:val="18"/>
                <w:szCs w:val="18"/>
                <w:lang w:val="ro-MD"/>
              </w:rPr>
              <w:t xml:space="preserve"> în cadrul </w:t>
            </w:r>
            <w:r w:rsidR="00DF18D8" w:rsidRPr="009E5B39">
              <w:rPr>
                <w:rFonts w:asciiTheme="majorHAnsi" w:eastAsia="Calibri" w:hAnsiTheme="majorHAnsi" w:cstheme="majorHAnsi"/>
                <w:color w:val="333333"/>
                <w:sz w:val="18"/>
                <w:szCs w:val="18"/>
                <w:lang w:val="ro-MD"/>
              </w:rPr>
              <w:t>autorității</w:t>
            </w:r>
            <w:r w:rsidRPr="009E5B39">
              <w:rPr>
                <w:rFonts w:asciiTheme="majorHAnsi" w:eastAsia="Calibri" w:hAnsiTheme="majorHAnsi" w:cstheme="majorHAnsi"/>
                <w:color w:val="333333"/>
                <w:sz w:val="18"/>
                <w:szCs w:val="18"/>
                <w:lang w:val="ro-MD"/>
              </w:rPr>
              <w:t xml:space="preserve"> contractante care </w:t>
            </w:r>
            <w:r w:rsidR="00DF18D8" w:rsidRPr="009E5B39">
              <w:rPr>
                <w:rFonts w:asciiTheme="majorHAnsi" w:eastAsia="Calibri" w:hAnsiTheme="majorHAnsi" w:cstheme="majorHAnsi"/>
                <w:color w:val="333333"/>
                <w:sz w:val="18"/>
                <w:szCs w:val="18"/>
                <w:lang w:val="ro-MD"/>
              </w:rPr>
              <w:t>inițiază</w:t>
            </w:r>
            <w:r w:rsidRPr="009E5B39">
              <w:rPr>
                <w:rFonts w:asciiTheme="majorHAnsi" w:eastAsia="Calibri" w:hAnsiTheme="majorHAnsi" w:cstheme="majorHAnsi"/>
                <w:color w:val="333333"/>
                <w:sz w:val="18"/>
                <w:szCs w:val="18"/>
                <w:lang w:val="ro-MD"/>
              </w:rPr>
              <w:t xml:space="preserve"> </w:t>
            </w:r>
            <w:r w:rsidR="00DF18D8" w:rsidRPr="009E5B39">
              <w:rPr>
                <w:rFonts w:asciiTheme="majorHAnsi" w:eastAsia="Calibri" w:hAnsiTheme="majorHAnsi" w:cstheme="majorHAnsi"/>
                <w:color w:val="333333"/>
                <w:sz w:val="18"/>
                <w:szCs w:val="18"/>
                <w:lang w:val="ro-MD"/>
              </w:rPr>
              <w:t>și</w:t>
            </w:r>
            <w:r w:rsidRPr="009E5B39">
              <w:rPr>
                <w:rFonts w:asciiTheme="majorHAnsi" w:eastAsia="Calibri" w:hAnsiTheme="majorHAnsi" w:cstheme="majorHAnsi"/>
                <w:color w:val="333333"/>
                <w:sz w:val="18"/>
                <w:szCs w:val="18"/>
                <w:lang w:val="ro-MD"/>
              </w:rPr>
              <w:t xml:space="preserve"> </w:t>
            </w:r>
            <w:r w:rsidR="00DF18D8" w:rsidRPr="009E5B39">
              <w:rPr>
                <w:rFonts w:asciiTheme="majorHAnsi" w:eastAsia="Calibri" w:hAnsiTheme="majorHAnsi" w:cstheme="majorHAnsi"/>
                <w:color w:val="333333"/>
                <w:sz w:val="18"/>
                <w:szCs w:val="18"/>
                <w:lang w:val="ro-MD"/>
              </w:rPr>
              <w:t>desfășoară</w:t>
            </w:r>
            <w:r w:rsidRPr="009E5B39">
              <w:rPr>
                <w:rFonts w:asciiTheme="majorHAnsi" w:eastAsia="Calibri" w:hAnsiTheme="majorHAnsi" w:cstheme="majorHAnsi"/>
                <w:color w:val="333333"/>
                <w:sz w:val="18"/>
                <w:szCs w:val="18"/>
                <w:lang w:val="ro-MD"/>
              </w:rPr>
              <w:t xml:space="preserve"> proceduri de </w:t>
            </w:r>
            <w:r w:rsidR="00DF18D8" w:rsidRPr="009E5B39">
              <w:rPr>
                <w:rFonts w:asciiTheme="majorHAnsi" w:eastAsia="Calibri" w:hAnsiTheme="majorHAnsi" w:cstheme="majorHAnsi"/>
                <w:color w:val="333333"/>
                <w:sz w:val="18"/>
                <w:szCs w:val="18"/>
                <w:lang w:val="ro-MD"/>
              </w:rPr>
              <w:t>achiziție</w:t>
            </w:r>
            <w:r w:rsidRPr="009E5B39">
              <w:rPr>
                <w:rFonts w:asciiTheme="majorHAnsi" w:eastAsia="Calibri" w:hAnsiTheme="majorHAnsi" w:cstheme="majorHAnsi"/>
                <w:color w:val="333333"/>
                <w:sz w:val="18"/>
                <w:szCs w:val="18"/>
                <w:lang w:val="ro-MD"/>
              </w:rPr>
              <w:t xml:space="preserve"> publică pentru satisfacerea </w:t>
            </w:r>
            <w:r w:rsidR="00DF18D8" w:rsidRPr="009E5B39">
              <w:rPr>
                <w:rFonts w:asciiTheme="majorHAnsi" w:eastAsia="Calibri" w:hAnsiTheme="majorHAnsi" w:cstheme="majorHAnsi"/>
                <w:color w:val="333333"/>
                <w:sz w:val="18"/>
                <w:szCs w:val="18"/>
                <w:lang w:val="ro-MD"/>
              </w:rPr>
              <w:t>necesităților</w:t>
            </w:r>
            <w:r w:rsidRPr="009E5B39">
              <w:rPr>
                <w:rFonts w:asciiTheme="majorHAnsi" w:eastAsia="Calibri" w:hAnsiTheme="majorHAnsi" w:cstheme="majorHAnsi"/>
                <w:color w:val="333333"/>
                <w:sz w:val="18"/>
                <w:szCs w:val="18"/>
                <w:lang w:val="ro-MD"/>
              </w:rPr>
              <w:t xml:space="preserve"> </w:t>
            </w:r>
            <w:r w:rsidR="00DF18D8" w:rsidRPr="009E5B39">
              <w:rPr>
                <w:rFonts w:asciiTheme="majorHAnsi" w:eastAsia="Calibri" w:hAnsiTheme="majorHAnsi" w:cstheme="majorHAnsi"/>
                <w:color w:val="333333"/>
                <w:sz w:val="18"/>
                <w:szCs w:val="18"/>
                <w:lang w:val="ro-MD"/>
              </w:rPr>
              <w:t>autorității</w:t>
            </w:r>
            <w:r w:rsidRPr="009E5B39">
              <w:rPr>
                <w:rFonts w:asciiTheme="majorHAnsi" w:eastAsia="Calibri" w:hAnsiTheme="majorHAnsi" w:cstheme="majorHAnsi"/>
                <w:color w:val="333333"/>
                <w:sz w:val="18"/>
                <w:szCs w:val="18"/>
                <w:lang w:val="ro-MD"/>
              </w:rPr>
              <w:t xml:space="preserve"> contractante sau </w:t>
            </w:r>
            <w:r w:rsidR="00DF18D8" w:rsidRPr="009E5B39">
              <w:rPr>
                <w:rFonts w:asciiTheme="majorHAnsi" w:eastAsia="Calibri" w:hAnsiTheme="majorHAnsi" w:cstheme="majorHAnsi"/>
                <w:color w:val="333333"/>
                <w:sz w:val="18"/>
                <w:szCs w:val="18"/>
                <w:lang w:val="ro-MD"/>
              </w:rPr>
              <w:t>asociației</w:t>
            </w:r>
            <w:r w:rsidRPr="009E5B39">
              <w:rPr>
                <w:rFonts w:asciiTheme="majorHAnsi" w:eastAsia="Calibri" w:hAnsiTheme="majorHAnsi" w:cstheme="majorHAnsi"/>
                <w:color w:val="333333"/>
                <w:sz w:val="18"/>
                <w:szCs w:val="18"/>
                <w:lang w:val="ro-MD"/>
              </w:rPr>
              <w:t xml:space="preserve"> de </w:t>
            </w:r>
            <w:r w:rsidR="00DF18D8" w:rsidRPr="009E5B39">
              <w:rPr>
                <w:rFonts w:asciiTheme="majorHAnsi" w:eastAsia="Calibri" w:hAnsiTheme="majorHAnsi" w:cstheme="majorHAnsi"/>
                <w:color w:val="333333"/>
                <w:sz w:val="18"/>
                <w:szCs w:val="18"/>
                <w:lang w:val="ro-MD"/>
              </w:rPr>
              <w:t>autorități</w:t>
            </w:r>
            <w:r w:rsidRPr="009E5B39">
              <w:rPr>
                <w:rFonts w:asciiTheme="majorHAnsi" w:eastAsia="Calibri" w:hAnsiTheme="majorHAnsi" w:cstheme="majorHAnsi"/>
                <w:color w:val="333333"/>
                <w:sz w:val="18"/>
                <w:szCs w:val="18"/>
                <w:lang w:val="ro-MD"/>
              </w:rPr>
              <w:t xml:space="preserve"> contractante.</w:t>
            </w:r>
          </w:p>
          <w:p w14:paraId="1F279B9A" w14:textId="77777777"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lang w:val="ro-MD"/>
              </w:rPr>
            </w:pPr>
          </w:p>
          <w:p w14:paraId="4D89293A" w14:textId="41C33B2C"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color w:val="333333"/>
                <w:sz w:val="18"/>
                <w:szCs w:val="18"/>
                <w:lang w:val="ro-MD"/>
              </w:rPr>
            </w:pPr>
            <w:r w:rsidRPr="009E5B39">
              <w:rPr>
                <w:rFonts w:asciiTheme="majorHAnsi" w:eastAsia="Calibri" w:hAnsiTheme="majorHAnsi" w:cstheme="majorHAnsi"/>
                <w:color w:val="333333"/>
                <w:sz w:val="18"/>
                <w:szCs w:val="18"/>
                <w:lang w:val="ro-MD"/>
              </w:rPr>
              <w:t xml:space="preserve">Stabilește modul de planificare a contractelor de achiziții publice. Pentru satisfacerea </w:t>
            </w:r>
            <w:r w:rsidR="00DF18D8" w:rsidRPr="009E5B39">
              <w:rPr>
                <w:rFonts w:asciiTheme="majorHAnsi" w:eastAsia="Calibri" w:hAnsiTheme="majorHAnsi" w:cstheme="majorHAnsi"/>
                <w:color w:val="333333"/>
                <w:sz w:val="18"/>
                <w:szCs w:val="18"/>
                <w:lang w:val="ro-MD"/>
              </w:rPr>
              <w:t>necesităților</w:t>
            </w:r>
            <w:r w:rsidRPr="009E5B39">
              <w:rPr>
                <w:rFonts w:asciiTheme="majorHAnsi" w:eastAsia="Calibri" w:hAnsiTheme="majorHAnsi" w:cstheme="majorHAnsi"/>
                <w:color w:val="333333"/>
                <w:sz w:val="18"/>
                <w:szCs w:val="18"/>
                <w:lang w:val="ro-MD"/>
              </w:rPr>
              <w:t xml:space="preserve"> de bunuri, lucrări </w:t>
            </w:r>
            <w:r w:rsidR="00DF18D8" w:rsidRPr="009E5B39">
              <w:rPr>
                <w:rFonts w:asciiTheme="majorHAnsi" w:eastAsia="Calibri" w:hAnsiTheme="majorHAnsi" w:cstheme="majorHAnsi"/>
                <w:color w:val="333333"/>
                <w:sz w:val="18"/>
                <w:szCs w:val="18"/>
                <w:lang w:val="ro-MD"/>
              </w:rPr>
              <w:t>și</w:t>
            </w:r>
            <w:r w:rsidRPr="009E5B39">
              <w:rPr>
                <w:rFonts w:asciiTheme="majorHAnsi" w:eastAsia="Calibri" w:hAnsiTheme="majorHAnsi" w:cstheme="majorHAnsi"/>
                <w:color w:val="333333"/>
                <w:sz w:val="18"/>
                <w:szCs w:val="18"/>
                <w:lang w:val="ro-MD"/>
              </w:rPr>
              <w:t xml:space="preserve"> servicii, autoritatea contractantă este obligată să planifice contracte de </w:t>
            </w:r>
            <w:r w:rsidR="00DF18D8" w:rsidRPr="009E5B39">
              <w:rPr>
                <w:rFonts w:asciiTheme="majorHAnsi" w:eastAsia="Calibri" w:hAnsiTheme="majorHAnsi" w:cstheme="majorHAnsi"/>
                <w:color w:val="333333"/>
                <w:sz w:val="18"/>
                <w:szCs w:val="18"/>
                <w:lang w:val="ro-MD"/>
              </w:rPr>
              <w:t>achiziții</w:t>
            </w:r>
            <w:r w:rsidRPr="009E5B39">
              <w:rPr>
                <w:rFonts w:asciiTheme="majorHAnsi" w:eastAsia="Calibri" w:hAnsiTheme="majorHAnsi" w:cstheme="majorHAnsi"/>
                <w:color w:val="333333"/>
                <w:sz w:val="18"/>
                <w:szCs w:val="18"/>
                <w:lang w:val="ro-MD"/>
              </w:rPr>
              <w:t xml:space="preserve"> publice, care urmează a fi încheiate ca rezultat al </w:t>
            </w:r>
            <w:r w:rsidR="00DF18D8" w:rsidRPr="009E5B39">
              <w:rPr>
                <w:rFonts w:asciiTheme="majorHAnsi" w:eastAsia="Calibri" w:hAnsiTheme="majorHAnsi" w:cstheme="majorHAnsi"/>
                <w:color w:val="333333"/>
                <w:sz w:val="18"/>
                <w:szCs w:val="18"/>
                <w:lang w:val="ro-MD"/>
              </w:rPr>
              <w:t>desfășurării</w:t>
            </w:r>
            <w:r w:rsidRPr="009E5B39">
              <w:rPr>
                <w:rFonts w:asciiTheme="majorHAnsi" w:eastAsia="Calibri" w:hAnsiTheme="majorHAnsi" w:cstheme="majorHAnsi"/>
                <w:color w:val="333333"/>
                <w:sz w:val="18"/>
                <w:szCs w:val="18"/>
                <w:lang w:val="ro-MD"/>
              </w:rPr>
              <w:t xml:space="preserve"> procedurilor de </w:t>
            </w:r>
            <w:r w:rsidR="00DF18D8" w:rsidRPr="009E5B39">
              <w:rPr>
                <w:rFonts w:asciiTheme="majorHAnsi" w:eastAsia="Calibri" w:hAnsiTheme="majorHAnsi" w:cstheme="majorHAnsi"/>
                <w:color w:val="333333"/>
                <w:sz w:val="18"/>
                <w:szCs w:val="18"/>
                <w:lang w:val="ro-MD"/>
              </w:rPr>
              <w:t>achiziție</w:t>
            </w:r>
            <w:r w:rsidRPr="009E5B39">
              <w:rPr>
                <w:rFonts w:asciiTheme="majorHAnsi" w:eastAsia="Calibri" w:hAnsiTheme="majorHAnsi" w:cstheme="majorHAnsi"/>
                <w:color w:val="333333"/>
                <w:sz w:val="18"/>
                <w:szCs w:val="18"/>
                <w:lang w:val="ro-MD"/>
              </w:rPr>
              <w:t xml:space="preserve"> publică, cu respectarea principiilor asigurării </w:t>
            </w:r>
            <w:r w:rsidR="00DF18D8" w:rsidRPr="009E5B39">
              <w:rPr>
                <w:rFonts w:asciiTheme="majorHAnsi" w:eastAsia="Calibri" w:hAnsiTheme="majorHAnsi" w:cstheme="majorHAnsi"/>
                <w:color w:val="333333"/>
                <w:sz w:val="18"/>
                <w:szCs w:val="18"/>
                <w:lang w:val="ro-MD"/>
              </w:rPr>
              <w:t>concurenței</w:t>
            </w:r>
            <w:r w:rsidRPr="009E5B39">
              <w:rPr>
                <w:rFonts w:asciiTheme="majorHAnsi" w:eastAsia="Calibri" w:hAnsiTheme="majorHAnsi" w:cstheme="majorHAnsi"/>
                <w:color w:val="333333"/>
                <w:sz w:val="18"/>
                <w:szCs w:val="18"/>
                <w:lang w:val="ro-MD"/>
              </w:rPr>
              <w:t xml:space="preserve">, </w:t>
            </w:r>
            <w:r w:rsidR="00DF18D8" w:rsidRPr="009E5B39">
              <w:rPr>
                <w:rFonts w:asciiTheme="majorHAnsi" w:eastAsia="Calibri" w:hAnsiTheme="majorHAnsi" w:cstheme="majorHAnsi"/>
                <w:color w:val="333333"/>
                <w:sz w:val="18"/>
                <w:szCs w:val="18"/>
                <w:lang w:val="ro-MD"/>
              </w:rPr>
              <w:t>eficienței</w:t>
            </w:r>
            <w:r w:rsidRPr="009E5B39">
              <w:rPr>
                <w:rFonts w:asciiTheme="majorHAnsi" w:eastAsia="Calibri" w:hAnsiTheme="majorHAnsi" w:cstheme="majorHAnsi"/>
                <w:color w:val="333333"/>
                <w:sz w:val="18"/>
                <w:szCs w:val="18"/>
                <w:lang w:val="ro-MD"/>
              </w:rPr>
              <w:t xml:space="preserve">, </w:t>
            </w:r>
            <w:r w:rsidR="00DF18D8" w:rsidRPr="009E5B39">
              <w:rPr>
                <w:rFonts w:asciiTheme="majorHAnsi" w:eastAsia="Calibri" w:hAnsiTheme="majorHAnsi" w:cstheme="majorHAnsi"/>
                <w:color w:val="333333"/>
                <w:sz w:val="18"/>
                <w:szCs w:val="18"/>
                <w:lang w:val="ro-MD"/>
              </w:rPr>
              <w:t>transparenței</w:t>
            </w:r>
            <w:r w:rsidRPr="009E5B39">
              <w:rPr>
                <w:rFonts w:asciiTheme="majorHAnsi" w:eastAsia="Calibri" w:hAnsiTheme="majorHAnsi" w:cstheme="majorHAnsi"/>
                <w:color w:val="333333"/>
                <w:sz w:val="18"/>
                <w:szCs w:val="18"/>
                <w:lang w:val="ro-MD"/>
              </w:rPr>
              <w:t xml:space="preserve">, tratamentului egal, nediscriminării </w:t>
            </w:r>
            <w:r w:rsidR="00DF18D8" w:rsidRPr="009E5B39">
              <w:rPr>
                <w:rFonts w:asciiTheme="majorHAnsi" w:eastAsia="Calibri" w:hAnsiTheme="majorHAnsi" w:cstheme="majorHAnsi"/>
                <w:color w:val="333333"/>
                <w:sz w:val="18"/>
                <w:szCs w:val="18"/>
                <w:lang w:val="ro-MD"/>
              </w:rPr>
              <w:t>și</w:t>
            </w:r>
            <w:r w:rsidRPr="009E5B39">
              <w:rPr>
                <w:rFonts w:asciiTheme="majorHAnsi" w:eastAsia="Calibri" w:hAnsiTheme="majorHAnsi" w:cstheme="majorHAnsi"/>
                <w:color w:val="333333"/>
                <w:sz w:val="18"/>
                <w:szCs w:val="18"/>
                <w:lang w:val="ro-MD"/>
              </w:rPr>
              <w:t xml:space="preserve"> nedivizării acestora.       Planificare a contractelor de </w:t>
            </w:r>
            <w:r w:rsidR="00DF18D8" w:rsidRPr="009E5B39">
              <w:rPr>
                <w:rFonts w:asciiTheme="majorHAnsi" w:eastAsia="Calibri" w:hAnsiTheme="majorHAnsi" w:cstheme="majorHAnsi"/>
                <w:color w:val="333333"/>
                <w:sz w:val="18"/>
                <w:szCs w:val="18"/>
                <w:lang w:val="ro-MD"/>
              </w:rPr>
              <w:t>achiziții</w:t>
            </w:r>
            <w:r w:rsidRPr="009E5B39">
              <w:rPr>
                <w:rFonts w:asciiTheme="majorHAnsi" w:eastAsia="Calibri" w:hAnsiTheme="majorHAnsi" w:cstheme="majorHAnsi"/>
                <w:color w:val="333333"/>
                <w:sz w:val="18"/>
                <w:szCs w:val="18"/>
                <w:lang w:val="ro-MD"/>
              </w:rPr>
              <w:t xml:space="preserve"> publice reprezintă identificare a contractelor de </w:t>
            </w:r>
            <w:r w:rsidR="00DF18D8" w:rsidRPr="009E5B39">
              <w:rPr>
                <w:rFonts w:asciiTheme="majorHAnsi" w:eastAsia="Calibri" w:hAnsiTheme="majorHAnsi" w:cstheme="majorHAnsi"/>
                <w:color w:val="333333"/>
                <w:sz w:val="18"/>
                <w:szCs w:val="18"/>
                <w:lang w:val="ro-MD"/>
              </w:rPr>
              <w:t>achiziții</w:t>
            </w:r>
            <w:r w:rsidRPr="009E5B39">
              <w:rPr>
                <w:rFonts w:asciiTheme="majorHAnsi" w:eastAsia="Calibri" w:hAnsiTheme="majorHAnsi" w:cstheme="majorHAnsi"/>
                <w:color w:val="333333"/>
                <w:sz w:val="18"/>
                <w:szCs w:val="18"/>
                <w:lang w:val="ro-MD"/>
              </w:rPr>
              <w:t xml:space="preserve"> publice destinate satisfacerii </w:t>
            </w:r>
            <w:r w:rsidR="00DF18D8" w:rsidRPr="009E5B39">
              <w:rPr>
                <w:rFonts w:asciiTheme="majorHAnsi" w:eastAsia="Calibri" w:hAnsiTheme="majorHAnsi" w:cstheme="majorHAnsi"/>
                <w:color w:val="333333"/>
                <w:sz w:val="18"/>
                <w:szCs w:val="18"/>
                <w:lang w:val="ro-MD"/>
              </w:rPr>
              <w:t>necesităților</w:t>
            </w:r>
            <w:r w:rsidRPr="009E5B39">
              <w:rPr>
                <w:rFonts w:asciiTheme="majorHAnsi" w:eastAsia="Calibri" w:hAnsiTheme="majorHAnsi" w:cstheme="majorHAnsi"/>
                <w:color w:val="333333"/>
                <w:sz w:val="18"/>
                <w:szCs w:val="18"/>
                <w:lang w:val="ro-MD"/>
              </w:rPr>
              <w:t xml:space="preserve"> de bunuri, lucrări sau servicii pentru întreg anul bugetar, reflectate în planul de </w:t>
            </w:r>
            <w:r w:rsidR="00DF18D8" w:rsidRPr="009E5B39">
              <w:rPr>
                <w:rFonts w:asciiTheme="majorHAnsi" w:eastAsia="Calibri" w:hAnsiTheme="majorHAnsi" w:cstheme="majorHAnsi"/>
                <w:color w:val="333333"/>
                <w:sz w:val="18"/>
                <w:szCs w:val="18"/>
                <w:lang w:val="ro-MD"/>
              </w:rPr>
              <w:t>achiziții</w:t>
            </w:r>
            <w:r w:rsidRPr="009E5B39">
              <w:rPr>
                <w:rFonts w:asciiTheme="majorHAnsi" w:eastAsia="Calibri" w:hAnsiTheme="majorHAnsi" w:cstheme="majorHAnsi"/>
                <w:color w:val="333333"/>
                <w:sz w:val="18"/>
                <w:szCs w:val="18"/>
                <w:lang w:val="ro-MD"/>
              </w:rPr>
              <w:t xml:space="preserve"> al </w:t>
            </w:r>
            <w:r w:rsidR="00DF18D8" w:rsidRPr="009E5B39">
              <w:rPr>
                <w:rFonts w:asciiTheme="majorHAnsi" w:eastAsia="Calibri" w:hAnsiTheme="majorHAnsi" w:cstheme="majorHAnsi"/>
                <w:color w:val="333333"/>
                <w:sz w:val="18"/>
                <w:szCs w:val="18"/>
                <w:lang w:val="ro-MD"/>
              </w:rPr>
              <w:t>autorității</w:t>
            </w:r>
            <w:r w:rsidRPr="009E5B39">
              <w:rPr>
                <w:rFonts w:asciiTheme="majorHAnsi" w:eastAsia="Calibri" w:hAnsiTheme="majorHAnsi" w:cstheme="majorHAnsi"/>
                <w:color w:val="333333"/>
                <w:sz w:val="18"/>
                <w:szCs w:val="18"/>
                <w:lang w:val="ro-MD"/>
              </w:rPr>
              <w:t xml:space="preserve"> contractante.  </w:t>
            </w:r>
          </w:p>
        </w:tc>
        <w:tc>
          <w:tcPr>
            <w:tcW w:w="1846" w:type="dxa"/>
            <w:shd w:val="clear" w:color="auto" w:fill="auto"/>
          </w:tcPr>
          <w:p w14:paraId="21FF7E73" w14:textId="77777777" w:rsidR="00EA5F7B" w:rsidRPr="009E5B39" w:rsidRDefault="00EA5F7B" w:rsidP="00EA5F7B">
            <w:pPr>
              <w:spacing w:after="0" w:line="240" w:lineRule="auto"/>
              <w:jc w:val="both"/>
              <w:rPr>
                <w:rFonts w:asciiTheme="majorHAnsi" w:eastAsia="Calibri" w:hAnsiTheme="majorHAnsi" w:cstheme="majorHAnsi"/>
                <w:i/>
                <w:sz w:val="18"/>
                <w:szCs w:val="18"/>
                <w:lang w:val="ro-MD"/>
              </w:rPr>
            </w:pPr>
            <w:r w:rsidRPr="009E5B39">
              <w:rPr>
                <w:rFonts w:asciiTheme="majorHAnsi" w:eastAsia="Calibri" w:hAnsiTheme="majorHAnsi" w:cstheme="majorHAnsi"/>
                <w:i/>
                <w:sz w:val="18"/>
                <w:szCs w:val="18"/>
                <w:lang w:val="ro-MD"/>
              </w:rPr>
              <w:t>2.9.Reglementarea achizițiilor publice</w:t>
            </w:r>
          </w:p>
        </w:tc>
      </w:tr>
      <w:tr w:rsidR="00EA5F7B" w:rsidRPr="009E5B39" w14:paraId="1ECE4D9A" w14:textId="77777777" w:rsidTr="00EA5F7B">
        <w:trPr>
          <w:trHeight w:val="248"/>
          <w:jc w:val="center"/>
        </w:trPr>
        <w:tc>
          <w:tcPr>
            <w:tcW w:w="743" w:type="dxa"/>
            <w:shd w:val="clear" w:color="auto" w:fill="auto"/>
          </w:tcPr>
          <w:p w14:paraId="3A35AE9B" w14:textId="77777777" w:rsidR="00EA5F7B" w:rsidRPr="009E5B39" w:rsidRDefault="00EA5F7B" w:rsidP="00EA5F7B">
            <w:pPr>
              <w:spacing w:after="0" w:line="240" w:lineRule="auto"/>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8.</w:t>
            </w:r>
          </w:p>
        </w:tc>
        <w:tc>
          <w:tcPr>
            <w:tcW w:w="2796" w:type="dxa"/>
            <w:shd w:val="clear" w:color="auto" w:fill="auto"/>
          </w:tcPr>
          <w:p w14:paraId="38783A7D" w14:textId="6D384D0C" w:rsidR="00EA5F7B" w:rsidRPr="009E5B39" w:rsidRDefault="00EA5F7B" w:rsidP="00EA5F7B">
            <w:pPr>
              <w:autoSpaceDE w:val="0"/>
              <w:autoSpaceDN w:val="0"/>
              <w:adjustRightInd w:val="0"/>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63186B" w:rsidRPr="009E5B39">
              <w:rPr>
                <w:rFonts w:asciiTheme="majorHAnsi" w:eastAsia="Calibri" w:hAnsiTheme="majorHAnsi" w:cstheme="majorHAnsi"/>
                <w:b/>
                <w:sz w:val="18"/>
                <w:szCs w:val="18"/>
                <w:lang w:val="ro-MD"/>
              </w:rPr>
              <w:t xml:space="preserve">finanțelor publice și responsabilității bugetar-fiscale </w:t>
            </w:r>
            <w:r w:rsidRPr="009E5B39">
              <w:rPr>
                <w:rFonts w:asciiTheme="majorHAnsi" w:eastAsia="Calibri" w:hAnsiTheme="majorHAnsi" w:cstheme="majorHAnsi"/>
                <w:b/>
                <w:sz w:val="18"/>
                <w:szCs w:val="18"/>
                <w:lang w:val="ro-MD"/>
              </w:rPr>
              <w:t xml:space="preserve">nr.181 din 25.07.2014 </w:t>
            </w:r>
          </w:p>
          <w:p w14:paraId="7768A081"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p>
        </w:tc>
        <w:tc>
          <w:tcPr>
            <w:tcW w:w="4958" w:type="dxa"/>
            <w:shd w:val="clear" w:color="auto" w:fill="auto"/>
          </w:tcPr>
          <w:p w14:paraId="03E25F91" w14:textId="4CB193DC" w:rsidR="00EA5F7B" w:rsidRPr="009E5B39" w:rsidRDefault="00EA5F7B" w:rsidP="00EA5F7B">
            <w:pPr>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i/>
                <w:sz w:val="18"/>
                <w:szCs w:val="18"/>
                <w:lang w:val="ro-MD"/>
              </w:rPr>
              <w:t>Art.11</w:t>
            </w:r>
            <w:r w:rsidRPr="009E5B39">
              <w:rPr>
                <w:rFonts w:asciiTheme="majorHAnsi" w:eastAsia="Calibri" w:hAnsiTheme="majorHAnsi" w:cstheme="majorHAnsi"/>
                <w:sz w:val="18"/>
                <w:szCs w:val="18"/>
                <w:lang w:val="ro-MD"/>
              </w:rPr>
              <w:t xml:space="preserve"> prevede că </w:t>
            </w:r>
            <w:r w:rsidRPr="009E5B39">
              <w:rPr>
                <w:rFonts w:asciiTheme="majorHAnsi" w:eastAsia="Calibri" w:hAnsiTheme="majorHAnsi" w:cstheme="majorHAnsi"/>
                <w:color w:val="333333"/>
                <w:sz w:val="18"/>
                <w:szCs w:val="18"/>
                <w:shd w:val="clear" w:color="auto" w:fill="FFFFFF"/>
                <w:lang w:val="ro-MD"/>
              </w:rPr>
              <w:t xml:space="preserve">resursele bugetare se alocă </w:t>
            </w:r>
            <w:r w:rsidR="00DF18D8" w:rsidRPr="009E5B39">
              <w:rPr>
                <w:rFonts w:asciiTheme="majorHAnsi" w:eastAsia="Calibri" w:hAnsiTheme="majorHAnsi" w:cstheme="majorHAnsi"/>
                <w:color w:val="333333"/>
                <w:sz w:val="18"/>
                <w:szCs w:val="18"/>
                <w:shd w:val="clear" w:color="auto" w:fill="FFFFFF"/>
                <w:lang w:val="ro-MD"/>
              </w:rPr>
              <w:t>și</w:t>
            </w:r>
            <w:r w:rsidRPr="009E5B39">
              <w:rPr>
                <w:rFonts w:asciiTheme="majorHAnsi" w:eastAsia="Calibri" w:hAnsiTheme="majorHAnsi" w:cstheme="majorHAnsi"/>
                <w:color w:val="333333"/>
                <w:sz w:val="18"/>
                <w:szCs w:val="18"/>
                <w:shd w:val="clear" w:color="auto" w:fill="FFFFFF"/>
                <w:lang w:val="ro-MD"/>
              </w:rPr>
              <w:t xml:space="preserve"> se utilizează în mod econom, eficient </w:t>
            </w:r>
            <w:r w:rsidR="00DF18D8" w:rsidRPr="009E5B39">
              <w:rPr>
                <w:rFonts w:asciiTheme="majorHAnsi" w:eastAsia="Calibri" w:hAnsiTheme="majorHAnsi" w:cstheme="majorHAnsi"/>
                <w:color w:val="333333"/>
                <w:sz w:val="18"/>
                <w:szCs w:val="18"/>
                <w:shd w:val="clear" w:color="auto" w:fill="FFFFFF"/>
                <w:lang w:val="ro-MD"/>
              </w:rPr>
              <w:t>și</w:t>
            </w:r>
            <w:r w:rsidRPr="009E5B39">
              <w:rPr>
                <w:rFonts w:asciiTheme="majorHAnsi" w:eastAsia="Calibri" w:hAnsiTheme="majorHAnsi" w:cstheme="majorHAnsi"/>
                <w:color w:val="333333"/>
                <w:sz w:val="18"/>
                <w:szCs w:val="18"/>
                <w:shd w:val="clear" w:color="auto" w:fill="FFFFFF"/>
                <w:lang w:val="ro-MD"/>
              </w:rPr>
              <w:t xml:space="preserve"> eficace, în </w:t>
            </w:r>
            <w:r w:rsidR="00DF18D8" w:rsidRPr="009E5B39">
              <w:rPr>
                <w:rFonts w:asciiTheme="majorHAnsi" w:eastAsia="Calibri" w:hAnsiTheme="majorHAnsi" w:cstheme="majorHAnsi"/>
                <w:color w:val="333333"/>
                <w:sz w:val="18"/>
                <w:szCs w:val="18"/>
                <w:shd w:val="clear" w:color="auto" w:fill="FFFFFF"/>
                <w:lang w:val="ro-MD"/>
              </w:rPr>
              <w:t>concordanță</w:t>
            </w:r>
            <w:r w:rsidRPr="009E5B39">
              <w:rPr>
                <w:rFonts w:asciiTheme="majorHAnsi" w:eastAsia="Calibri" w:hAnsiTheme="majorHAnsi" w:cstheme="majorHAnsi"/>
                <w:color w:val="333333"/>
                <w:sz w:val="18"/>
                <w:szCs w:val="18"/>
                <w:shd w:val="clear" w:color="auto" w:fill="FFFFFF"/>
                <w:lang w:val="ro-MD"/>
              </w:rPr>
              <w:t xml:space="preserve"> cu principiile bunei guvernări. Bugetele se elaborează </w:t>
            </w:r>
            <w:r w:rsidR="00DF18D8" w:rsidRPr="009E5B39">
              <w:rPr>
                <w:rFonts w:asciiTheme="majorHAnsi" w:eastAsia="Calibri" w:hAnsiTheme="majorHAnsi" w:cstheme="majorHAnsi"/>
                <w:color w:val="333333"/>
                <w:sz w:val="18"/>
                <w:szCs w:val="18"/>
                <w:shd w:val="clear" w:color="auto" w:fill="FFFFFF"/>
                <w:lang w:val="ro-MD"/>
              </w:rPr>
              <w:t>și</w:t>
            </w:r>
            <w:r w:rsidRPr="009E5B39">
              <w:rPr>
                <w:rFonts w:asciiTheme="majorHAnsi" w:eastAsia="Calibri" w:hAnsiTheme="majorHAnsi" w:cstheme="majorHAnsi"/>
                <w:color w:val="333333"/>
                <w:sz w:val="18"/>
                <w:szCs w:val="18"/>
                <w:shd w:val="clear" w:color="auto" w:fill="FFFFFF"/>
                <w:lang w:val="ro-MD"/>
              </w:rPr>
              <w:t xml:space="preserve"> se raportează pe programe fundamentate pe </w:t>
            </w:r>
            <w:r w:rsidR="00DF18D8" w:rsidRPr="009E5B39">
              <w:rPr>
                <w:rFonts w:asciiTheme="majorHAnsi" w:eastAsia="Calibri" w:hAnsiTheme="majorHAnsi" w:cstheme="majorHAnsi"/>
                <w:color w:val="333333"/>
                <w:sz w:val="18"/>
                <w:szCs w:val="18"/>
                <w:shd w:val="clear" w:color="auto" w:fill="FFFFFF"/>
                <w:lang w:val="ro-MD"/>
              </w:rPr>
              <w:t>performanță</w:t>
            </w:r>
            <w:r w:rsidRPr="009E5B39">
              <w:rPr>
                <w:rFonts w:asciiTheme="majorHAnsi" w:eastAsia="Calibri" w:hAnsiTheme="majorHAnsi" w:cstheme="majorHAnsi"/>
                <w:color w:val="333333"/>
                <w:sz w:val="18"/>
                <w:szCs w:val="18"/>
                <w:shd w:val="clear" w:color="auto" w:fill="FFFFFF"/>
                <w:lang w:val="ro-MD"/>
              </w:rPr>
              <w:t>.</w:t>
            </w:r>
          </w:p>
        </w:tc>
        <w:tc>
          <w:tcPr>
            <w:tcW w:w="1846" w:type="dxa"/>
            <w:shd w:val="clear" w:color="auto" w:fill="auto"/>
          </w:tcPr>
          <w:p w14:paraId="1E78E3F7" w14:textId="77777777" w:rsidR="00EA5F7B" w:rsidRPr="009E5B39" w:rsidRDefault="00EA5F7B" w:rsidP="00EA5F7B">
            <w:pPr>
              <w:spacing w:after="0" w:line="240" w:lineRule="auto"/>
              <w:rPr>
                <w:rFonts w:asciiTheme="majorHAnsi" w:eastAsia="Calibri" w:hAnsiTheme="majorHAnsi" w:cstheme="majorHAnsi"/>
                <w:b/>
                <w:sz w:val="18"/>
                <w:szCs w:val="18"/>
                <w:lang w:val="ro-MD"/>
              </w:rPr>
            </w:pPr>
            <w:r w:rsidRPr="009E5B39">
              <w:rPr>
                <w:rFonts w:asciiTheme="majorHAnsi" w:eastAsia="Calibri" w:hAnsiTheme="majorHAnsi" w:cstheme="majorHAnsi"/>
                <w:sz w:val="18"/>
                <w:szCs w:val="18"/>
                <w:lang w:val="ro-MD"/>
              </w:rPr>
              <w:t>2.10. Planificarea și executarea cheltuielilor pentru sistemele de supraveghere video în locurile publice</w:t>
            </w:r>
          </w:p>
        </w:tc>
      </w:tr>
      <w:tr w:rsidR="00EA5F7B" w:rsidRPr="009E5B39" w14:paraId="28912A05" w14:textId="77777777" w:rsidTr="00EA5F7B">
        <w:trPr>
          <w:trHeight w:val="802"/>
          <w:jc w:val="center"/>
        </w:trPr>
        <w:tc>
          <w:tcPr>
            <w:tcW w:w="743" w:type="dxa"/>
            <w:shd w:val="clear" w:color="auto" w:fill="auto"/>
          </w:tcPr>
          <w:p w14:paraId="6B83E2BC" w14:textId="77777777" w:rsidR="00EA5F7B" w:rsidRPr="009E5B39" w:rsidRDefault="00EA5F7B" w:rsidP="00EA5F7B">
            <w:pPr>
              <w:spacing w:after="0" w:line="240" w:lineRule="auto"/>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9.</w:t>
            </w:r>
          </w:p>
        </w:tc>
        <w:tc>
          <w:tcPr>
            <w:tcW w:w="2796" w:type="dxa"/>
            <w:shd w:val="clear" w:color="auto" w:fill="auto"/>
          </w:tcPr>
          <w:p w14:paraId="3D9E45AD" w14:textId="7A24863F" w:rsidR="00EA5F7B" w:rsidRPr="009E5B39" w:rsidRDefault="00EA5F7B">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Legea nr.218 din 24.10.2008 „Codul contravențional al Republicii Moldova”</w:t>
            </w:r>
          </w:p>
        </w:tc>
        <w:tc>
          <w:tcPr>
            <w:tcW w:w="4958" w:type="dxa"/>
            <w:shd w:val="clear" w:color="auto" w:fill="auto"/>
          </w:tcPr>
          <w:p w14:paraId="7BE3CF97"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Cs/>
                <w:sz w:val="18"/>
                <w:szCs w:val="18"/>
                <w:lang w:val="ro-MD"/>
              </w:rPr>
              <w:t xml:space="preserve">Prevede competențele APL, precum și stipulează modalitatea de  evacuare a unei unități de comerț, pentru care este necesar inițierea procedurii administrative și un șir de acțiuni: </w:t>
            </w:r>
            <w:r w:rsidRPr="009E5B39">
              <w:rPr>
                <w:rFonts w:asciiTheme="majorHAnsi" w:eastAsia="Calibri" w:hAnsiTheme="majorHAnsi" w:cstheme="majorHAnsi"/>
                <w:b/>
                <w:bCs/>
                <w:i/>
                <w:sz w:val="18"/>
                <w:szCs w:val="18"/>
                <w:lang w:val="ro-MD"/>
              </w:rPr>
              <w:t>i)</w:t>
            </w:r>
            <w:r w:rsidRPr="009E5B39">
              <w:rPr>
                <w:rFonts w:asciiTheme="majorHAnsi" w:eastAsia="Calibri" w:hAnsiTheme="majorHAnsi" w:cstheme="majorHAnsi"/>
                <w:bCs/>
                <w:sz w:val="18"/>
                <w:szCs w:val="18"/>
                <w:lang w:val="ro-MD"/>
              </w:rPr>
              <w:t xml:space="preserve"> înștiințarea participanților referitor la inițierea procedurii administrative; </w:t>
            </w:r>
            <w:r w:rsidRPr="009E5B39">
              <w:rPr>
                <w:rFonts w:asciiTheme="majorHAnsi" w:eastAsia="Calibri" w:hAnsiTheme="majorHAnsi" w:cstheme="majorHAnsi"/>
                <w:b/>
                <w:bCs/>
                <w:i/>
                <w:sz w:val="18"/>
                <w:szCs w:val="18"/>
                <w:lang w:val="ro-MD"/>
              </w:rPr>
              <w:t>ii)</w:t>
            </w:r>
            <w:r w:rsidRPr="009E5B39">
              <w:rPr>
                <w:rFonts w:asciiTheme="majorHAnsi" w:eastAsia="Calibri" w:hAnsiTheme="majorHAnsi" w:cstheme="majorHAnsi"/>
                <w:bCs/>
                <w:sz w:val="18"/>
                <w:szCs w:val="18"/>
                <w:lang w:val="ro-MD"/>
              </w:rPr>
              <w:t xml:space="preserve"> citarea contravientului; </w:t>
            </w:r>
            <w:r w:rsidRPr="009E5B39">
              <w:rPr>
                <w:rFonts w:asciiTheme="majorHAnsi" w:eastAsia="Calibri" w:hAnsiTheme="majorHAnsi" w:cstheme="majorHAnsi"/>
                <w:b/>
                <w:bCs/>
                <w:i/>
                <w:sz w:val="18"/>
                <w:szCs w:val="18"/>
                <w:lang w:val="ro-MD"/>
              </w:rPr>
              <w:t>iii)</w:t>
            </w:r>
            <w:r w:rsidRPr="009E5B39">
              <w:rPr>
                <w:rFonts w:asciiTheme="majorHAnsi" w:eastAsia="Calibri" w:hAnsiTheme="majorHAnsi" w:cstheme="majorHAnsi"/>
                <w:bCs/>
                <w:sz w:val="18"/>
                <w:szCs w:val="18"/>
                <w:lang w:val="ro-MD"/>
              </w:rPr>
              <w:t xml:space="preserve"> întocmirea procesului verbal al ședinței administrative; </w:t>
            </w:r>
            <w:r w:rsidRPr="009E5B39">
              <w:rPr>
                <w:rFonts w:asciiTheme="majorHAnsi" w:eastAsia="Calibri" w:hAnsiTheme="majorHAnsi" w:cstheme="majorHAnsi"/>
                <w:b/>
                <w:bCs/>
                <w:i/>
                <w:sz w:val="18"/>
                <w:szCs w:val="18"/>
                <w:lang w:val="ro-MD"/>
              </w:rPr>
              <w:t xml:space="preserve">iv) </w:t>
            </w:r>
            <w:r w:rsidRPr="009E5B39">
              <w:rPr>
                <w:rFonts w:asciiTheme="majorHAnsi" w:eastAsia="Calibri" w:hAnsiTheme="majorHAnsi" w:cstheme="majorHAnsi"/>
                <w:bCs/>
                <w:sz w:val="18"/>
                <w:szCs w:val="18"/>
                <w:lang w:val="ro-MD"/>
              </w:rPr>
              <w:t>cercetarea la fața locului, etc.</w:t>
            </w:r>
          </w:p>
        </w:tc>
        <w:tc>
          <w:tcPr>
            <w:tcW w:w="1846" w:type="dxa"/>
            <w:shd w:val="clear" w:color="auto" w:fill="auto"/>
          </w:tcPr>
          <w:p w14:paraId="6D9FDA93"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2.11. Evacuarea/demolarea construcțiilor neautorizate</w:t>
            </w:r>
          </w:p>
        </w:tc>
      </w:tr>
      <w:tr w:rsidR="00EA5F7B" w:rsidRPr="009E5B39" w14:paraId="37F6368E" w14:textId="77777777" w:rsidTr="00EA5F7B">
        <w:trPr>
          <w:trHeight w:val="248"/>
          <w:jc w:val="center"/>
        </w:trPr>
        <w:tc>
          <w:tcPr>
            <w:tcW w:w="743" w:type="dxa"/>
            <w:shd w:val="clear" w:color="auto" w:fill="auto"/>
          </w:tcPr>
          <w:p w14:paraId="6405DBF4" w14:textId="77777777" w:rsidR="00EA5F7B" w:rsidRPr="009E5B39" w:rsidRDefault="00EA5F7B" w:rsidP="00EA5F7B">
            <w:pPr>
              <w:spacing w:after="0" w:line="240" w:lineRule="auto"/>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10.</w:t>
            </w:r>
          </w:p>
        </w:tc>
        <w:tc>
          <w:tcPr>
            <w:tcW w:w="2796" w:type="dxa"/>
            <w:shd w:val="clear" w:color="auto" w:fill="auto"/>
          </w:tcPr>
          <w:p w14:paraId="4FD40D2F" w14:textId="3251BD60" w:rsidR="00EA5F7B" w:rsidRPr="009E5B39" w:rsidRDefault="00EA5F7B" w:rsidP="00EA5F7B">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4D0F0D" w:rsidRPr="009E5B39">
              <w:rPr>
                <w:rFonts w:asciiTheme="majorHAnsi" w:eastAsia="Calibri" w:hAnsiTheme="majorHAnsi" w:cstheme="majorHAnsi"/>
                <w:b/>
                <w:sz w:val="18"/>
                <w:szCs w:val="18"/>
                <w:lang w:val="ro-MD"/>
              </w:rPr>
              <w:t xml:space="preserve">privind administrarea și deetatizarea proprietății publice </w:t>
            </w:r>
            <w:r w:rsidRPr="009E5B39">
              <w:rPr>
                <w:rFonts w:asciiTheme="majorHAnsi" w:eastAsia="Calibri" w:hAnsiTheme="majorHAnsi" w:cstheme="majorHAnsi"/>
                <w:b/>
                <w:sz w:val="18"/>
                <w:szCs w:val="18"/>
                <w:lang w:val="ro-MD"/>
              </w:rPr>
              <w:t xml:space="preserve">nr.121 din 04.05.2007 </w:t>
            </w:r>
          </w:p>
          <w:p w14:paraId="150AB358"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568F06B1"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48009854" w14:textId="590DD8CB" w:rsidR="00EA5F7B" w:rsidRPr="009E5B39" w:rsidRDefault="00EA5F7B" w:rsidP="00EA5F7B">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Legea</w:t>
            </w:r>
            <w:r w:rsidR="004D0F0D" w:rsidRPr="009E5B39">
              <w:rPr>
                <w:rFonts w:asciiTheme="majorHAnsi" w:eastAsia="Calibri" w:hAnsiTheme="majorHAnsi" w:cstheme="majorHAnsi"/>
                <w:b/>
                <w:sz w:val="18"/>
                <w:szCs w:val="18"/>
                <w:lang w:val="ro-MD"/>
              </w:rPr>
              <w:t xml:space="preserve"> cu privire la comerțul interior</w:t>
            </w:r>
            <w:r w:rsidRPr="009E5B39">
              <w:rPr>
                <w:rFonts w:asciiTheme="majorHAnsi" w:eastAsia="Calibri" w:hAnsiTheme="majorHAnsi" w:cstheme="majorHAnsi"/>
                <w:b/>
                <w:sz w:val="18"/>
                <w:szCs w:val="18"/>
                <w:lang w:val="ro-MD"/>
              </w:rPr>
              <w:t xml:space="preserve"> nr.231/2010 </w:t>
            </w:r>
          </w:p>
          <w:p w14:paraId="59E0BB29"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1D78FC46"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58581954" w14:textId="7DD6D552" w:rsidR="004D0F0D" w:rsidRPr="009E5B39" w:rsidRDefault="00EA5F7B" w:rsidP="004D0F0D">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4D0F0D" w:rsidRPr="009E5B39">
              <w:rPr>
                <w:rFonts w:asciiTheme="majorHAnsi" w:eastAsia="Calibri" w:hAnsiTheme="majorHAnsi" w:cstheme="majorHAnsi"/>
                <w:b/>
                <w:sz w:val="18"/>
                <w:szCs w:val="18"/>
                <w:lang w:val="ro-MD"/>
              </w:rPr>
              <w:t>privind prețul normativ și modul de vânzare-cumpărare a pământului</w:t>
            </w:r>
          </w:p>
          <w:p w14:paraId="5DEB4045" w14:textId="663F1A4B" w:rsidR="00EA5F7B" w:rsidRPr="009E5B39" w:rsidRDefault="00EA5F7B" w:rsidP="00EA5F7B">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nr.1308 din 02.04.2013 </w:t>
            </w:r>
          </w:p>
          <w:p w14:paraId="250D879C"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13183EC5"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242CCFE7"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66309D91"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7219BCE8"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60710C70"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6BF6FDC6"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7D729401"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2FA4ECF7"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65238A48"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1F7CE218"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14FA88D0"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6A5F6216"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6842CD9E"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65D70841"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056487FF"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7CC20811"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27F4B71A" w14:textId="6E2B981F" w:rsidR="004D0F0D" w:rsidRPr="009E5B39" w:rsidRDefault="00EA5F7B" w:rsidP="004D0F0D">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4D0F0D" w:rsidRPr="009E5B39">
              <w:rPr>
                <w:rFonts w:asciiTheme="majorHAnsi" w:eastAsia="Calibri" w:hAnsiTheme="majorHAnsi" w:cstheme="majorHAnsi"/>
                <w:b/>
                <w:sz w:val="18"/>
                <w:szCs w:val="18"/>
                <w:lang w:val="ro-MD"/>
              </w:rPr>
              <w:t>privind administrația publică locală</w:t>
            </w:r>
          </w:p>
          <w:p w14:paraId="694E100E" w14:textId="35C2CEE2" w:rsidR="00EA5F7B" w:rsidRPr="009E5B39" w:rsidRDefault="00EA5F7B" w:rsidP="00EA5F7B">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nr. 436 din 28.12.2006 </w:t>
            </w:r>
          </w:p>
          <w:p w14:paraId="72CAD056"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53FF9C75" w14:textId="7C07BC2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10222666" w14:textId="2576F28E" w:rsidR="00EA5F7B" w:rsidRPr="009E5B39" w:rsidRDefault="00EA5F7B" w:rsidP="00EA5F7B">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Hotăr</w:t>
            </w:r>
            <w:r w:rsidR="004D0F0D" w:rsidRPr="009E5B39">
              <w:rPr>
                <w:rFonts w:asciiTheme="majorHAnsi" w:eastAsia="Calibri" w:hAnsiTheme="majorHAnsi" w:cstheme="majorHAnsi"/>
                <w:b/>
                <w:sz w:val="18"/>
                <w:szCs w:val="18"/>
                <w:lang w:val="ro-MD"/>
              </w:rPr>
              <w:t>â</w:t>
            </w:r>
            <w:r w:rsidRPr="009E5B39">
              <w:rPr>
                <w:rFonts w:asciiTheme="majorHAnsi" w:eastAsia="Calibri" w:hAnsiTheme="majorHAnsi" w:cstheme="majorHAnsi"/>
                <w:b/>
                <w:sz w:val="18"/>
                <w:szCs w:val="18"/>
                <w:lang w:val="ro-MD"/>
              </w:rPr>
              <w:t>rea Guvernului  nr.683 din 18.06.2004 „</w:t>
            </w:r>
            <w:r w:rsidR="004D0F0D" w:rsidRPr="009E5B39">
              <w:rPr>
                <w:rFonts w:asciiTheme="majorHAnsi" w:eastAsia="Calibri" w:hAnsiTheme="majorHAnsi" w:cstheme="majorHAnsi"/>
                <w:b/>
                <w:sz w:val="18"/>
                <w:szCs w:val="18"/>
                <w:lang w:val="ro-MD"/>
              </w:rPr>
              <w:t>D</w:t>
            </w:r>
            <w:r w:rsidRPr="009E5B39">
              <w:rPr>
                <w:rFonts w:asciiTheme="majorHAnsi" w:eastAsia="Calibri" w:hAnsiTheme="majorHAnsi" w:cstheme="majorHAnsi"/>
                <w:b/>
                <w:sz w:val="18"/>
                <w:szCs w:val="18"/>
                <w:lang w:val="ro-MD"/>
              </w:rPr>
              <w:t>espre aprobarea Regulamentului privind modul de transmitere a rețelelor de gaze întreprinderilor de gaze ale Societății pe acțiuni „Moldovagaz” la deservire tehnică”</w:t>
            </w:r>
          </w:p>
          <w:p w14:paraId="0927CE21" w14:textId="77777777"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571B8EDF" w14:textId="1DE08F62" w:rsidR="00EA5F7B" w:rsidRPr="009E5B39" w:rsidRDefault="004D0F0D">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cadastrului bunurilor imobile </w:t>
            </w:r>
            <w:r w:rsidR="00EA5F7B" w:rsidRPr="009E5B39">
              <w:rPr>
                <w:rFonts w:asciiTheme="majorHAnsi" w:eastAsia="Calibri" w:hAnsiTheme="majorHAnsi" w:cstheme="majorHAnsi"/>
                <w:b/>
                <w:sz w:val="18"/>
                <w:szCs w:val="18"/>
                <w:lang w:val="ro-MD"/>
              </w:rPr>
              <w:t xml:space="preserve">nr.1543 din 25.02.1998 </w:t>
            </w:r>
          </w:p>
        </w:tc>
        <w:tc>
          <w:tcPr>
            <w:tcW w:w="4958" w:type="dxa"/>
            <w:shd w:val="clear" w:color="auto" w:fill="auto"/>
          </w:tcPr>
          <w:p w14:paraId="5744D468" w14:textId="58B12E94" w:rsidR="00EA5F7B" w:rsidRPr="009E5B39" w:rsidRDefault="00EA5F7B" w:rsidP="00EA5F7B">
            <w:pPr>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 xml:space="preserve">Reglementează raporturile ce țin de administrarea și deetatizarea proprietății publice; atribuțiile autorităților administrației   </w:t>
            </w:r>
            <w:r w:rsidRPr="009E5B39">
              <w:rPr>
                <w:rFonts w:asciiTheme="majorHAnsi" w:eastAsia="Calibri" w:hAnsiTheme="majorHAnsi" w:cstheme="majorHAnsi"/>
                <w:color w:val="333333"/>
                <w:sz w:val="18"/>
                <w:szCs w:val="18"/>
                <w:shd w:val="clear" w:color="auto" w:fill="FFFFFF"/>
                <w:lang w:val="ro-MD"/>
              </w:rPr>
              <w:t xml:space="preserve">publice locale în administrarea </w:t>
            </w:r>
            <w:r w:rsidR="00DF18D8" w:rsidRPr="009E5B39">
              <w:rPr>
                <w:rFonts w:asciiTheme="majorHAnsi" w:eastAsia="Calibri" w:hAnsiTheme="majorHAnsi" w:cstheme="majorHAnsi"/>
                <w:color w:val="333333"/>
                <w:sz w:val="18"/>
                <w:szCs w:val="18"/>
                <w:shd w:val="clear" w:color="auto" w:fill="FFFFFF"/>
                <w:lang w:val="ro-MD"/>
              </w:rPr>
              <w:t>și</w:t>
            </w:r>
            <w:r w:rsidRPr="009E5B39">
              <w:rPr>
                <w:rFonts w:asciiTheme="majorHAnsi" w:eastAsia="Calibri" w:hAnsiTheme="majorHAnsi" w:cstheme="majorHAnsi"/>
                <w:color w:val="333333"/>
                <w:sz w:val="18"/>
                <w:szCs w:val="18"/>
                <w:shd w:val="clear" w:color="auto" w:fill="FFFFFF"/>
                <w:lang w:val="ro-MD"/>
              </w:rPr>
              <w:t xml:space="preserve"> deetatizarea </w:t>
            </w:r>
            <w:r w:rsidR="00DF18D8" w:rsidRPr="009E5B39">
              <w:rPr>
                <w:rFonts w:asciiTheme="majorHAnsi" w:eastAsia="Calibri" w:hAnsiTheme="majorHAnsi" w:cstheme="majorHAnsi"/>
                <w:color w:val="333333"/>
                <w:sz w:val="18"/>
                <w:szCs w:val="18"/>
                <w:shd w:val="clear" w:color="auto" w:fill="FFFFFF"/>
                <w:lang w:val="ro-MD"/>
              </w:rPr>
              <w:t>proprietății</w:t>
            </w:r>
            <w:r w:rsidRPr="009E5B39">
              <w:rPr>
                <w:rFonts w:asciiTheme="majorHAnsi" w:eastAsia="Calibri" w:hAnsiTheme="majorHAnsi" w:cstheme="majorHAnsi"/>
                <w:color w:val="333333"/>
                <w:sz w:val="18"/>
                <w:szCs w:val="18"/>
                <w:shd w:val="clear" w:color="auto" w:fill="FFFFFF"/>
                <w:lang w:val="ro-MD"/>
              </w:rPr>
              <w:t xml:space="preserve"> publice</w:t>
            </w:r>
            <w:r w:rsidRPr="009E5B39">
              <w:rPr>
                <w:rFonts w:asciiTheme="majorHAnsi" w:eastAsia="Calibri" w:hAnsiTheme="majorHAnsi" w:cstheme="majorHAnsi"/>
                <w:sz w:val="18"/>
                <w:szCs w:val="18"/>
                <w:lang w:val="ro-MD"/>
              </w:rPr>
              <w:t xml:space="preserve">; </w:t>
            </w:r>
            <w:r w:rsidRPr="009E5B39">
              <w:rPr>
                <w:rFonts w:asciiTheme="majorHAnsi" w:eastAsia="Calibri" w:hAnsiTheme="majorHAnsi" w:cstheme="majorHAnsi"/>
                <w:color w:val="333333"/>
                <w:sz w:val="18"/>
                <w:szCs w:val="18"/>
                <w:shd w:val="clear" w:color="auto" w:fill="FFFFFF"/>
                <w:lang w:val="ro-MD"/>
              </w:rPr>
              <w:t>regimul juridic al bunurilor proprietate publică, etc.</w:t>
            </w:r>
          </w:p>
          <w:p w14:paraId="069579FE"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p>
          <w:p w14:paraId="2F75C171"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sz w:val="18"/>
                <w:szCs w:val="18"/>
                <w:lang w:val="ro-MD"/>
              </w:rPr>
              <w:t>Art.14 și atr.16</w:t>
            </w:r>
            <w:r w:rsidRPr="009E5B39">
              <w:rPr>
                <w:rFonts w:asciiTheme="majorHAnsi" w:eastAsia="Calibri" w:hAnsiTheme="majorHAnsi" w:cstheme="majorHAnsi"/>
                <w:sz w:val="18"/>
                <w:szCs w:val="18"/>
                <w:lang w:val="ro-MD"/>
              </w:rPr>
              <w:t xml:space="preserve"> reglementează modalitatea de acceptare a notificărilor privind inițierea activității de comerț, depuse de către agenții economici și cazurile de refuz a recepționării NIAC.</w:t>
            </w:r>
          </w:p>
          <w:p w14:paraId="538AE06B"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p>
          <w:p w14:paraId="11D056F2" w14:textId="77777777" w:rsidR="00EA5F7B" w:rsidRPr="009E5B39" w:rsidRDefault="00EA5F7B" w:rsidP="00EA5F7B">
            <w:pPr>
              <w:spacing w:after="0" w:line="240" w:lineRule="auto"/>
              <w:ind w:right="-1"/>
              <w:jc w:val="both"/>
              <w:rPr>
                <w:rFonts w:asciiTheme="majorHAnsi" w:hAnsiTheme="majorHAnsi" w:cstheme="majorHAnsi"/>
                <w:sz w:val="18"/>
                <w:szCs w:val="18"/>
                <w:lang w:val="ro-MD"/>
              </w:rPr>
            </w:pPr>
            <w:r w:rsidRPr="009E5B39">
              <w:rPr>
                <w:rFonts w:asciiTheme="majorHAnsi" w:hAnsiTheme="majorHAnsi" w:cstheme="majorHAnsi"/>
                <w:b/>
                <w:sz w:val="18"/>
                <w:szCs w:val="18"/>
                <w:lang w:val="ro-MD"/>
              </w:rPr>
              <w:t>Art.3 alin.(2) și art.4 alin. (2) și alin.(5) lit. b)</w:t>
            </w:r>
            <w:r w:rsidRPr="009E5B39">
              <w:rPr>
                <w:rFonts w:asciiTheme="majorHAnsi" w:hAnsiTheme="majorHAnsi" w:cstheme="majorHAnsi"/>
                <w:sz w:val="18"/>
                <w:szCs w:val="18"/>
                <w:lang w:val="ro-MD"/>
              </w:rPr>
              <w:t xml:space="preserve"> prevede că </w:t>
            </w:r>
            <w:r w:rsidRPr="009E5B39">
              <w:rPr>
                <w:rFonts w:asciiTheme="majorHAnsi" w:hAnsiTheme="majorHAnsi" w:cstheme="majorHAnsi"/>
                <w:i/>
                <w:sz w:val="18"/>
                <w:szCs w:val="18"/>
                <w:lang w:val="ro-MD"/>
              </w:rPr>
              <w:t xml:space="preserve">vânzarea-cumpărarea pământului se efectuează prin contractul de vânzare-cumpărare la preț normativ, prin concurs sau la licitație; </w:t>
            </w:r>
            <w:r w:rsidRPr="009E5B39">
              <w:rPr>
                <w:rFonts w:asciiTheme="majorHAnsi" w:eastAsia="Times New Roman" w:hAnsiTheme="majorHAnsi" w:cstheme="majorHAnsi"/>
                <w:i/>
                <w:sz w:val="18"/>
                <w:szCs w:val="18"/>
                <w:lang w:val="ro-MD"/>
              </w:rPr>
              <w:t xml:space="preserve">vânzarea-cumpărarea terenurilor din domeniul privat al unităților administrativ-teritoriale se efectuează de către autoritățile administrației publice locale la decizia consiliului respectiv. Vânzătorul soluționează toate problemele referitoare la construcțiile, instalațiile inginerești, plantațiile multianuale și la alte bunuri imobile amplasate pe aceste terenuri; vânzarea-cumpărarea terenurilor proprietate publică se efectuează astfel: a) cumpărătorul (persoană fizică sau persoană juridică) depune la primăria municipiului, orașului, satului (comunei) o cerere de cumpărare a terenului; b) </w:t>
            </w:r>
            <w:r w:rsidRPr="009E5B39">
              <w:rPr>
                <w:rFonts w:asciiTheme="majorHAnsi" w:eastAsia="Times New Roman" w:hAnsiTheme="majorHAnsi" w:cstheme="majorHAnsi"/>
                <w:b/>
                <w:i/>
                <w:sz w:val="18"/>
                <w:szCs w:val="18"/>
                <w:lang w:val="ro-MD"/>
              </w:rPr>
              <w:t>primarul municipiului</w:t>
            </w:r>
            <w:r w:rsidRPr="009E5B39">
              <w:rPr>
                <w:rFonts w:asciiTheme="majorHAnsi" w:eastAsia="Times New Roman" w:hAnsiTheme="majorHAnsi" w:cstheme="majorHAnsi"/>
                <w:i/>
                <w:sz w:val="18"/>
                <w:szCs w:val="18"/>
                <w:lang w:val="ro-MD"/>
              </w:rPr>
              <w:t xml:space="preserve">, orașului, satului (comunei), în baza deciziei consiliului aprobă planul geometric al terenului, elaborat în modul stabilit de legislație, în baza schemei terenului, de către serviciul specializat al autorității administrației publice locale sau, după necesitate, de întreprinderea licențiată în domeniul urbanismului, </w:t>
            </w:r>
            <w:r w:rsidRPr="009E5B39">
              <w:rPr>
                <w:rFonts w:asciiTheme="majorHAnsi" w:eastAsia="Times New Roman" w:hAnsiTheme="majorHAnsi" w:cstheme="majorHAnsi"/>
                <w:b/>
                <w:i/>
                <w:sz w:val="18"/>
                <w:szCs w:val="18"/>
                <w:lang w:val="ro-MD"/>
              </w:rPr>
              <w:t xml:space="preserve">determină prețul terenului </w:t>
            </w:r>
            <w:r w:rsidRPr="009E5B39">
              <w:rPr>
                <w:rFonts w:asciiTheme="majorHAnsi" w:eastAsia="Times New Roman" w:hAnsiTheme="majorHAnsi" w:cstheme="majorHAnsi"/>
                <w:i/>
                <w:sz w:val="18"/>
                <w:szCs w:val="18"/>
                <w:lang w:val="ro-MD"/>
              </w:rPr>
              <w:t xml:space="preserve">(sectorului de teren), </w:t>
            </w:r>
            <w:r w:rsidRPr="009E5B39">
              <w:rPr>
                <w:rFonts w:asciiTheme="majorHAnsi" w:eastAsia="Times New Roman" w:hAnsiTheme="majorHAnsi" w:cstheme="majorHAnsi"/>
                <w:b/>
                <w:i/>
                <w:sz w:val="18"/>
                <w:szCs w:val="18"/>
                <w:lang w:val="ro-MD"/>
              </w:rPr>
              <w:t>încheie contractul de vânzare-cumpărare și stabilește termenul de achitare a plății</w:t>
            </w:r>
            <w:r w:rsidRPr="009E5B39">
              <w:rPr>
                <w:rFonts w:asciiTheme="majorHAnsi" w:eastAsia="Times New Roman" w:hAnsiTheme="majorHAnsi" w:cstheme="majorHAnsi"/>
                <w:i/>
                <w:sz w:val="18"/>
                <w:szCs w:val="18"/>
                <w:lang w:val="ro-MD"/>
              </w:rPr>
              <w:t>.</w:t>
            </w:r>
          </w:p>
          <w:p w14:paraId="00A42EE0"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p>
          <w:p w14:paraId="35A6FA41"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sz w:val="18"/>
                <w:szCs w:val="18"/>
                <w:lang w:val="ro-MD"/>
              </w:rPr>
              <w:t>Art. 77, alin. (2)</w:t>
            </w:r>
            <w:r w:rsidRPr="009E5B39">
              <w:rPr>
                <w:rFonts w:asciiTheme="majorHAnsi" w:eastAsia="Calibri" w:hAnsiTheme="majorHAnsi" w:cstheme="majorHAnsi"/>
                <w:sz w:val="18"/>
                <w:szCs w:val="18"/>
                <w:lang w:val="ro-MD"/>
              </w:rPr>
              <w:t xml:space="preserve"> stipulează că bunurile domeniului public al unității administrativ-teritoriale pot fi date în administrare întreprinderilor municipale și instituțiilor publice, concesionate, date în arendă ori în locațiune, după caz, în temeiul deciziei consiliului local sau raional, în condițiile legii.</w:t>
            </w:r>
          </w:p>
          <w:p w14:paraId="61DB4FE7"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p>
          <w:p w14:paraId="35953061"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sz w:val="18"/>
                <w:szCs w:val="18"/>
                <w:lang w:val="ro-MD"/>
              </w:rPr>
              <w:t>Pct.17</w:t>
            </w:r>
            <w:r w:rsidRPr="009E5B39">
              <w:rPr>
                <w:rFonts w:asciiTheme="majorHAnsi" w:eastAsia="Calibri" w:hAnsiTheme="majorHAnsi" w:cstheme="majorHAnsi"/>
                <w:sz w:val="18"/>
                <w:szCs w:val="18"/>
                <w:lang w:val="ro-MD"/>
              </w:rPr>
              <w:t xml:space="preserve"> prevede că rețelele și instalațiile de gaze construite cu contribuția bănească a beneficiarilor de investiții, alții decât unitățile de distribuție a SA Moldova-Gaz, care actualmente au rămas fără proprietar se consideră proprietate a autorității publice locale, în baza deciziilor instanțelor judecătorești.</w:t>
            </w:r>
          </w:p>
          <w:p w14:paraId="376DBC73"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p>
          <w:p w14:paraId="38C02099"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p>
          <w:p w14:paraId="3DAF5DC1"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sz w:val="18"/>
                <w:szCs w:val="18"/>
                <w:lang w:val="ro-MD"/>
              </w:rPr>
              <w:t>Art.35</w:t>
            </w:r>
            <w:r w:rsidRPr="009E5B39">
              <w:rPr>
                <w:rFonts w:asciiTheme="majorHAnsi" w:eastAsia="Calibri" w:hAnsiTheme="majorHAnsi" w:cstheme="majorHAnsi"/>
                <w:sz w:val="18"/>
                <w:szCs w:val="18"/>
                <w:lang w:val="ro-MD"/>
              </w:rPr>
              <w:t xml:space="preserve"> reglementează modalitatea efectuării înscrierii în registrul bunurilor imobile a dreptului de proprietate</w:t>
            </w:r>
          </w:p>
        </w:tc>
        <w:tc>
          <w:tcPr>
            <w:tcW w:w="1846" w:type="dxa"/>
            <w:shd w:val="clear" w:color="auto" w:fill="auto"/>
          </w:tcPr>
          <w:p w14:paraId="0BAC9C98" w14:textId="77777777" w:rsidR="00EA5F7B" w:rsidRPr="009E5B39" w:rsidRDefault="00EA5F7B" w:rsidP="007B5A3E">
            <w:pPr>
              <w:rPr>
                <w:rFonts w:asciiTheme="majorHAnsi" w:hAnsiTheme="majorHAnsi" w:cstheme="majorHAnsi"/>
                <w:b/>
                <w:bCs/>
                <w:sz w:val="18"/>
                <w:szCs w:val="18"/>
                <w:lang w:val="ro-MD"/>
              </w:rPr>
            </w:pPr>
            <w:r w:rsidRPr="009E5B39">
              <w:rPr>
                <w:rFonts w:asciiTheme="majorHAnsi" w:hAnsiTheme="majorHAnsi" w:cstheme="majorHAnsi"/>
                <w:b/>
                <w:bCs/>
                <w:sz w:val="18"/>
                <w:szCs w:val="18"/>
                <w:lang w:val="ro-MD"/>
              </w:rPr>
              <w:t>3. A înregistrat, a administrat și a gestionat UAT în modul corespunzător patrimoniul public?</w:t>
            </w:r>
          </w:p>
          <w:p w14:paraId="780020C6" w14:textId="77777777" w:rsidR="00EA5F7B" w:rsidRPr="009E5B39" w:rsidRDefault="00EA5F7B" w:rsidP="00EA5F7B">
            <w:pPr>
              <w:spacing w:after="0" w:line="240" w:lineRule="auto"/>
              <w:rPr>
                <w:rFonts w:asciiTheme="majorHAnsi" w:eastAsia="Calibri" w:hAnsiTheme="majorHAnsi" w:cstheme="majorHAnsi"/>
                <w:b/>
                <w:sz w:val="18"/>
                <w:szCs w:val="18"/>
                <w:lang w:val="ro-MD"/>
              </w:rPr>
            </w:pPr>
          </w:p>
        </w:tc>
      </w:tr>
      <w:tr w:rsidR="00EA5F7B" w:rsidRPr="009E5B39" w14:paraId="5348C35D" w14:textId="77777777" w:rsidTr="00EA5F7B">
        <w:trPr>
          <w:trHeight w:val="248"/>
          <w:jc w:val="center"/>
        </w:trPr>
        <w:tc>
          <w:tcPr>
            <w:tcW w:w="743" w:type="dxa"/>
            <w:shd w:val="clear" w:color="auto" w:fill="auto"/>
          </w:tcPr>
          <w:p w14:paraId="7B97AB57" w14:textId="77777777" w:rsidR="00EA5F7B" w:rsidRPr="009E5B39" w:rsidRDefault="00EA5F7B" w:rsidP="00EA5F7B">
            <w:pPr>
              <w:spacing w:after="0" w:line="240" w:lineRule="auto"/>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 xml:space="preserve">11. </w:t>
            </w:r>
          </w:p>
        </w:tc>
        <w:tc>
          <w:tcPr>
            <w:tcW w:w="2796" w:type="dxa"/>
            <w:shd w:val="clear" w:color="auto" w:fill="auto"/>
          </w:tcPr>
          <w:p w14:paraId="04952CEF" w14:textId="4AE957CD" w:rsidR="00EA5F7B" w:rsidRPr="009E5B39" w:rsidRDefault="00EA5F7B" w:rsidP="00EA5F7B">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4D0F0D" w:rsidRPr="009E5B39">
              <w:rPr>
                <w:rFonts w:asciiTheme="majorHAnsi" w:eastAsia="Calibri" w:hAnsiTheme="majorHAnsi" w:cstheme="majorHAnsi"/>
                <w:b/>
                <w:sz w:val="18"/>
                <w:szCs w:val="18"/>
                <w:lang w:val="ro-MD"/>
              </w:rPr>
              <w:t xml:space="preserve">privind principiile urbanismului și amenajării teritoriului </w:t>
            </w:r>
            <w:r w:rsidRPr="009E5B39">
              <w:rPr>
                <w:rFonts w:asciiTheme="majorHAnsi" w:eastAsia="Calibri" w:hAnsiTheme="majorHAnsi" w:cstheme="majorHAnsi"/>
                <w:b/>
                <w:sz w:val="18"/>
                <w:szCs w:val="18"/>
                <w:lang w:val="ro-MD"/>
              </w:rPr>
              <w:t xml:space="preserve">nr.835 din 17.05.1996 </w:t>
            </w:r>
          </w:p>
          <w:p w14:paraId="69E977E8" w14:textId="2B2CF945"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3CA9EA21" w14:textId="5AD35E28" w:rsidR="00EA5F7B" w:rsidRPr="009E5B39" w:rsidRDefault="00EA5F7B" w:rsidP="00EA5F7B">
            <w:pPr>
              <w:spacing w:after="0" w:line="240" w:lineRule="auto"/>
              <w:jc w:val="both"/>
              <w:rPr>
                <w:rFonts w:asciiTheme="majorHAnsi" w:eastAsia="Calibri" w:hAnsiTheme="majorHAnsi" w:cstheme="majorHAnsi"/>
                <w:b/>
                <w:sz w:val="18"/>
                <w:szCs w:val="18"/>
                <w:lang w:val="ro-MD"/>
              </w:rPr>
            </w:pPr>
          </w:p>
          <w:p w14:paraId="79D00243" w14:textId="1E92C07B" w:rsidR="00254477" w:rsidRPr="009E5B39" w:rsidRDefault="00254477" w:rsidP="00EA5F7B">
            <w:pPr>
              <w:spacing w:after="0" w:line="240" w:lineRule="auto"/>
              <w:jc w:val="both"/>
              <w:rPr>
                <w:rFonts w:asciiTheme="majorHAnsi" w:eastAsia="Calibri" w:hAnsiTheme="majorHAnsi" w:cstheme="majorHAnsi"/>
                <w:b/>
                <w:sz w:val="18"/>
                <w:szCs w:val="18"/>
                <w:lang w:val="ro-MD"/>
              </w:rPr>
            </w:pPr>
          </w:p>
          <w:p w14:paraId="5D87CE93" w14:textId="32A630DE" w:rsidR="00EA5F7B" w:rsidRPr="009E5B39" w:rsidRDefault="00EA5F7B" w:rsidP="002F0A2E">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2F0A2E" w:rsidRPr="009E5B39">
              <w:rPr>
                <w:rFonts w:asciiTheme="majorHAnsi" w:eastAsia="Calibri" w:hAnsiTheme="majorHAnsi" w:cstheme="majorHAnsi"/>
                <w:b/>
                <w:sz w:val="18"/>
                <w:szCs w:val="18"/>
                <w:lang w:val="ro-MD"/>
              </w:rPr>
              <w:t xml:space="preserve">privind autorizarea lucrărilor de construcție </w:t>
            </w:r>
            <w:r w:rsidRPr="009E5B39">
              <w:rPr>
                <w:rFonts w:asciiTheme="majorHAnsi" w:eastAsia="Calibri" w:hAnsiTheme="majorHAnsi" w:cstheme="majorHAnsi"/>
                <w:b/>
                <w:sz w:val="18"/>
                <w:szCs w:val="18"/>
                <w:lang w:val="ro-MD"/>
              </w:rPr>
              <w:t xml:space="preserve">nr.163 din 09.07.2010 </w:t>
            </w:r>
          </w:p>
        </w:tc>
        <w:tc>
          <w:tcPr>
            <w:tcW w:w="4958" w:type="dxa"/>
            <w:shd w:val="clear" w:color="auto" w:fill="auto"/>
          </w:tcPr>
          <w:p w14:paraId="3E0CCE65"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Reglementează activitățile de amenajare și de urbanism în localități; documentația aferentă; gestionarea teritoriului și a localității; controlul în domeniul urbanismului și amenajării teritoriului, etc</w:t>
            </w:r>
          </w:p>
          <w:p w14:paraId="0C56CF3D" w14:textId="77777777" w:rsidR="00EA5F7B" w:rsidRPr="009E5B39" w:rsidRDefault="00EA5F7B" w:rsidP="00EA5F7B">
            <w:pPr>
              <w:spacing w:after="0" w:line="240" w:lineRule="auto"/>
              <w:jc w:val="both"/>
              <w:rPr>
                <w:rFonts w:asciiTheme="majorHAnsi" w:eastAsia="Calibri" w:hAnsiTheme="majorHAnsi" w:cstheme="majorHAnsi"/>
                <w:sz w:val="18"/>
                <w:szCs w:val="18"/>
                <w:lang w:val="ro-MD"/>
              </w:rPr>
            </w:pPr>
          </w:p>
          <w:p w14:paraId="66CC0E77" w14:textId="0958F8AB" w:rsidR="00EA5F7B" w:rsidRPr="009E5B39" w:rsidRDefault="00EA5F7B" w:rsidP="00EA5F7B">
            <w:pPr>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 xml:space="preserve">Reglementează modul de autorizare, avizare și verificare a lucrărilor de proiectare, executare sau desființare a construcțiilor și amenajărilor în conformitate cu documentația de urbanism și de amenajare a teritoriului prin aplicarea sistemului de documente normative în construcții. </w:t>
            </w:r>
            <w:r w:rsidRPr="009E5B39">
              <w:rPr>
                <w:rFonts w:asciiTheme="majorHAnsi" w:eastAsia="Calibri" w:hAnsiTheme="majorHAnsi" w:cstheme="majorHAnsi"/>
                <w:color w:val="000000"/>
                <w:sz w:val="18"/>
                <w:szCs w:val="18"/>
                <w:shd w:val="clear" w:color="auto" w:fill="FFFFFF"/>
                <w:lang w:val="ro-MD"/>
              </w:rPr>
              <w:t xml:space="preserve">Prevederile prezentei legi </w:t>
            </w:r>
            <w:r w:rsidR="00DF18D8" w:rsidRPr="009E5B39">
              <w:rPr>
                <w:rFonts w:asciiTheme="majorHAnsi" w:eastAsia="Calibri" w:hAnsiTheme="majorHAnsi" w:cstheme="majorHAnsi"/>
                <w:color w:val="000000"/>
                <w:sz w:val="18"/>
                <w:szCs w:val="18"/>
                <w:shd w:val="clear" w:color="auto" w:fill="FFFFFF"/>
                <w:lang w:val="ro-MD"/>
              </w:rPr>
              <w:t>sunt</w:t>
            </w:r>
            <w:r w:rsidRPr="009E5B39">
              <w:rPr>
                <w:rFonts w:asciiTheme="majorHAnsi" w:eastAsia="Calibri" w:hAnsiTheme="majorHAnsi" w:cstheme="majorHAnsi"/>
                <w:color w:val="000000"/>
                <w:sz w:val="18"/>
                <w:szCs w:val="18"/>
                <w:shd w:val="clear" w:color="auto" w:fill="FFFFFF"/>
                <w:lang w:val="ro-MD"/>
              </w:rPr>
              <w:t xml:space="preserve"> obligatorii pentru autorizarea executării </w:t>
            </w:r>
            <w:r w:rsidR="00DF18D8" w:rsidRPr="009E5B39">
              <w:rPr>
                <w:rFonts w:asciiTheme="majorHAnsi" w:eastAsia="Calibri" w:hAnsiTheme="majorHAnsi" w:cstheme="majorHAnsi"/>
                <w:color w:val="000000"/>
                <w:sz w:val="18"/>
                <w:szCs w:val="18"/>
                <w:shd w:val="clear" w:color="auto" w:fill="FFFFFF"/>
                <w:lang w:val="ro-MD"/>
              </w:rPr>
              <w:t>construcțiilor</w:t>
            </w:r>
            <w:r w:rsidRPr="009E5B39">
              <w:rPr>
                <w:rFonts w:asciiTheme="majorHAnsi" w:eastAsia="Calibri" w:hAnsiTheme="majorHAnsi" w:cstheme="majorHAnsi"/>
                <w:color w:val="000000"/>
                <w:sz w:val="18"/>
                <w:szCs w:val="18"/>
                <w:shd w:val="clear" w:color="auto" w:fill="FFFFFF"/>
                <w:lang w:val="ro-MD"/>
              </w:rPr>
              <w:t xml:space="preserve"> de orice gen, categorie, </w:t>
            </w:r>
            <w:r w:rsidR="00DF18D8" w:rsidRPr="009E5B39">
              <w:rPr>
                <w:rFonts w:asciiTheme="majorHAnsi" w:eastAsia="Calibri" w:hAnsiTheme="majorHAnsi" w:cstheme="majorHAnsi"/>
                <w:color w:val="000000"/>
                <w:sz w:val="18"/>
                <w:szCs w:val="18"/>
                <w:shd w:val="clear" w:color="auto" w:fill="FFFFFF"/>
                <w:lang w:val="ro-MD"/>
              </w:rPr>
              <w:t>destinație</w:t>
            </w:r>
            <w:r w:rsidRPr="009E5B39">
              <w:rPr>
                <w:rFonts w:asciiTheme="majorHAnsi" w:eastAsia="Calibri" w:hAnsiTheme="majorHAnsi" w:cstheme="majorHAnsi"/>
                <w:color w:val="000000"/>
                <w:sz w:val="18"/>
                <w:szCs w:val="18"/>
                <w:shd w:val="clear" w:color="auto" w:fill="FFFFFF"/>
                <w:lang w:val="ro-MD"/>
              </w:rPr>
              <w:t xml:space="preserve"> </w:t>
            </w:r>
            <w:r w:rsidR="00DF18D8" w:rsidRPr="009E5B39">
              <w:rPr>
                <w:rFonts w:asciiTheme="majorHAnsi" w:eastAsia="Calibri" w:hAnsiTheme="majorHAnsi" w:cstheme="majorHAnsi"/>
                <w:color w:val="000000"/>
                <w:sz w:val="18"/>
                <w:szCs w:val="18"/>
                <w:shd w:val="clear" w:color="auto" w:fill="FFFFFF"/>
                <w:lang w:val="ro-MD"/>
              </w:rPr>
              <w:t>și</w:t>
            </w:r>
            <w:r w:rsidRPr="009E5B39">
              <w:rPr>
                <w:rFonts w:asciiTheme="majorHAnsi" w:eastAsia="Calibri" w:hAnsiTheme="majorHAnsi" w:cstheme="majorHAnsi"/>
                <w:color w:val="000000"/>
                <w:sz w:val="18"/>
                <w:szCs w:val="18"/>
                <w:shd w:val="clear" w:color="auto" w:fill="FFFFFF"/>
                <w:lang w:val="ro-MD"/>
              </w:rPr>
              <w:t xml:space="preserve"> tip de proprietate.</w:t>
            </w:r>
          </w:p>
        </w:tc>
        <w:tc>
          <w:tcPr>
            <w:tcW w:w="1846" w:type="dxa"/>
            <w:shd w:val="clear" w:color="auto" w:fill="auto"/>
          </w:tcPr>
          <w:p w14:paraId="3D53CF69" w14:textId="77777777" w:rsidR="00EA5F7B" w:rsidRPr="009E5B39" w:rsidRDefault="00EA5F7B" w:rsidP="00E67446">
            <w:pPr>
              <w:rPr>
                <w:rFonts w:asciiTheme="majorHAnsi" w:hAnsiTheme="majorHAnsi" w:cstheme="majorHAnsi"/>
                <w:b/>
                <w:bCs/>
                <w:sz w:val="18"/>
                <w:szCs w:val="18"/>
                <w:lang w:val="ro-MD"/>
              </w:rPr>
            </w:pPr>
            <w:r w:rsidRPr="009E5B39">
              <w:rPr>
                <w:rFonts w:asciiTheme="majorHAnsi" w:hAnsiTheme="majorHAnsi" w:cstheme="majorHAnsi"/>
                <w:b/>
                <w:bCs/>
                <w:sz w:val="18"/>
                <w:szCs w:val="18"/>
                <w:lang w:val="ro-MD"/>
              </w:rPr>
              <w:t>4.1. Eliberarea documentelor permisive în construcție</w:t>
            </w:r>
          </w:p>
        </w:tc>
      </w:tr>
      <w:tr w:rsidR="00EA5F7B" w:rsidRPr="009E5B39" w14:paraId="4CA97C51" w14:textId="77777777" w:rsidTr="00EA5F7B">
        <w:trPr>
          <w:trHeight w:val="248"/>
          <w:jc w:val="center"/>
        </w:trPr>
        <w:tc>
          <w:tcPr>
            <w:tcW w:w="743" w:type="dxa"/>
            <w:shd w:val="clear" w:color="auto" w:fill="auto"/>
          </w:tcPr>
          <w:p w14:paraId="297BA6EB" w14:textId="77777777" w:rsidR="00EA5F7B" w:rsidRPr="009E5B39" w:rsidRDefault="00EA5F7B" w:rsidP="00EA5F7B">
            <w:pPr>
              <w:spacing w:after="0" w:line="240" w:lineRule="auto"/>
              <w:rPr>
                <w:rFonts w:asciiTheme="majorHAnsi" w:eastAsia="Calibri" w:hAnsiTheme="majorHAnsi" w:cstheme="majorHAnsi"/>
                <w:sz w:val="18"/>
                <w:szCs w:val="18"/>
                <w:lang w:val="ro-MD"/>
              </w:rPr>
            </w:pPr>
            <w:r w:rsidRPr="009E5B39">
              <w:rPr>
                <w:rFonts w:asciiTheme="majorHAnsi" w:eastAsia="Calibri" w:hAnsiTheme="majorHAnsi" w:cstheme="majorHAnsi"/>
                <w:sz w:val="18"/>
                <w:szCs w:val="18"/>
                <w:lang w:val="ro-MD"/>
              </w:rPr>
              <w:t>12.</w:t>
            </w:r>
          </w:p>
        </w:tc>
        <w:tc>
          <w:tcPr>
            <w:tcW w:w="2796" w:type="dxa"/>
            <w:shd w:val="clear" w:color="auto" w:fill="auto"/>
          </w:tcPr>
          <w:p w14:paraId="07BF60F0" w14:textId="2CAD924F" w:rsidR="00EA5F7B" w:rsidRPr="009E5B39" w:rsidRDefault="00EA5F7B" w:rsidP="002F0A2E">
            <w:pPr>
              <w:spacing w:after="0" w:line="240" w:lineRule="auto"/>
              <w:jc w:val="both"/>
              <w:rPr>
                <w:rFonts w:asciiTheme="majorHAnsi" w:eastAsia="Calibri" w:hAnsiTheme="majorHAnsi" w:cstheme="majorHAnsi"/>
                <w:b/>
                <w:sz w:val="18"/>
                <w:szCs w:val="18"/>
                <w:lang w:val="ro-MD"/>
              </w:rPr>
            </w:pPr>
            <w:r w:rsidRPr="009E5B39">
              <w:rPr>
                <w:rFonts w:asciiTheme="majorHAnsi" w:eastAsia="Calibri" w:hAnsiTheme="majorHAnsi" w:cstheme="majorHAnsi"/>
                <w:b/>
                <w:sz w:val="18"/>
                <w:szCs w:val="18"/>
                <w:lang w:val="ro-MD"/>
              </w:rPr>
              <w:t xml:space="preserve">Legea </w:t>
            </w:r>
            <w:r w:rsidR="002F0A2E" w:rsidRPr="009E5B39">
              <w:rPr>
                <w:rFonts w:asciiTheme="majorHAnsi" w:eastAsia="Calibri" w:hAnsiTheme="majorHAnsi" w:cstheme="majorHAnsi"/>
                <w:b/>
                <w:sz w:val="18"/>
                <w:szCs w:val="18"/>
                <w:lang w:val="ro-MD"/>
              </w:rPr>
              <w:t xml:space="preserve">privind serviciul public de alimentare cu apă și de canalizare </w:t>
            </w:r>
            <w:r w:rsidRPr="009E5B39">
              <w:rPr>
                <w:rFonts w:asciiTheme="majorHAnsi" w:eastAsia="Calibri" w:hAnsiTheme="majorHAnsi" w:cstheme="majorHAnsi"/>
                <w:b/>
                <w:sz w:val="18"/>
                <w:szCs w:val="18"/>
                <w:lang w:val="ro-MD"/>
              </w:rPr>
              <w:t xml:space="preserve">nr. 303/2013 </w:t>
            </w:r>
          </w:p>
        </w:tc>
        <w:tc>
          <w:tcPr>
            <w:tcW w:w="4958" w:type="dxa"/>
            <w:shd w:val="clear" w:color="auto" w:fill="auto"/>
          </w:tcPr>
          <w:p w14:paraId="53F68950" w14:textId="403F8495" w:rsidR="00EA5F7B" w:rsidRPr="009E5B39" w:rsidRDefault="00EA5F7B" w:rsidP="00EA5F7B">
            <w:pPr>
              <w:spacing w:after="0" w:line="240" w:lineRule="auto"/>
              <w:jc w:val="both"/>
              <w:rPr>
                <w:rFonts w:asciiTheme="majorHAnsi" w:eastAsia="Calibri" w:hAnsiTheme="majorHAnsi" w:cstheme="majorHAnsi"/>
                <w:sz w:val="18"/>
                <w:szCs w:val="18"/>
                <w:lang w:val="ro-MD"/>
              </w:rPr>
            </w:pPr>
            <w:r w:rsidRPr="009E5B39">
              <w:rPr>
                <w:rFonts w:asciiTheme="majorHAnsi" w:eastAsia="Calibri" w:hAnsiTheme="majorHAnsi" w:cstheme="majorHAnsi"/>
                <w:b/>
                <w:sz w:val="18"/>
                <w:szCs w:val="18"/>
                <w:lang w:val="ro-MD"/>
              </w:rPr>
              <w:t>Art. 29 alin. (3)</w:t>
            </w:r>
            <w:r w:rsidRPr="009E5B39">
              <w:rPr>
                <w:rFonts w:asciiTheme="majorHAnsi" w:eastAsia="Calibri" w:hAnsiTheme="majorHAnsi" w:cstheme="majorHAnsi"/>
                <w:color w:val="333333"/>
                <w:sz w:val="18"/>
                <w:szCs w:val="18"/>
                <w:shd w:val="clear" w:color="auto" w:fill="FFFFFF"/>
                <w:lang w:val="ro-MD"/>
              </w:rPr>
              <w:t xml:space="preserve"> prevede că în blocurile locative în care furnizarea/prestarea serviciului public de alimentare cu apă </w:t>
            </w:r>
            <w:r w:rsidR="00DF18D8" w:rsidRPr="009E5B39">
              <w:rPr>
                <w:rFonts w:asciiTheme="majorHAnsi" w:eastAsia="Calibri" w:hAnsiTheme="majorHAnsi" w:cstheme="majorHAnsi"/>
                <w:color w:val="333333"/>
                <w:sz w:val="18"/>
                <w:szCs w:val="18"/>
                <w:shd w:val="clear" w:color="auto" w:fill="FFFFFF"/>
                <w:lang w:val="ro-MD"/>
              </w:rPr>
              <w:t>și</w:t>
            </w:r>
            <w:r w:rsidRPr="009E5B39">
              <w:rPr>
                <w:rFonts w:asciiTheme="majorHAnsi" w:eastAsia="Calibri" w:hAnsiTheme="majorHAnsi" w:cstheme="majorHAnsi"/>
                <w:color w:val="333333"/>
                <w:sz w:val="18"/>
                <w:szCs w:val="18"/>
                <w:shd w:val="clear" w:color="auto" w:fill="FFFFFF"/>
                <w:lang w:val="ro-MD"/>
              </w:rPr>
              <w:t xml:space="preserve"> de canalizare se efectuează în baza contractelor încheiate de către operator cu fiecare proprietar/locatar de apartament în parte, facturarea serviciului se efectuează în baza datelor contoarelor individuale instalate în apartamente </w:t>
            </w:r>
            <w:r w:rsidR="00DF18D8" w:rsidRPr="009E5B39">
              <w:rPr>
                <w:rFonts w:asciiTheme="majorHAnsi" w:eastAsia="Calibri" w:hAnsiTheme="majorHAnsi" w:cstheme="majorHAnsi"/>
                <w:color w:val="333333"/>
                <w:sz w:val="18"/>
                <w:szCs w:val="18"/>
                <w:shd w:val="clear" w:color="auto" w:fill="FFFFFF"/>
                <w:lang w:val="ro-MD"/>
              </w:rPr>
              <w:t>și</w:t>
            </w:r>
            <w:r w:rsidRPr="009E5B39">
              <w:rPr>
                <w:rFonts w:asciiTheme="majorHAnsi" w:eastAsia="Calibri" w:hAnsiTheme="majorHAnsi" w:cstheme="majorHAnsi"/>
                <w:color w:val="333333"/>
                <w:sz w:val="18"/>
                <w:szCs w:val="18"/>
                <w:shd w:val="clear" w:color="auto" w:fill="FFFFFF"/>
                <w:lang w:val="ro-MD"/>
              </w:rPr>
              <w:t xml:space="preserve"> a tarifelor aprobate.</w:t>
            </w:r>
          </w:p>
        </w:tc>
        <w:tc>
          <w:tcPr>
            <w:tcW w:w="1846" w:type="dxa"/>
            <w:shd w:val="clear" w:color="auto" w:fill="auto"/>
          </w:tcPr>
          <w:p w14:paraId="33FEAFC2" w14:textId="77777777" w:rsidR="00EA5F7B" w:rsidRPr="009E5B39" w:rsidRDefault="00EA5F7B" w:rsidP="00C843C4">
            <w:pPr>
              <w:rPr>
                <w:rFonts w:asciiTheme="majorHAnsi" w:hAnsiTheme="majorHAnsi" w:cstheme="majorHAnsi"/>
                <w:b/>
                <w:bCs/>
                <w:sz w:val="18"/>
                <w:szCs w:val="18"/>
                <w:lang w:val="ro-MD"/>
              </w:rPr>
            </w:pPr>
            <w:r w:rsidRPr="009E5B39">
              <w:rPr>
                <w:rFonts w:asciiTheme="majorHAnsi" w:hAnsiTheme="majorHAnsi" w:cstheme="majorHAnsi"/>
                <w:b/>
                <w:bCs/>
                <w:sz w:val="18"/>
                <w:szCs w:val="18"/>
                <w:lang w:val="ro-MD"/>
              </w:rPr>
              <w:t xml:space="preserve">4.2. Furnizarea serviciului public de alimentare cu apă și de canalizare </w:t>
            </w:r>
          </w:p>
        </w:tc>
      </w:tr>
    </w:tbl>
    <w:p w14:paraId="418CB8A1" w14:textId="77777777" w:rsidR="00F55B80" w:rsidRPr="009E5B39" w:rsidRDefault="00F55B80" w:rsidP="00EF4BC3">
      <w:pPr>
        <w:keepNext/>
        <w:keepLines/>
        <w:pageBreakBefore/>
        <w:spacing w:after="0" w:line="276" w:lineRule="auto"/>
        <w:jc w:val="right"/>
        <w:outlineLvl w:val="0"/>
        <w:rPr>
          <w:rFonts w:asciiTheme="majorHAnsi" w:eastAsiaTheme="majorEastAsia" w:hAnsiTheme="majorHAnsi" w:cstheme="majorHAnsi"/>
          <w:b/>
          <w:bCs/>
          <w:sz w:val="32"/>
          <w:szCs w:val="32"/>
          <w:lang w:val="ro-MD"/>
        </w:rPr>
      </w:pPr>
      <w:bookmarkStart w:id="20" w:name="_Toc116026885"/>
      <w:r w:rsidRPr="009E5B39">
        <w:rPr>
          <w:rFonts w:asciiTheme="majorHAnsi" w:eastAsiaTheme="majorEastAsia" w:hAnsiTheme="majorHAnsi" w:cstheme="majorHAnsi"/>
          <w:b/>
          <w:bCs/>
          <w:sz w:val="32"/>
          <w:szCs w:val="32"/>
          <w:lang w:val="ro-MD"/>
        </w:rPr>
        <w:t>Anexa nr.3</w:t>
      </w:r>
      <w:bookmarkEnd w:id="20"/>
    </w:p>
    <w:p w14:paraId="47D4BBD1" w14:textId="4E047350" w:rsidR="00D82E26" w:rsidRPr="009E5B39" w:rsidRDefault="00D82E26" w:rsidP="00EF4BC3">
      <w:pPr>
        <w:spacing w:after="0" w:line="240" w:lineRule="auto"/>
        <w:ind w:firstLine="709"/>
        <w:jc w:val="center"/>
        <w:rPr>
          <w:rFonts w:asciiTheme="majorHAnsi" w:eastAsia="Calibri" w:hAnsiTheme="majorHAnsi" w:cstheme="majorHAnsi"/>
          <w:b/>
          <w:sz w:val="24"/>
          <w:szCs w:val="24"/>
          <w:lang w:val="ro-MD"/>
        </w:rPr>
      </w:pPr>
      <w:r w:rsidRPr="009E5B39">
        <w:rPr>
          <w:rFonts w:asciiTheme="majorHAnsi" w:eastAsia="Calibri" w:hAnsiTheme="majorHAnsi" w:cstheme="majorHAnsi"/>
          <w:b/>
          <w:sz w:val="24"/>
          <w:szCs w:val="24"/>
          <w:lang w:val="ro-MD"/>
        </w:rPr>
        <w:t>Informația privind sumele calculate</w:t>
      </w:r>
      <w:r w:rsidR="00F53A05" w:rsidRPr="009E5B39">
        <w:rPr>
          <w:rFonts w:asciiTheme="majorHAnsi" w:eastAsia="Calibri" w:hAnsiTheme="majorHAnsi" w:cstheme="majorHAnsi"/>
          <w:b/>
          <w:sz w:val="24"/>
          <w:szCs w:val="24"/>
          <w:lang w:val="ro-MD"/>
        </w:rPr>
        <w:t>,</w:t>
      </w:r>
      <w:r w:rsidRPr="009E5B39">
        <w:rPr>
          <w:rFonts w:asciiTheme="majorHAnsi" w:eastAsia="Calibri" w:hAnsiTheme="majorHAnsi" w:cstheme="majorHAnsi"/>
          <w:b/>
          <w:sz w:val="24"/>
          <w:szCs w:val="24"/>
          <w:lang w:val="ro-MD"/>
        </w:rPr>
        <w:t xml:space="preserve"> stinse (achitate) și restante aferente clasificației veniturilor bugetare, mii lei</w:t>
      </w:r>
    </w:p>
    <w:tbl>
      <w:tblPr>
        <w:tblW w:w="10086" w:type="dxa"/>
        <w:tblInd w:w="-572" w:type="dxa"/>
        <w:tblLook w:val="04A0" w:firstRow="1" w:lastRow="0" w:firstColumn="1" w:lastColumn="0" w:noHBand="0" w:noVBand="1"/>
      </w:tblPr>
      <w:tblGrid>
        <w:gridCol w:w="920"/>
        <w:gridCol w:w="2268"/>
        <w:gridCol w:w="992"/>
        <w:gridCol w:w="944"/>
        <w:gridCol w:w="1064"/>
        <w:gridCol w:w="862"/>
        <w:gridCol w:w="1064"/>
        <w:gridCol w:w="1028"/>
        <w:gridCol w:w="944"/>
      </w:tblGrid>
      <w:tr w:rsidR="00EF4BC3" w:rsidRPr="009E5B39" w14:paraId="23BA2BA5" w14:textId="77777777" w:rsidTr="003C5073">
        <w:trPr>
          <w:trHeight w:val="20"/>
        </w:trPr>
        <w:tc>
          <w:tcPr>
            <w:tcW w:w="9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73610CD" w14:textId="795044BE"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Clas. ec</w:t>
            </w:r>
            <w:r w:rsidR="00F53A05" w:rsidRPr="009E5B39">
              <w:rPr>
                <w:rFonts w:asciiTheme="majorHAnsi" w:eastAsia="Times New Roman" w:hAnsiTheme="majorHAnsi" w:cstheme="majorHAnsi"/>
                <w:b/>
                <w:bCs/>
                <w:sz w:val="16"/>
                <w:szCs w:val="16"/>
                <w:lang w:val="ro-MD"/>
              </w:rPr>
              <w:t>onomi</w:t>
            </w:r>
            <w:r w:rsidRPr="009E5B39">
              <w:rPr>
                <w:rFonts w:asciiTheme="majorHAnsi" w:eastAsia="Times New Roman" w:hAnsiTheme="majorHAnsi" w:cstheme="majorHAnsi"/>
                <w:b/>
                <w:bCs/>
                <w:sz w:val="16"/>
                <w:szCs w:val="16"/>
                <w:lang w:val="ro-MD"/>
              </w:rPr>
              <w:t>că</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02F5414"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Denumirea clasificației economice de venituri</w:t>
            </w:r>
          </w:p>
        </w:tc>
        <w:tc>
          <w:tcPr>
            <w:tcW w:w="1936" w:type="dxa"/>
            <w:gridSpan w:val="2"/>
            <w:tcBorders>
              <w:top w:val="single" w:sz="4" w:space="0" w:color="000000"/>
              <w:left w:val="nil"/>
              <w:bottom w:val="single" w:sz="4" w:space="0" w:color="000000"/>
              <w:right w:val="nil"/>
            </w:tcBorders>
            <w:shd w:val="clear" w:color="auto" w:fill="auto"/>
            <w:hideMark/>
          </w:tcPr>
          <w:p w14:paraId="32B9414F"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Sold inițial</w:t>
            </w:r>
          </w:p>
        </w:tc>
        <w:tc>
          <w:tcPr>
            <w:tcW w:w="1064" w:type="dxa"/>
            <w:tcBorders>
              <w:top w:val="single" w:sz="4" w:space="0" w:color="000000"/>
              <w:left w:val="nil"/>
              <w:bottom w:val="single" w:sz="4" w:space="0" w:color="000000"/>
              <w:right w:val="single" w:sz="4" w:space="0" w:color="000000"/>
            </w:tcBorders>
            <w:shd w:val="clear" w:color="auto" w:fill="auto"/>
            <w:hideMark/>
          </w:tcPr>
          <w:p w14:paraId="080B3677"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Sumele calculate</w:t>
            </w:r>
          </w:p>
        </w:tc>
        <w:tc>
          <w:tcPr>
            <w:tcW w:w="862" w:type="dxa"/>
            <w:tcBorders>
              <w:top w:val="single" w:sz="4" w:space="0" w:color="000000"/>
              <w:left w:val="nil"/>
              <w:bottom w:val="single" w:sz="4" w:space="0" w:color="000000"/>
              <w:right w:val="single" w:sz="4" w:space="0" w:color="000000"/>
            </w:tcBorders>
            <w:shd w:val="clear" w:color="auto" w:fill="auto"/>
            <w:hideMark/>
          </w:tcPr>
          <w:p w14:paraId="31352F06"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Alte tranzacții</w:t>
            </w:r>
          </w:p>
        </w:tc>
        <w:tc>
          <w:tcPr>
            <w:tcW w:w="1064" w:type="dxa"/>
            <w:tcBorders>
              <w:top w:val="single" w:sz="4" w:space="0" w:color="000000"/>
              <w:left w:val="nil"/>
              <w:bottom w:val="single" w:sz="4" w:space="0" w:color="000000"/>
              <w:right w:val="single" w:sz="4" w:space="0" w:color="000000"/>
            </w:tcBorders>
            <w:shd w:val="clear" w:color="auto" w:fill="auto"/>
            <w:hideMark/>
          </w:tcPr>
          <w:p w14:paraId="6059D112"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Sumele achitate</w:t>
            </w:r>
          </w:p>
        </w:tc>
        <w:tc>
          <w:tcPr>
            <w:tcW w:w="1972" w:type="dxa"/>
            <w:gridSpan w:val="2"/>
            <w:tcBorders>
              <w:top w:val="single" w:sz="4" w:space="0" w:color="000000"/>
              <w:left w:val="nil"/>
              <w:bottom w:val="single" w:sz="4" w:space="0" w:color="000000"/>
              <w:right w:val="nil"/>
            </w:tcBorders>
            <w:shd w:val="clear" w:color="auto" w:fill="auto"/>
            <w:hideMark/>
          </w:tcPr>
          <w:p w14:paraId="70B67BD9"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Sold final</w:t>
            </w:r>
          </w:p>
        </w:tc>
      </w:tr>
      <w:tr w:rsidR="00EF4BC3" w:rsidRPr="009E5B39" w14:paraId="15240952" w14:textId="77777777" w:rsidTr="003C5073">
        <w:trPr>
          <w:trHeight w:val="20"/>
        </w:trPr>
        <w:tc>
          <w:tcPr>
            <w:tcW w:w="920" w:type="dxa"/>
            <w:vMerge/>
            <w:tcBorders>
              <w:top w:val="single" w:sz="4" w:space="0" w:color="000000"/>
              <w:left w:val="single" w:sz="4" w:space="0" w:color="000000"/>
              <w:bottom w:val="single" w:sz="4" w:space="0" w:color="000000"/>
              <w:right w:val="single" w:sz="4" w:space="0" w:color="000000"/>
            </w:tcBorders>
            <w:vAlign w:val="center"/>
            <w:hideMark/>
          </w:tcPr>
          <w:p w14:paraId="38291D80" w14:textId="77777777" w:rsidR="00D82E26" w:rsidRPr="009E5B39" w:rsidRDefault="00D82E26" w:rsidP="00EF4BC3">
            <w:pPr>
              <w:spacing w:after="0" w:line="240" w:lineRule="auto"/>
              <w:rPr>
                <w:rFonts w:asciiTheme="majorHAnsi" w:eastAsia="Times New Roman" w:hAnsiTheme="majorHAnsi" w:cstheme="majorHAnsi"/>
                <w:b/>
                <w:bCs/>
                <w:sz w:val="16"/>
                <w:szCs w:val="16"/>
                <w:lang w:val="ro-MD"/>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C5D990F" w14:textId="77777777" w:rsidR="00D82E26" w:rsidRPr="009E5B39" w:rsidRDefault="00D82E26" w:rsidP="00EF4BC3">
            <w:pPr>
              <w:spacing w:after="0" w:line="240" w:lineRule="auto"/>
              <w:rPr>
                <w:rFonts w:asciiTheme="majorHAnsi" w:eastAsia="Times New Roman" w:hAnsiTheme="majorHAnsi" w:cstheme="majorHAnsi"/>
                <w:b/>
                <w:bCs/>
                <w:sz w:val="16"/>
                <w:szCs w:val="16"/>
                <w:lang w:val="ro-MD"/>
              </w:rPr>
            </w:pPr>
          </w:p>
        </w:tc>
        <w:tc>
          <w:tcPr>
            <w:tcW w:w="992" w:type="dxa"/>
            <w:tcBorders>
              <w:top w:val="nil"/>
              <w:left w:val="nil"/>
              <w:bottom w:val="single" w:sz="4" w:space="0" w:color="000000"/>
              <w:right w:val="single" w:sz="4" w:space="0" w:color="000000"/>
            </w:tcBorders>
            <w:shd w:val="clear" w:color="auto" w:fill="auto"/>
            <w:hideMark/>
          </w:tcPr>
          <w:p w14:paraId="4DC59AF5"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restanța</w:t>
            </w:r>
          </w:p>
        </w:tc>
        <w:tc>
          <w:tcPr>
            <w:tcW w:w="944" w:type="dxa"/>
            <w:tcBorders>
              <w:top w:val="nil"/>
              <w:left w:val="nil"/>
              <w:bottom w:val="single" w:sz="4" w:space="0" w:color="000000"/>
              <w:right w:val="single" w:sz="4" w:space="0" w:color="000000"/>
            </w:tcBorders>
            <w:shd w:val="clear" w:color="auto" w:fill="auto"/>
            <w:hideMark/>
          </w:tcPr>
          <w:p w14:paraId="30D67FEC"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plăți în plus</w:t>
            </w:r>
          </w:p>
        </w:tc>
        <w:tc>
          <w:tcPr>
            <w:tcW w:w="1064" w:type="dxa"/>
            <w:tcBorders>
              <w:top w:val="nil"/>
              <w:left w:val="nil"/>
              <w:bottom w:val="single" w:sz="4" w:space="0" w:color="000000"/>
              <w:right w:val="single" w:sz="4" w:space="0" w:color="000000"/>
            </w:tcBorders>
            <w:shd w:val="clear" w:color="auto" w:fill="auto"/>
            <w:hideMark/>
          </w:tcPr>
          <w:p w14:paraId="2FF64F30"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total</w:t>
            </w:r>
          </w:p>
        </w:tc>
        <w:tc>
          <w:tcPr>
            <w:tcW w:w="862" w:type="dxa"/>
            <w:tcBorders>
              <w:top w:val="nil"/>
              <w:left w:val="nil"/>
              <w:bottom w:val="single" w:sz="4" w:space="0" w:color="000000"/>
              <w:right w:val="single" w:sz="4" w:space="0" w:color="000000"/>
            </w:tcBorders>
            <w:shd w:val="clear" w:color="auto" w:fill="auto"/>
            <w:hideMark/>
          </w:tcPr>
          <w:p w14:paraId="17489EBC"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total</w:t>
            </w:r>
          </w:p>
        </w:tc>
        <w:tc>
          <w:tcPr>
            <w:tcW w:w="1064" w:type="dxa"/>
            <w:tcBorders>
              <w:top w:val="nil"/>
              <w:left w:val="nil"/>
              <w:bottom w:val="single" w:sz="4" w:space="0" w:color="000000"/>
              <w:right w:val="single" w:sz="4" w:space="0" w:color="000000"/>
            </w:tcBorders>
            <w:shd w:val="clear" w:color="auto" w:fill="auto"/>
            <w:hideMark/>
          </w:tcPr>
          <w:p w14:paraId="57FE51E9"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total</w:t>
            </w:r>
          </w:p>
        </w:tc>
        <w:tc>
          <w:tcPr>
            <w:tcW w:w="1028" w:type="dxa"/>
            <w:tcBorders>
              <w:top w:val="nil"/>
              <w:left w:val="nil"/>
              <w:bottom w:val="single" w:sz="4" w:space="0" w:color="000000"/>
              <w:right w:val="single" w:sz="4" w:space="0" w:color="000000"/>
            </w:tcBorders>
            <w:shd w:val="clear" w:color="auto" w:fill="auto"/>
            <w:hideMark/>
          </w:tcPr>
          <w:p w14:paraId="529939A6"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restanța</w:t>
            </w:r>
          </w:p>
        </w:tc>
        <w:tc>
          <w:tcPr>
            <w:tcW w:w="944" w:type="dxa"/>
            <w:tcBorders>
              <w:top w:val="nil"/>
              <w:left w:val="nil"/>
              <w:bottom w:val="single" w:sz="4" w:space="0" w:color="000000"/>
              <w:right w:val="single" w:sz="8" w:space="0" w:color="000000"/>
            </w:tcBorders>
            <w:shd w:val="clear" w:color="auto" w:fill="auto"/>
            <w:hideMark/>
          </w:tcPr>
          <w:p w14:paraId="5B45859F" w14:textId="77777777" w:rsidR="00D82E26" w:rsidRPr="009E5B39" w:rsidRDefault="00D82E26" w:rsidP="00EF4BC3">
            <w:pPr>
              <w:spacing w:after="0" w:line="240" w:lineRule="auto"/>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plăți în plus</w:t>
            </w:r>
          </w:p>
        </w:tc>
      </w:tr>
      <w:tr w:rsidR="00EF4BC3" w:rsidRPr="009E5B39" w14:paraId="5A319DE1"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hideMark/>
          </w:tcPr>
          <w:p w14:paraId="22863920" w14:textId="77777777" w:rsidR="00D82E26" w:rsidRPr="009E5B39" w:rsidRDefault="00D82E26" w:rsidP="00EF4BC3">
            <w:pPr>
              <w:spacing w:after="0" w:line="240" w:lineRule="auto"/>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w:t>
            </w:r>
          </w:p>
        </w:tc>
        <w:tc>
          <w:tcPr>
            <w:tcW w:w="2268" w:type="dxa"/>
            <w:tcBorders>
              <w:top w:val="nil"/>
              <w:left w:val="nil"/>
              <w:bottom w:val="single" w:sz="4" w:space="0" w:color="000000"/>
              <w:right w:val="single" w:sz="4" w:space="0" w:color="000000"/>
            </w:tcBorders>
            <w:shd w:val="clear" w:color="auto" w:fill="auto"/>
            <w:hideMark/>
          </w:tcPr>
          <w:p w14:paraId="124A4C28"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w:t>
            </w:r>
          </w:p>
        </w:tc>
        <w:tc>
          <w:tcPr>
            <w:tcW w:w="992" w:type="dxa"/>
            <w:tcBorders>
              <w:top w:val="nil"/>
              <w:left w:val="nil"/>
              <w:bottom w:val="single" w:sz="4" w:space="0" w:color="000000"/>
              <w:right w:val="single" w:sz="4" w:space="0" w:color="000000"/>
            </w:tcBorders>
            <w:shd w:val="clear" w:color="auto" w:fill="auto"/>
            <w:hideMark/>
          </w:tcPr>
          <w:p w14:paraId="4758519A"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w:t>
            </w:r>
          </w:p>
        </w:tc>
        <w:tc>
          <w:tcPr>
            <w:tcW w:w="944" w:type="dxa"/>
            <w:tcBorders>
              <w:top w:val="nil"/>
              <w:left w:val="nil"/>
              <w:bottom w:val="single" w:sz="4" w:space="0" w:color="000000"/>
              <w:right w:val="single" w:sz="4" w:space="0" w:color="000000"/>
            </w:tcBorders>
            <w:shd w:val="clear" w:color="auto" w:fill="auto"/>
            <w:hideMark/>
          </w:tcPr>
          <w:p w14:paraId="223F6E31"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5</w:t>
            </w:r>
          </w:p>
        </w:tc>
        <w:tc>
          <w:tcPr>
            <w:tcW w:w="1064" w:type="dxa"/>
            <w:tcBorders>
              <w:top w:val="nil"/>
              <w:left w:val="nil"/>
              <w:bottom w:val="single" w:sz="4" w:space="0" w:color="000000"/>
              <w:right w:val="single" w:sz="4" w:space="0" w:color="000000"/>
            </w:tcBorders>
            <w:shd w:val="clear" w:color="auto" w:fill="auto"/>
            <w:hideMark/>
          </w:tcPr>
          <w:p w14:paraId="76732131"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6</w:t>
            </w:r>
          </w:p>
        </w:tc>
        <w:tc>
          <w:tcPr>
            <w:tcW w:w="862" w:type="dxa"/>
            <w:tcBorders>
              <w:top w:val="nil"/>
              <w:left w:val="nil"/>
              <w:bottom w:val="single" w:sz="4" w:space="0" w:color="000000"/>
              <w:right w:val="single" w:sz="4" w:space="0" w:color="000000"/>
            </w:tcBorders>
            <w:shd w:val="clear" w:color="auto" w:fill="auto"/>
            <w:hideMark/>
          </w:tcPr>
          <w:p w14:paraId="39CD5B5F"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9</w:t>
            </w:r>
          </w:p>
        </w:tc>
        <w:tc>
          <w:tcPr>
            <w:tcW w:w="1064" w:type="dxa"/>
            <w:tcBorders>
              <w:top w:val="nil"/>
              <w:left w:val="nil"/>
              <w:bottom w:val="single" w:sz="4" w:space="0" w:color="000000"/>
              <w:right w:val="single" w:sz="4" w:space="0" w:color="000000"/>
            </w:tcBorders>
            <w:shd w:val="clear" w:color="auto" w:fill="auto"/>
            <w:hideMark/>
          </w:tcPr>
          <w:p w14:paraId="16372E0C"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12</w:t>
            </w:r>
          </w:p>
        </w:tc>
        <w:tc>
          <w:tcPr>
            <w:tcW w:w="1028" w:type="dxa"/>
            <w:tcBorders>
              <w:top w:val="nil"/>
              <w:left w:val="nil"/>
              <w:bottom w:val="single" w:sz="4" w:space="0" w:color="000000"/>
              <w:right w:val="single" w:sz="4" w:space="0" w:color="000000"/>
            </w:tcBorders>
            <w:shd w:val="clear" w:color="auto" w:fill="auto"/>
            <w:hideMark/>
          </w:tcPr>
          <w:p w14:paraId="5DEE305D" w14:textId="77777777" w:rsidR="00D82E26" w:rsidRPr="009E5B39" w:rsidRDefault="00D82E26" w:rsidP="00EF4BC3">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16</w:t>
            </w:r>
          </w:p>
        </w:tc>
        <w:tc>
          <w:tcPr>
            <w:tcW w:w="944" w:type="dxa"/>
            <w:tcBorders>
              <w:top w:val="nil"/>
              <w:left w:val="nil"/>
              <w:bottom w:val="single" w:sz="4" w:space="0" w:color="000000"/>
              <w:right w:val="single" w:sz="8" w:space="0" w:color="000000"/>
            </w:tcBorders>
            <w:shd w:val="clear" w:color="auto" w:fill="auto"/>
            <w:hideMark/>
          </w:tcPr>
          <w:p w14:paraId="15C24DDC" w14:textId="77777777" w:rsidR="00D82E26" w:rsidRPr="009E5B39" w:rsidRDefault="00D82E26" w:rsidP="00EF4BC3">
            <w:pPr>
              <w:spacing w:after="0" w:line="240" w:lineRule="auto"/>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17</w:t>
            </w:r>
          </w:p>
        </w:tc>
      </w:tr>
      <w:tr w:rsidR="00EF4BC3" w:rsidRPr="009E5B39" w14:paraId="293E0B4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C8299FA"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111110</w:t>
            </w:r>
          </w:p>
        </w:tc>
        <w:tc>
          <w:tcPr>
            <w:tcW w:w="2268" w:type="dxa"/>
            <w:tcBorders>
              <w:top w:val="nil"/>
              <w:left w:val="nil"/>
              <w:bottom w:val="single" w:sz="4" w:space="0" w:color="000000"/>
              <w:right w:val="single" w:sz="4" w:space="0" w:color="000000"/>
            </w:tcBorders>
            <w:shd w:val="clear" w:color="auto" w:fill="auto"/>
            <w:vAlign w:val="center"/>
            <w:hideMark/>
          </w:tcPr>
          <w:p w14:paraId="7959F278"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Impozit pe venitul reținut din salariu (11101)</w:t>
            </w:r>
          </w:p>
        </w:tc>
        <w:tc>
          <w:tcPr>
            <w:tcW w:w="992" w:type="dxa"/>
            <w:tcBorders>
              <w:top w:val="nil"/>
              <w:left w:val="nil"/>
              <w:bottom w:val="single" w:sz="4" w:space="0" w:color="000000"/>
              <w:right w:val="single" w:sz="4" w:space="0" w:color="000000"/>
            </w:tcBorders>
            <w:shd w:val="clear" w:color="auto" w:fill="auto"/>
            <w:vAlign w:val="center"/>
            <w:hideMark/>
          </w:tcPr>
          <w:p w14:paraId="0AB7DFF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-6.093,49</w:t>
            </w:r>
          </w:p>
        </w:tc>
        <w:tc>
          <w:tcPr>
            <w:tcW w:w="944" w:type="dxa"/>
            <w:tcBorders>
              <w:top w:val="nil"/>
              <w:left w:val="nil"/>
              <w:bottom w:val="single" w:sz="4" w:space="0" w:color="000000"/>
              <w:right w:val="single" w:sz="4" w:space="0" w:color="000000"/>
            </w:tcBorders>
            <w:shd w:val="clear" w:color="auto" w:fill="auto"/>
            <w:vAlign w:val="center"/>
            <w:hideMark/>
          </w:tcPr>
          <w:p w14:paraId="4B175EF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35.853,04</w:t>
            </w:r>
          </w:p>
        </w:tc>
        <w:tc>
          <w:tcPr>
            <w:tcW w:w="1064" w:type="dxa"/>
            <w:tcBorders>
              <w:top w:val="nil"/>
              <w:left w:val="nil"/>
              <w:bottom w:val="single" w:sz="4" w:space="0" w:color="000000"/>
              <w:right w:val="single" w:sz="4" w:space="0" w:color="000000"/>
            </w:tcBorders>
            <w:shd w:val="clear" w:color="auto" w:fill="auto"/>
            <w:vAlign w:val="center"/>
            <w:hideMark/>
          </w:tcPr>
          <w:p w14:paraId="5AA2327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361.146,6</w:t>
            </w:r>
          </w:p>
        </w:tc>
        <w:tc>
          <w:tcPr>
            <w:tcW w:w="862" w:type="dxa"/>
            <w:tcBorders>
              <w:top w:val="nil"/>
              <w:left w:val="nil"/>
              <w:bottom w:val="single" w:sz="4" w:space="0" w:color="000000"/>
              <w:right w:val="single" w:sz="4" w:space="0" w:color="000000"/>
            </w:tcBorders>
            <w:shd w:val="clear" w:color="auto" w:fill="auto"/>
            <w:vAlign w:val="center"/>
            <w:hideMark/>
          </w:tcPr>
          <w:p w14:paraId="1B7612A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650,82</w:t>
            </w:r>
          </w:p>
        </w:tc>
        <w:tc>
          <w:tcPr>
            <w:tcW w:w="1064" w:type="dxa"/>
            <w:tcBorders>
              <w:top w:val="nil"/>
              <w:left w:val="nil"/>
              <w:bottom w:val="single" w:sz="4" w:space="0" w:color="000000"/>
              <w:right w:val="single" w:sz="4" w:space="0" w:color="000000"/>
            </w:tcBorders>
            <w:shd w:val="clear" w:color="auto" w:fill="auto"/>
            <w:vAlign w:val="center"/>
            <w:hideMark/>
          </w:tcPr>
          <w:p w14:paraId="1BB6AFA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363.475,85</w:t>
            </w:r>
          </w:p>
        </w:tc>
        <w:tc>
          <w:tcPr>
            <w:tcW w:w="1028" w:type="dxa"/>
            <w:tcBorders>
              <w:top w:val="nil"/>
              <w:left w:val="nil"/>
              <w:bottom w:val="single" w:sz="4" w:space="0" w:color="000000"/>
              <w:right w:val="single" w:sz="4" w:space="0" w:color="000000"/>
            </w:tcBorders>
            <w:shd w:val="clear" w:color="auto" w:fill="auto"/>
            <w:vAlign w:val="center"/>
            <w:hideMark/>
          </w:tcPr>
          <w:p w14:paraId="4A7DF78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-8.390,39</w:t>
            </w:r>
          </w:p>
        </w:tc>
        <w:tc>
          <w:tcPr>
            <w:tcW w:w="944" w:type="dxa"/>
            <w:tcBorders>
              <w:top w:val="nil"/>
              <w:left w:val="nil"/>
              <w:bottom w:val="single" w:sz="4" w:space="0" w:color="000000"/>
              <w:right w:val="single" w:sz="8" w:space="0" w:color="000000"/>
            </w:tcBorders>
            <w:shd w:val="clear" w:color="auto" w:fill="auto"/>
            <w:vAlign w:val="center"/>
            <w:hideMark/>
          </w:tcPr>
          <w:p w14:paraId="5D8DF00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40.458,76</w:t>
            </w:r>
          </w:p>
        </w:tc>
      </w:tr>
      <w:tr w:rsidR="00EF4BC3" w:rsidRPr="009E5B39" w14:paraId="64DA0A1F"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C44126A"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111110</w:t>
            </w:r>
          </w:p>
        </w:tc>
        <w:tc>
          <w:tcPr>
            <w:tcW w:w="2268" w:type="dxa"/>
            <w:tcBorders>
              <w:top w:val="nil"/>
              <w:left w:val="nil"/>
              <w:bottom w:val="single" w:sz="4" w:space="0" w:color="000000"/>
              <w:right w:val="single" w:sz="4" w:space="0" w:color="000000"/>
            </w:tcBorders>
            <w:shd w:val="clear" w:color="auto" w:fill="auto"/>
            <w:vAlign w:val="center"/>
          </w:tcPr>
          <w:p w14:paraId="6A834200" w14:textId="4B969B73"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887DD8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-5.385,38</w:t>
            </w:r>
          </w:p>
        </w:tc>
        <w:tc>
          <w:tcPr>
            <w:tcW w:w="944" w:type="dxa"/>
            <w:tcBorders>
              <w:top w:val="nil"/>
              <w:left w:val="nil"/>
              <w:bottom w:val="single" w:sz="4" w:space="0" w:color="000000"/>
              <w:right w:val="single" w:sz="4" w:space="0" w:color="000000"/>
            </w:tcBorders>
            <w:shd w:val="clear" w:color="auto" w:fill="auto"/>
            <w:vAlign w:val="center"/>
            <w:hideMark/>
          </w:tcPr>
          <w:p w14:paraId="1F49801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31.524,7</w:t>
            </w:r>
          </w:p>
        </w:tc>
        <w:tc>
          <w:tcPr>
            <w:tcW w:w="1064" w:type="dxa"/>
            <w:tcBorders>
              <w:top w:val="nil"/>
              <w:left w:val="nil"/>
              <w:bottom w:val="single" w:sz="4" w:space="0" w:color="000000"/>
              <w:right w:val="single" w:sz="4" w:space="0" w:color="000000"/>
            </w:tcBorders>
            <w:shd w:val="clear" w:color="auto" w:fill="auto"/>
            <w:vAlign w:val="center"/>
            <w:hideMark/>
          </w:tcPr>
          <w:p w14:paraId="61C3F79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316.849,06</w:t>
            </w:r>
          </w:p>
        </w:tc>
        <w:tc>
          <w:tcPr>
            <w:tcW w:w="862" w:type="dxa"/>
            <w:tcBorders>
              <w:top w:val="nil"/>
              <w:left w:val="nil"/>
              <w:bottom w:val="single" w:sz="4" w:space="0" w:color="000000"/>
              <w:right w:val="single" w:sz="4" w:space="0" w:color="000000"/>
            </w:tcBorders>
            <w:shd w:val="clear" w:color="auto" w:fill="auto"/>
            <w:vAlign w:val="center"/>
            <w:hideMark/>
          </w:tcPr>
          <w:p w14:paraId="35FDC0F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343,46</w:t>
            </w:r>
          </w:p>
        </w:tc>
        <w:tc>
          <w:tcPr>
            <w:tcW w:w="1064" w:type="dxa"/>
            <w:tcBorders>
              <w:top w:val="nil"/>
              <w:left w:val="nil"/>
              <w:bottom w:val="single" w:sz="4" w:space="0" w:color="000000"/>
              <w:right w:val="single" w:sz="4" w:space="0" w:color="000000"/>
            </w:tcBorders>
            <w:shd w:val="clear" w:color="auto" w:fill="auto"/>
            <w:vAlign w:val="center"/>
            <w:hideMark/>
          </w:tcPr>
          <w:p w14:paraId="62E048D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324.002,46</w:t>
            </w:r>
          </w:p>
        </w:tc>
        <w:tc>
          <w:tcPr>
            <w:tcW w:w="1028" w:type="dxa"/>
            <w:tcBorders>
              <w:top w:val="nil"/>
              <w:left w:val="nil"/>
              <w:bottom w:val="single" w:sz="4" w:space="0" w:color="000000"/>
              <w:right w:val="single" w:sz="4" w:space="0" w:color="000000"/>
            </w:tcBorders>
            <w:shd w:val="clear" w:color="auto" w:fill="auto"/>
            <w:vAlign w:val="center"/>
            <w:hideMark/>
          </w:tcPr>
          <w:p w14:paraId="5156ADF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-5.162,82</w:t>
            </w:r>
          </w:p>
        </w:tc>
        <w:tc>
          <w:tcPr>
            <w:tcW w:w="944" w:type="dxa"/>
            <w:tcBorders>
              <w:top w:val="nil"/>
              <w:left w:val="nil"/>
              <w:bottom w:val="single" w:sz="4" w:space="0" w:color="000000"/>
              <w:right w:val="single" w:sz="8" w:space="0" w:color="000000"/>
            </w:tcBorders>
            <w:shd w:val="clear" w:color="auto" w:fill="auto"/>
            <w:vAlign w:val="center"/>
            <w:hideMark/>
          </w:tcPr>
          <w:p w14:paraId="055D3C2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39.701,14</w:t>
            </w:r>
          </w:p>
        </w:tc>
      </w:tr>
      <w:tr w:rsidR="00EF4BC3" w:rsidRPr="009E5B39" w14:paraId="48045958"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BC3329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111110</w:t>
            </w:r>
          </w:p>
        </w:tc>
        <w:tc>
          <w:tcPr>
            <w:tcW w:w="2268" w:type="dxa"/>
            <w:tcBorders>
              <w:top w:val="nil"/>
              <w:left w:val="nil"/>
              <w:bottom w:val="single" w:sz="4" w:space="0" w:color="000000"/>
              <w:right w:val="single" w:sz="4" w:space="0" w:color="000000"/>
            </w:tcBorders>
            <w:shd w:val="clear" w:color="auto" w:fill="auto"/>
            <w:vAlign w:val="center"/>
          </w:tcPr>
          <w:p w14:paraId="2A7775FC" w14:textId="6BD658C6"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3F61CD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-8.004.96</w:t>
            </w:r>
          </w:p>
        </w:tc>
        <w:tc>
          <w:tcPr>
            <w:tcW w:w="944" w:type="dxa"/>
            <w:tcBorders>
              <w:top w:val="nil"/>
              <w:left w:val="nil"/>
              <w:bottom w:val="single" w:sz="4" w:space="0" w:color="000000"/>
              <w:right w:val="single" w:sz="4" w:space="0" w:color="000000"/>
            </w:tcBorders>
            <w:shd w:val="clear" w:color="auto" w:fill="auto"/>
            <w:vAlign w:val="center"/>
            <w:hideMark/>
          </w:tcPr>
          <w:p w14:paraId="53BC305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27.998,43</w:t>
            </w:r>
          </w:p>
        </w:tc>
        <w:tc>
          <w:tcPr>
            <w:tcW w:w="1064" w:type="dxa"/>
            <w:tcBorders>
              <w:top w:val="nil"/>
              <w:left w:val="nil"/>
              <w:bottom w:val="single" w:sz="4" w:space="0" w:color="000000"/>
              <w:right w:val="single" w:sz="4" w:space="0" w:color="000000"/>
            </w:tcBorders>
            <w:shd w:val="clear" w:color="auto" w:fill="auto"/>
            <w:vAlign w:val="center"/>
            <w:hideMark/>
          </w:tcPr>
          <w:p w14:paraId="7597CFE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276.610,05</w:t>
            </w:r>
          </w:p>
        </w:tc>
        <w:tc>
          <w:tcPr>
            <w:tcW w:w="862" w:type="dxa"/>
            <w:tcBorders>
              <w:top w:val="nil"/>
              <w:left w:val="nil"/>
              <w:bottom w:val="single" w:sz="4" w:space="0" w:color="000000"/>
              <w:right w:val="single" w:sz="4" w:space="0" w:color="000000"/>
            </w:tcBorders>
            <w:shd w:val="clear" w:color="auto" w:fill="auto"/>
            <w:vAlign w:val="center"/>
            <w:hideMark/>
          </w:tcPr>
          <w:p w14:paraId="5C0F974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358,64</w:t>
            </w:r>
          </w:p>
        </w:tc>
        <w:tc>
          <w:tcPr>
            <w:tcW w:w="1064" w:type="dxa"/>
            <w:tcBorders>
              <w:top w:val="nil"/>
              <w:left w:val="nil"/>
              <w:bottom w:val="single" w:sz="4" w:space="0" w:color="000000"/>
              <w:right w:val="single" w:sz="4" w:space="0" w:color="000000"/>
            </w:tcBorders>
            <w:shd w:val="clear" w:color="auto" w:fill="auto"/>
            <w:vAlign w:val="center"/>
            <w:hideMark/>
          </w:tcPr>
          <w:p w14:paraId="5D2B47D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277.542,27</w:t>
            </w:r>
          </w:p>
        </w:tc>
        <w:tc>
          <w:tcPr>
            <w:tcW w:w="1028" w:type="dxa"/>
            <w:tcBorders>
              <w:top w:val="nil"/>
              <w:left w:val="nil"/>
              <w:bottom w:val="single" w:sz="4" w:space="0" w:color="000000"/>
              <w:right w:val="single" w:sz="4" w:space="0" w:color="000000"/>
            </w:tcBorders>
            <w:shd w:val="clear" w:color="auto" w:fill="auto"/>
            <w:vAlign w:val="center"/>
            <w:hideMark/>
          </w:tcPr>
          <w:p w14:paraId="60702D7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-10.822,51</w:t>
            </w:r>
          </w:p>
        </w:tc>
        <w:tc>
          <w:tcPr>
            <w:tcW w:w="944" w:type="dxa"/>
            <w:tcBorders>
              <w:top w:val="nil"/>
              <w:left w:val="nil"/>
              <w:bottom w:val="single" w:sz="4" w:space="0" w:color="000000"/>
              <w:right w:val="single" w:sz="8" w:space="0" w:color="000000"/>
            </w:tcBorders>
            <w:shd w:val="clear" w:color="auto" w:fill="auto"/>
            <w:vAlign w:val="center"/>
            <w:hideMark/>
          </w:tcPr>
          <w:p w14:paraId="4A8E168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29.517,61</w:t>
            </w:r>
          </w:p>
        </w:tc>
      </w:tr>
      <w:tr w:rsidR="00EF4BC3" w:rsidRPr="009E5B39" w14:paraId="0C0841B9"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9E4664C"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111110</w:t>
            </w:r>
          </w:p>
        </w:tc>
        <w:tc>
          <w:tcPr>
            <w:tcW w:w="2268" w:type="dxa"/>
            <w:tcBorders>
              <w:top w:val="nil"/>
              <w:left w:val="nil"/>
              <w:bottom w:val="single" w:sz="4" w:space="0" w:color="000000"/>
              <w:right w:val="single" w:sz="4" w:space="0" w:color="000000"/>
            </w:tcBorders>
            <w:shd w:val="clear" w:color="auto" w:fill="auto"/>
            <w:vAlign w:val="center"/>
          </w:tcPr>
          <w:p w14:paraId="7A356FEF" w14:textId="1918A782"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F142D7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-2.086,88</w:t>
            </w:r>
          </w:p>
        </w:tc>
        <w:tc>
          <w:tcPr>
            <w:tcW w:w="944" w:type="dxa"/>
            <w:tcBorders>
              <w:top w:val="nil"/>
              <w:left w:val="nil"/>
              <w:bottom w:val="single" w:sz="4" w:space="0" w:color="000000"/>
              <w:right w:val="single" w:sz="4" w:space="0" w:color="000000"/>
            </w:tcBorders>
            <w:shd w:val="clear" w:color="auto" w:fill="auto"/>
            <w:vAlign w:val="center"/>
            <w:hideMark/>
          </w:tcPr>
          <w:p w14:paraId="742121F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18.999,16</w:t>
            </w:r>
          </w:p>
        </w:tc>
        <w:tc>
          <w:tcPr>
            <w:tcW w:w="1064" w:type="dxa"/>
            <w:tcBorders>
              <w:top w:val="nil"/>
              <w:left w:val="nil"/>
              <w:bottom w:val="single" w:sz="4" w:space="0" w:color="000000"/>
              <w:right w:val="single" w:sz="4" w:space="0" w:color="000000"/>
            </w:tcBorders>
            <w:shd w:val="clear" w:color="auto" w:fill="auto"/>
            <w:vAlign w:val="center"/>
            <w:hideMark/>
          </w:tcPr>
          <w:p w14:paraId="3621FF8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189.164,09</w:t>
            </w:r>
          </w:p>
        </w:tc>
        <w:tc>
          <w:tcPr>
            <w:tcW w:w="862" w:type="dxa"/>
            <w:tcBorders>
              <w:top w:val="nil"/>
              <w:left w:val="nil"/>
              <w:bottom w:val="single" w:sz="4" w:space="0" w:color="000000"/>
              <w:right w:val="single" w:sz="4" w:space="0" w:color="000000"/>
            </w:tcBorders>
            <w:shd w:val="clear" w:color="auto" w:fill="auto"/>
            <w:vAlign w:val="center"/>
            <w:hideMark/>
          </w:tcPr>
          <w:p w14:paraId="51552B1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323,14</w:t>
            </w:r>
          </w:p>
        </w:tc>
        <w:tc>
          <w:tcPr>
            <w:tcW w:w="1064" w:type="dxa"/>
            <w:tcBorders>
              <w:top w:val="nil"/>
              <w:left w:val="nil"/>
              <w:bottom w:val="single" w:sz="4" w:space="0" w:color="000000"/>
              <w:right w:val="single" w:sz="4" w:space="0" w:color="000000"/>
            </w:tcBorders>
            <w:shd w:val="clear" w:color="auto" w:fill="auto"/>
            <w:vAlign w:val="center"/>
            <w:hideMark/>
          </w:tcPr>
          <w:p w14:paraId="4B6423D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186.676,31</w:t>
            </w:r>
          </w:p>
        </w:tc>
        <w:tc>
          <w:tcPr>
            <w:tcW w:w="1028" w:type="dxa"/>
            <w:tcBorders>
              <w:top w:val="nil"/>
              <w:left w:val="nil"/>
              <w:bottom w:val="single" w:sz="4" w:space="0" w:color="000000"/>
              <w:right w:val="single" w:sz="4" w:space="0" w:color="000000"/>
            </w:tcBorders>
            <w:shd w:val="clear" w:color="auto" w:fill="auto"/>
            <w:vAlign w:val="center"/>
            <w:hideMark/>
          </w:tcPr>
          <w:p w14:paraId="5BC0F32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-4.827,17</w:t>
            </w:r>
          </w:p>
        </w:tc>
        <w:tc>
          <w:tcPr>
            <w:tcW w:w="944" w:type="dxa"/>
            <w:tcBorders>
              <w:top w:val="nil"/>
              <w:left w:val="nil"/>
              <w:bottom w:val="single" w:sz="4" w:space="0" w:color="000000"/>
              <w:right w:val="single" w:sz="8" w:space="0" w:color="000000"/>
            </w:tcBorders>
            <w:shd w:val="clear" w:color="auto" w:fill="auto"/>
            <w:vAlign w:val="center"/>
            <w:hideMark/>
          </w:tcPr>
          <w:p w14:paraId="143D3AD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19.203,67</w:t>
            </w:r>
          </w:p>
        </w:tc>
      </w:tr>
      <w:tr w:rsidR="00EF4BC3" w:rsidRPr="009E5B39" w14:paraId="6F5FCC84"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3CE1F5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111121</w:t>
            </w:r>
          </w:p>
        </w:tc>
        <w:tc>
          <w:tcPr>
            <w:tcW w:w="2268" w:type="dxa"/>
            <w:tcBorders>
              <w:top w:val="nil"/>
              <w:left w:val="nil"/>
              <w:bottom w:val="single" w:sz="4" w:space="0" w:color="000000"/>
              <w:right w:val="single" w:sz="4" w:space="0" w:color="000000"/>
            </w:tcBorders>
            <w:shd w:val="clear" w:color="auto" w:fill="auto"/>
            <w:vAlign w:val="center"/>
            <w:hideMark/>
          </w:tcPr>
          <w:p w14:paraId="05950AE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Impozit pe venitul persoanelor fizice spre plata/achitat (11109)</w:t>
            </w:r>
          </w:p>
        </w:tc>
        <w:tc>
          <w:tcPr>
            <w:tcW w:w="992" w:type="dxa"/>
            <w:tcBorders>
              <w:top w:val="nil"/>
              <w:left w:val="nil"/>
              <w:bottom w:val="single" w:sz="4" w:space="0" w:color="000000"/>
              <w:right w:val="single" w:sz="4" w:space="0" w:color="000000"/>
            </w:tcBorders>
            <w:shd w:val="clear" w:color="auto" w:fill="auto"/>
            <w:vAlign w:val="center"/>
            <w:hideMark/>
          </w:tcPr>
          <w:p w14:paraId="41CEE4A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-12.822,47</w:t>
            </w:r>
          </w:p>
        </w:tc>
        <w:tc>
          <w:tcPr>
            <w:tcW w:w="944" w:type="dxa"/>
            <w:tcBorders>
              <w:top w:val="nil"/>
              <w:left w:val="nil"/>
              <w:bottom w:val="single" w:sz="4" w:space="0" w:color="000000"/>
              <w:right w:val="single" w:sz="4" w:space="0" w:color="000000"/>
            </w:tcBorders>
            <w:shd w:val="clear" w:color="auto" w:fill="auto"/>
            <w:vAlign w:val="center"/>
            <w:hideMark/>
          </w:tcPr>
          <w:p w14:paraId="3927AE9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19.056,23</w:t>
            </w:r>
          </w:p>
        </w:tc>
        <w:tc>
          <w:tcPr>
            <w:tcW w:w="1064" w:type="dxa"/>
            <w:tcBorders>
              <w:top w:val="nil"/>
              <w:left w:val="nil"/>
              <w:bottom w:val="single" w:sz="4" w:space="0" w:color="000000"/>
              <w:right w:val="single" w:sz="4" w:space="0" w:color="000000"/>
            </w:tcBorders>
            <w:shd w:val="clear" w:color="auto" w:fill="auto"/>
            <w:vAlign w:val="center"/>
            <w:hideMark/>
          </w:tcPr>
          <w:p w14:paraId="4262C13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23.251,85</w:t>
            </w:r>
          </w:p>
        </w:tc>
        <w:tc>
          <w:tcPr>
            <w:tcW w:w="862" w:type="dxa"/>
            <w:tcBorders>
              <w:top w:val="nil"/>
              <w:left w:val="nil"/>
              <w:bottom w:val="single" w:sz="4" w:space="0" w:color="000000"/>
              <w:right w:val="single" w:sz="4" w:space="0" w:color="000000"/>
            </w:tcBorders>
            <w:shd w:val="clear" w:color="auto" w:fill="auto"/>
            <w:vAlign w:val="center"/>
            <w:hideMark/>
          </w:tcPr>
          <w:p w14:paraId="619AF7F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4.229,92</w:t>
            </w:r>
          </w:p>
        </w:tc>
        <w:tc>
          <w:tcPr>
            <w:tcW w:w="1064" w:type="dxa"/>
            <w:tcBorders>
              <w:top w:val="nil"/>
              <w:left w:val="nil"/>
              <w:bottom w:val="single" w:sz="4" w:space="0" w:color="000000"/>
              <w:right w:val="single" w:sz="4" w:space="0" w:color="000000"/>
            </w:tcBorders>
            <w:shd w:val="clear" w:color="auto" w:fill="auto"/>
            <w:vAlign w:val="center"/>
            <w:hideMark/>
          </w:tcPr>
          <w:p w14:paraId="112816F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21.183,15</w:t>
            </w:r>
          </w:p>
        </w:tc>
        <w:tc>
          <w:tcPr>
            <w:tcW w:w="1028" w:type="dxa"/>
            <w:tcBorders>
              <w:top w:val="nil"/>
              <w:left w:val="nil"/>
              <w:bottom w:val="single" w:sz="4" w:space="0" w:color="000000"/>
              <w:right w:val="single" w:sz="4" w:space="0" w:color="000000"/>
            </w:tcBorders>
            <w:shd w:val="clear" w:color="auto" w:fill="auto"/>
            <w:vAlign w:val="center"/>
            <w:hideMark/>
          </w:tcPr>
          <w:p w14:paraId="4A06308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-20.390,37</w:t>
            </w:r>
          </w:p>
        </w:tc>
        <w:tc>
          <w:tcPr>
            <w:tcW w:w="944" w:type="dxa"/>
            <w:tcBorders>
              <w:top w:val="nil"/>
              <w:left w:val="nil"/>
              <w:bottom w:val="single" w:sz="4" w:space="0" w:color="000000"/>
              <w:right w:val="single" w:sz="8" w:space="0" w:color="000000"/>
            </w:tcBorders>
            <w:shd w:val="clear" w:color="auto" w:fill="auto"/>
            <w:vAlign w:val="center"/>
            <w:hideMark/>
          </w:tcPr>
          <w:p w14:paraId="6A80EF0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18.896,09</w:t>
            </w:r>
          </w:p>
        </w:tc>
      </w:tr>
      <w:tr w:rsidR="00EF4BC3" w:rsidRPr="009E5B39" w14:paraId="1130246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935DB63"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111121</w:t>
            </w:r>
          </w:p>
        </w:tc>
        <w:tc>
          <w:tcPr>
            <w:tcW w:w="2268" w:type="dxa"/>
            <w:tcBorders>
              <w:top w:val="nil"/>
              <w:left w:val="nil"/>
              <w:bottom w:val="single" w:sz="4" w:space="0" w:color="000000"/>
              <w:right w:val="single" w:sz="4" w:space="0" w:color="000000"/>
            </w:tcBorders>
            <w:shd w:val="clear" w:color="auto" w:fill="auto"/>
            <w:vAlign w:val="center"/>
          </w:tcPr>
          <w:p w14:paraId="322E537C" w14:textId="61DED834"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364592D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-2.833,66</w:t>
            </w:r>
          </w:p>
        </w:tc>
        <w:tc>
          <w:tcPr>
            <w:tcW w:w="944" w:type="dxa"/>
            <w:tcBorders>
              <w:top w:val="nil"/>
              <w:left w:val="nil"/>
              <w:bottom w:val="single" w:sz="4" w:space="0" w:color="000000"/>
              <w:right w:val="single" w:sz="4" w:space="0" w:color="000000"/>
            </w:tcBorders>
            <w:shd w:val="clear" w:color="auto" w:fill="auto"/>
            <w:vAlign w:val="center"/>
            <w:hideMark/>
          </w:tcPr>
          <w:p w14:paraId="261E1C7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12.816,43</w:t>
            </w:r>
          </w:p>
        </w:tc>
        <w:tc>
          <w:tcPr>
            <w:tcW w:w="1064" w:type="dxa"/>
            <w:tcBorders>
              <w:top w:val="nil"/>
              <w:left w:val="nil"/>
              <w:bottom w:val="single" w:sz="4" w:space="0" w:color="000000"/>
              <w:right w:val="single" w:sz="4" w:space="0" w:color="000000"/>
            </w:tcBorders>
            <w:shd w:val="clear" w:color="auto" w:fill="auto"/>
            <w:vAlign w:val="center"/>
            <w:hideMark/>
          </w:tcPr>
          <w:p w14:paraId="6C35DD9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11.977,61</w:t>
            </w:r>
          </w:p>
        </w:tc>
        <w:tc>
          <w:tcPr>
            <w:tcW w:w="862" w:type="dxa"/>
            <w:tcBorders>
              <w:top w:val="nil"/>
              <w:left w:val="nil"/>
              <w:bottom w:val="single" w:sz="4" w:space="0" w:color="000000"/>
              <w:right w:val="single" w:sz="4" w:space="0" w:color="000000"/>
            </w:tcBorders>
            <w:shd w:val="clear" w:color="auto" w:fill="auto"/>
            <w:vAlign w:val="center"/>
            <w:hideMark/>
          </w:tcPr>
          <w:p w14:paraId="6982A8B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2.379,99</w:t>
            </w:r>
          </w:p>
        </w:tc>
        <w:tc>
          <w:tcPr>
            <w:tcW w:w="1064" w:type="dxa"/>
            <w:tcBorders>
              <w:top w:val="nil"/>
              <w:left w:val="nil"/>
              <w:bottom w:val="single" w:sz="4" w:space="0" w:color="000000"/>
              <w:right w:val="single" w:sz="4" w:space="0" w:color="000000"/>
            </w:tcBorders>
            <w:shd w:val="clear" w:color="auto" w:fill="auto"/>
            <w:vAlign w:val="center"/>
            <w:hideMark/>
          </w:tcPr>
          <w:p w14:paraId="548F83F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12.017,22</w:t>
            </w:r>
          </w:p>
        </w:tc>
        <w:tc>
          <w:tcPr>
            <w:tcW w:w="1028" w:type="dxa"/>
            <w:tcBorders>
              <w:top w:val="nil"/>
              <w:left w:val="nil"/>
              <w:bottom w:val="single" w:sz="4" w:space="0" w:color="000000"/>
              <w:right w:val="single" w:sz="4" w:space="0" w:color="000000"/>
            </w:tcBorders>
            <w:shd w:val="clear" w:color="auto" w:fill="auto"/>
            <w:vAlign w:val="center"/>
            <w:hideMark/>
          </w:tcPr>
          <w:p w14:paraId="20C694D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-3.892,56</w:t>
            </w:r>
          </w:p>
        </w:tc>
        <w:tc>
          <w:tcPr>
            <w:tcW w:w="944" w:type="dxa"/>
            <w:tcBorders>
              <w:top w:val="nil"/>
              <w:left w:val="nil"/>
              <w:bottom w:val="single" w:sz="4" w:space="0" w:color="000000"/>
              <w:right w:val="single" w:sz="8" w:space="0" w:color="000000"/>
            </w:tcBorders>
            <w:shd w:val="clear" w:color="auto" w:fill="auto"/>
            <w:vAlign w:val="center"/>
            <w:hideMark/>
          </w:tcPr>
          <w:p w14:paraId="7D49BEF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11.174,94</w:t>
            </w:r>
          </w:p>
        </w:tc>
      </w:tr>
      <w:tr w:rsidR="00EF4BC3" w:rsidRPr="009E5B39" w14:paraId="60AF1008"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EF099D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111121</w:t>
            </w:r>
          </w:p>
        </w:tc>
        <w:tc>
          <w:tcPr>
            <w:tcW w:w="2268" w:type="dxa"/>
            <w:tcBorders>
              <w:top w:val="nil"/>
              <w:left w:val="nil"/>
              <w:bottom w:val="single" w:sz="4" w:space="0" w:color="000000"/>
              <w:right w:val="single" w:sz="4" w:space="0" w:color="000000"/>
            </w:tcBorders>
            <w:shd w:val="clear" w:color="auto" w:fill="auto"/>
            <w:vAlign w:val="center"/>
          </w:tcPr>
          <w:p w14:paraId="6F4ACFED" w14:textId="3D1922A6"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417BCF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-830,41</w:t>
            </w:r>
          </w:p>
        </w:tc>
        <w:tc>
          <w:tcPr>
            <w:tcW w:w="944" w:type="dxa"/>
            <w:tcBorders>
              <w:top w:val="nil"/>
              <w:left w:val="nil"/>
              <w:bottom w:val="single" w:sz="4" w:space="0" w:color="000000"/>
              <w:right w:val="single" w:sz="4" w:space="0" w:color="000000"/>
            </w:tcBorders>
            <w:shd w:val="clear" w:color="auto" w:fill="auto"/>
            <w:vAlign w:val="center"/>
            <w:hideMark/>
          </w:tcPr>
          <w:p w14:paraId="3DBA4CE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8.685,42</w:t>
            </w:r>
          </w:p>
        </w:tc>
        <w:tc>
          <w:tcPr>
            <w:tcW w:w="1064" w:type="dxa"/>
            <w:tcBorders>
              <w:top w:val="nil"/>
              <w:left w:val="nil"/>
              <w:bottom w:val="single" w:sz="4" w:space="0" w:color="000000"/>
              <w:right w:val="single" w:sz="4" w:space="0" w:color="000000"/>
            </w:tcBorders>
            <w:shd w:val="clear" w:color="auto" w:fill="auto"/>
            <w:vAlign w:val="center"/>
            <w:hideMark/>
          </w:tcPr>
          <w:p w14:paraId="2F24A0E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6.331,33</w:t>
            </w:r>
          </w:p>
        </w:tc>
        <w:tc>
          <w:tcPr>
            <w:tcW w:w="862" w:type="dxa"/>
            <w:tcBorders>
              <w:top w:val="nil"/>
              <w:left w:val="nil"/>
              <w:bottom w:val="single" w:sz="4" w:space="0" w:color="000000"/>
              <w:right w:val="single" w:sz="4" w:space="0" w:color="000000"/>
            </w:tcBorders>
            <w:shd w:val="clear" w:color="auto" w:fill="auto"/>
            <w:vAlign w:val="center"/>
            <w:hideMark/>
          </w:tcPr>
          <w:p w14:paraId="2B3D316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566,49</w:t>
            </w:r>
          </w:p>
        </w:tc>
        <w:tc>
          <w:tcPr>
            <w:tcW w:w="1064" w:type="dxa"/>
            <w:tcBorders>
              <w:top w:val="nil"/>
              <w:left w:val="nil"/>
              <w:bottom w:val="single" w:sz="4" w:space="0" w:color="000000"/>
              <w:right w:val="single" w:sz="4" w:space="0" w:color="000000"/>
            </w:tcBorders>
            <w:shd w:val="clear" w:color="auto" w:fill="auto"/>
            <w:vAlign w:val="center"/>
            <w:hideMark/>
          </w:tcPr>
          <w:p w14:paraId="659D2FC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8.098,71</w:t>
            </w:r>
          </w:p>
        </w:tc>
        <w:tc>
          <w:tcPr>
            <w:tcW w:w="1028" w:type="dxa"/>
            <w:tcBorders>
              <w:top w:val="nil"/>
              <w:left w:val="nil"/>
              <w:bottom w:val="single" w:sz="4" w:space="0" w:color="000000"/>
              <w:right w:val="single" w:sz="4" w:space="0" w:color="000000"/>
            </w:tcBorders>
            <w:shd w:val="clear" w:color="auto" w:fill="auto"/>
            <w:vAlign w:val="center"/>
            <w:hideMark/>
          </w:tcPr>
          <w:p w14:paraId="5A3FE78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-1.243,67</w:t>
            </w:r>
          </w:p>
        </w:tc>
        <w:tc>
          <w:tcPr>
            <w:tcW w:w="944" w:type="dxa"/>
            <w:tcBorders>
              <w:top w:val="nil"/>
              <w:left w:val="nil"/>
              <w:bottom w:val="single" w:sz="4" w:space="0" w:color="000000"/>
              <w:right w:val="single" w:sz="8" w:space="0" w:color="000000"/>
            </w:tcBorders>
            <w:shd w:val="clear" w:color="auto" w:fill="auto"/>
            <w:vAlign w:val="center"/>
            <w:hideMark/>
          </w:tcPr>
          <w:p w14:paraId="60A2CD6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8.638,28</w:t>
            </w:r>
          </w:p>
        </w:tc>
      </w:tr>
      <w:tr w:rsidR="00EF4BC3" w:rsidRPr="009E5B39" w14:paraId="5E188248"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706E96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111121</w:t>
            </w:r>
          </w:p>
        </w:tc>
        <w:tc>
          <w:tcPr>
            <w:tcW w:w="2268" w:type="dxa"/>
            <w:tcBorders>
              <w:top w:val="nil"/>
              <w:left w:val="nil"/>
              <w:bottom w:val="single" w:sz="4" w:space="0" w:color="000000"/>
              <w:right w:val="single" w:sz="4" w:space="0" w:color="000000"/>
            </w:tcBorders>
            <w:shd w:val="clear" w:color="auto" w:fill="auto"/>
            <w:vAlign w:val="center"/>
          </w:tcPr>
          <w:p w14:paraId="1F352734" w14:textId="7701D80F"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52DC95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-9.080,69</w:t>
            </w:r>
          </w:p>
        </w:tc>
        <w:tc>
          <w:tcPr>
            <w:tcW w:w="944" w:type="dxa"/>
            <w:tcBorders>
              <w:top w:val="nil"/>
              <w:left w:val="nil"/>
              <w:bottom w:val="single" w:sz="4" w:space="0" w:color="000000"/>
              <w:right w:val="single" w:sz="4" w:space="0" w:color="000000"/>
            </w:tcBorders>
            <w:shd w:val="clear" w:color="auto" w:fill="auto"/>
            <w:vAlign w:val="center"/>
            <w:hideMark/>
          </w:tcPr>
          <w:p w14:paraId="5892B59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9.829,68</w:t>
            </w:r>
          </w:p>
        </w:tc>
        <w:tc>
          <w:tcPr>
            <w:tcW w:w="1064" w:type="dxa"/>
            <w:tcBorders>
              <w:top w:val="nil"/>
              <w:left w:val="nil"/>
              <w:bottom w:val="single" w:sz="4" w:space="0" w:color="000000"/>
              <w:right w:val="single" w:sz="4" w:space="0" w:color="000000"/>
            </w:tcBorders>
            <w:shd w:val="clear" w:color="auto" w:fill="auto"/>
            <w:vAlign w:val="center"/>
            <w:hideMark/>
          </w:tcPr>
          <w:p w14:paraId="0F4D8CF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14.154,86</w:t>
            </w:r>
          </w:p>
        </w:tc>
        <w:tc>
          <w:tcPr>
            <w:tcW w:w="862" w:type="dxa"/>
            <w:tcBorders>
              <w:top w:val="nil"/>
              <w:left w:val="nil"/>
              <w:bottom w:val="single" w:sz="4" w:space="0" w:color="000000"/>
              <w:right w:val="single" w:sz="4" w:space="0" w:color="000000"/>
            </w:tcBorders>
            <w:shd w:val="clear" w:color="auto" w:fill="auto"/>
            <w:vAlign w:val="center"/>
            <w:hideMark/>
          </w:tcPr>
          <w:p w14:paraId="2D26C10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2.602,77</w:t>
            </w:r>
          </w:p>
        </w:tc>
        <w:tc>
          <w:tcPr>
            <w:tcW w:w="1064" w:type="dxa"/>
            <w:tcBorders>
              <w:top w:val="nil"/>
              <w:left w:val="nil"/>
              <w:bottom w:val="single" w:sz="4" w:space="0" w:color="000000"/>
              <w:right w:val="single" w:sz="4" w:space="0" w:color="000000"/>
            </w:tcBorders>
            <w:shd w:val="clear" w:color="auto" w:fill="auto"/>
            <w:vAlign w:val="center"/>
            <w:hideMark/>
          </w:tcPr>
          <w:p w14:paraId="42C7A10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10.283,45</w:t>
            </w:r>
          </w:p>
        </w:tc>
        <w:tc>
          <w:tcPr>
            <w:tcW w:w="1028" w:type="dxa"/>
            <w:tcBorders>
              <w:top w:val="nil"/>
              <w:left w:val="nil"/>
              <w:bottom w:val="single" w:sz="4" w:space="0" w:color="000000"/>
              <w:right w:val="single" w:sz="4" w:space="0" w:color="000000"/>
            </w:tcBorders>
            <w:shd w:val="clear" w:color="auto" w:fill="auto"/>
            <w:vAlign w:val="center"/>
            <w:hideMark/>
          </w:tcPr>
          <w:p w14:paraId="7F78621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-15.495,37</w:t>
            </w:r>
          </w:p>
        </w:tc>
        <w:tc>
          <w:tcPr>
            <w:tcW w:w="944" w:type="dxa"/>
            <w:tcBorders>
              <w:top w:val="nil"/>
              <w:left w:val="nil"/>
              <w:bottom w:val="single" w:sz="4" w:space="0" w:color="000000"/>
              <w:right w:val="single" w:sz="8" w:space="0" w:color="000000"/>
            </w:tcBorders>
            <w:shd w:val="clear" w:color="auto" w:fill="auto"/>
            <w:vAlign w:val="center"/>
            <w:hideMark/>
          </w:tcPr>
          <w:p w14:paraId="4857746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10.270,44</w:t>
            </w:r>
          </w:p>
        </w:tc>
      </w:tr>
      <w:tr w:rsidR="00EF4BC3" w:rsidRPr="009E5B39" w14:paraId="3618DABA"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D4AE43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111124</w:t>
            </w:r>
          </w:p>
        </w:tc>
        <w:tc>
          <w:tcPr>
            <w:tcW w:w="2268" w:type="dxa"/>
            <w:tcBorders>
              <w:top w:val="nil"/>
              <w:left w:val="nil"/>
              <w:bottom w:val="single" w:sz="4" w:space="0" w:color="000000"/>
              <w:right w:val="single" w:sz="4" w:space="0" w:color="000000"/>
            </w:tcBorders>
            <w:shd w:val="clear" w:color="auto" w:fill="auto"/>
            <w:vAlign w:val="center"/>
            <w:hideMark/>
          </w:tcPr>
          <w:p w14:paraId="6D21E69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Impozit pe venitul persoanelor fizice ce desfășoară activități independente în domeniul comerțului</w:t>
            </w:r>
          </w:p>
        </w:tc>
        <w:tc>
          <w:tcPr>
            <w:tcW w:w="992" w:type="dxa"/>
            <w:tcBorders>
              <w:top w:val="nil"/>
              <w:left w:val="nil"/>
              <w:bottom w:val="single" w:sz="4" w:space="0" w:color="000000"/>
              <w:right w:val="single" w:sz="4" w:space="0" w:color="000000"/>
            </w:tcBorders>
            <w:shd w:val="clear" w:color="auto" w:fill="auto"/>
            <w:vAlign w:val="center"/>
            <w:hideMark/>
          </w:tcPr>
          <w:p w14:paraId="4897721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-40,14</w:t>
            </w:r>
          </w:p>
        </w:tc>
        <w:tc>
          <w:tcPr>
            <w:tcW w:w="944" w:type="dxa"/>
            <w:tcBorders>
              <w:top w:val="nil"/>
              <w:left w:val="nil"/>
              <w:bottom w:val="single" w:sz="4" w:space="0" w:color="000000"/>
              <w:right w:val="single" w:sz="4" w:space="0" w:color="000000"/>
            </w:tcBorders>
            <w:shd w:val="clear" w:color="auto" w:fill="auto"/>
            <w:vAlign w:val="center"/>
            <w:hideMark/>
          </w:tcPr>
          <w:p w14:paraId="7500AA5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257,42</w:t>
            </w:r>
          </w:p>
        </w:tc>
        <w:tc>
          <w:tcPr>
            <w:tcW w:w="1064" w:type="dxa"/>
            <w:tcBorders>
              <w:top w:val="nil"/>
              <w:left w:val="nil"/>
              <w:bottom w:val="single" w:sz="4" w:space="0" w:color="000000"/>
              <w:right w:val="single" w:sz="4" w:space="0" w:color="000000"/>
            </w:tcBorders>
            <w:shd w:val="clear" w:color="auto" w:fill="auto"/>
            <w:vAlign w:val="center"/>
            <w:hideMark/>
          </w:tcPr>
          <w:p w14:paraId="3594424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357,87</w:t>
            </w:r>
          </w:p>
        </w:tc>
        <w:tc>
          <w:tcPr>
            <w:tcW w:w="862" w:type="dxa"/>
            <w:tcBorders>
              <w:top w:val="nil"/>
              <w:left w:val="nil"/>
              <w:bottom w:val="single" w:sz="4" w:space="0" w:color="000000"/>
              <w:right w:val="single" w:sz="4" w:space="0" w:color="000000"/>
            </w:tcBorders>
            <w:shd w:val="clear" w:color="auto" w:fill="auto"/>
            <w:vAlign w:val="center"/>
            <w:hideMark/>
          </w:tcPr>
          <w:p w14:paraId="13BF296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2,27</w:t>
            </w:r>
          </w:p>
        </w:tc>
        <w:tc>
          <w:tcPr>
            <w:tcW w:w="1064" w:type="dxa"/>
            <w:tcBorders>
              <w:top w:val="nil"/>
              <w:left w:val="nil"/>
              <w:bottom w:val="single" w:sz="4" w:space="0" w:color="000000"/>
              <w:right w:val="single" w:sz="4" w:space="0" w:color="000000"/>
            </w:tcBorders>
            <w:shd w:val="clear" w:color="auto" w:fill="auto"/>
            <w:vAlign w:val="center"/>
            <w:hideMark/>
          </w:tcPr>
          <w:p w14:paraId="27A45A8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337,61</w:t>
            </w:r>
          </w:p>
        </w:tc>
        <w:tc>
          <w:tcPr>
            <w:tcW w:w="1028" w:type="dxa"/>
            <w:tcBorders>
              <w:top w:val="nil"/>
              <w:left w:val="nil"/>
              <w:bottom w:val="single" w:sz="4" w:space="0" w:color="000000"/>
              <w:right w:val="single" w:sz="4" w:space="0" w:color="000000"/>
            </w:tcBorders>
            <w:shd w:val="clear" w:color="auto" w:fill="auto"/>
            <w:vAlign w:val="center"/>
            <w:hideMark/>
          </w:tcPr>
          <w:p w14:paraId="67323F3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-52,72</w:t>
            </w:r>
          </w:p>
        </w:tc>
        <w:tc>
          <w:tcPr>
            <w:tcW w:w="944" w:type="dxa"/>
            <w:tcBorders>
              <w:top w:val="nil"/>
              <w:left w:val="nil"/>
              <w:bottom w:val="single" w:sz="4" w:space="0" w:color="000000"/>
              <w:right w:val="single" w:sz="8" w:space="0" w:color="000000"/>
            </w:tcBorders>
            <w:shd w:val="clear" w:color="auto" w:fill="auto"/>
            <w:vAlign w:val="center"/>
            <w:hideMark/>
          </w:tcPr>
          <w:p w14:paraId="0DB00E1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272,82</w:t>
            </w:r>
          </w:p>
        </w:tc>
      </w:tr>
      <w:tr w:rsidR="00EF4BC3" w:rsidRPr="009E5B39" w14:paraId="1C71D952"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28BD3A8"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111124</w:t>
            </w:r>
          </w:p>
        </w:tc>
        <w:tc>
          <w:tcPr>
            <w:tcW w:w="2268" w:type="dxa"/>
            <w:tcBorders>
              <w:top w:val="nil"/>
              <w:left w:val="nil"/>
              <w:bottom w:val="single" w:sz="4" w:space="0" w:color="000000"/>
              <w:right w:val="single" w:sz="4" w:space="0" w:color="000000"/>
            </w:tcBorders>
            <w:shd w:val="clear" w:color="auto" w:fill="auto"/>
            <w:vAlign w:val="center"/>
          </w:tcPr>
          <w:p w14:paraId="7943B5CF" w14:textId="24E67698"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35A2C80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-10,24</w:t>
            </w:r>
          </w:p>
        </w:tc>
        <w:tc>
          <w:tcPr>
            <w:tcW w:w="944" w:type="dxa"/>
            <w:tcBorders>
              <w:top w:val="nil"/>
              <w:left w:val="nil"/>
              <w:bottom w:val="single" w:sz="4" w:space="0" w:color="000000"/>
              <w:right w:val="single" w:sz="4" w:space="0" w:color="000000"/>
            </w:tcBorders>
            <w:shd w:val="clear" w:color="auto" w:fill="auto"/>
            <w:vAlign w:val="center"/>
            <w:hideMark/>
          </w:tcPr>
          <w:p w14:paraId="40E16C5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35,36</w:t>
            </w:r>
          </w:p>
        </w:tc>
        <w:tc>
          <w:tcPr>
            <w:tcW w:w="1064" w:type="dxa"/>
            <w:tcBorders>
              <w:top w:val="nil"/>
              <w:left w:val="nil"/>
              <w:bottom w:val="single" w:sz="4" w:space="0" w:color="000000"/>
              <w:right w:val="single" w:sz="4" w:space="0" w:color="000000"/>
            </w:tcBorders>
            <w:shd w:val="clear" w:color="auto" w:fill="auto"/>
            <w:vAlign w:val="center"/>
            <w:hideMark/>
          </w:tcPr>
          <w:p w14:paraId="2305583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76,47</w:t>
            </w:r>
          </w:p>
        </w:tc>
        <w:tc>
          <w:tcPr>
            <w:tcW w:w="862" w:type="dxa"/>
            <w:tcBorders>
              <w:top w:val="nil"/>
              <w:left w:val="nil"/>
              <w:bottom w:val="single" w:sz="4" w:space="0" w:color="000000"/>
              <w:right w:val="single" w:sz="4" w:space="0" w:color="000000"/>
            </w:tcBorders>
            <w:shd w:val="clear" w:color="auto" w:fill="auto"/>
            <w:vAlign w:val="center"/>
            <w:hideMark/>
          </w:tcPr>
          <w:p w14:paraId="1F15E1F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1064" w:type="dxa"/>
            <w:tcBorders>
              <w:top w:val="nil"/>
              <w:left w:val="nil"/>
              <w:bottom w:val="single" w:sz="4" w:space="0" w:color="000000"/>
              <w:right w:val="single" w:sz="4" w:space="0" w:color="000000"/>
            </w:tcBorders>
            <w:shd w:val="clear" w:color="auto" w:fill="auto"/>
            <w:vAlign w:val="center"/>
            <w:hideMark/>
          </w:tcPr>
          <w:p w14:paraId="258A8C1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66,99</w:t>
            </w:r>
          </w:p>
        </w:tc>
        <w:tc>
          <w:tcPr>
            <w:tcW w:w="1028" w:type="dxa"/>
            <w:tcBorders>
              <w:top w:val="nil"/>
              <w:left w:val="nil"/>
              <w:bottom w:val="single" w:sz="4" w:space="0" w:color="000000"/>
              <w:right w:val="single" w:sz="4" w:space="0" w:color="000000"/>
            </w:tcBorders>
            <w:shd w:val="clear" w:color="auto" w:fill="auto"/>
            <w:vAlign w:val="center"/>
            <w:hideMark/>
          </w:tcPr>
          <w:p w14:paraId="4F2DDDA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-24,82</w:t>
            </w:r>
          </w:p>
        </w:tc>
        <w:tc>
          <w:tcPr>
            <w:tcW w:w="944" w:type="dxa"/>
            <w:tcBorders>
              <w:top w:val="nil"/>
              <w:left w:val="nil"/>
              <w:bottom w:val="single" w:sz="4" w:space="0" w:color="000000"/>
              <w:right w:val="single" w:sz="8" w:space="0" w:color="000000"/>
            </w:tcBorders>
            <w:shd w:val="clear" w:color="auto" w:fill="auto"/>
            <w:vAlign w:val="center"/>
            <w:hideMark/>
          </w:tcPr>
          <w:p w14:paraId="2D9DDE9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40,06</w:t>
            </w:r>
          </w:p>
        </w:tc>
      </w:tr>
      <w:tr w:rsidR="00EF4BC3" w:rsidRPr="009E5B39" w14:paraId="5EFB58FA"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6AADFA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111124</w:t>
            </w:r>
          </w:p>
        </w:tc>
        <w:tc>
          <w:tcPr>
            <w:tcW w:w="2268" w:type="dxa"/>
            <w:tcBorders>
              <w:top w:val="nil"/>
              <w:left w:val="nil"/>
              <w:bottom w:val="single" w:sz="4" w:space="0" w:color="000000"/>
              <w:right w:val="single" w:sz="4" w:space="0" w:color="000000"/>
            </w:tcBorders>
            <w:shd w:val="clear" w:color="auto" w:fill="auto"/>
            <w:vAlign w:val="center"/>
          </w:tcPr>
          <w:p w14:paraId="7453D539" w14:textId="3860679B"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F27E2B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-16,11</w:t>
            </w:r>
          </w:p>
        </w:tc>
        <w:tc>
          <w:tcPr>
            <w:tcW w:w="944" w:type="dxa"/>
            <w:tcBorders>
              <w:top w:val="nil"/>
              <w:left w:val="nil"/>
              <w:bottom w:val="single" w:sz="4" w:space="0" w:color="000000"/>
              <w:right w:val="single" w:sz="4" w:space="0" w:color="000000"/>
            </w:tcBorders>
            <w:shd w:val="clear" w:color="auto" w:fill="auto"/>
            <w:vAlign w:val="center"/>
            <w:hideMark/>
          </w:tcPr>
          <w:p w14:paraId="48308B3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27,65</w:t>
            </w:r>
          </w:p>
        </w:tc>
        <w:tc>
          <w:tcPr>
            <w:tcW w:w="1064" w:type="dxa"/>
            <w:tcBorders>
              <w:top w:val="nil"/>
              <w:left w:val="nil"/>
              <w:bottom w:val="single" w:sz="4" w:space="0" w:color="000000"/>
              <w:right w:val="single" w:sz="4" w:space="0" w:color="000000"/>
            </w:tcBorders>
            <w:shd w:val="clear" w:color="auto" w:fill="auto"/>
            <w:vAlign w:val="center"/>
            <w:hideMark/>
          </w:tcPr>
          <w:p w14:paraId="0959EB4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97,81</w:t>
            </w:r>
          </w:p>
        </w:tc>
        <w:tc>
          <w:tcPr>
            <w:tcW w:w="862" w:type="dxa"/>
            <w:tcBorders>
              <w:top w:val="nil"/>
              <w:left w:val="nil"/>
              <w:bottom w:val="single" w:sz="4" w:space="0" w:color="000000"/>
              <w:right w:val="single" w:sz="4" w:space="0" w:color="000000"/>
            </w:tcBorders>
            <w:shd w:val="clear" w:color="auto" w:fill="auto"/>
            <w:vAlign w:val="center"/>
            <w:hideMark/>
          </w:tcPr>
          <w:p w14:paraId="59A3563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0,03</w:t>
            </w:r>
          </w:p>
        </w:tc>
        <w:tc>
          <w:tcPr>
            <w:tcW w:w="1064" w:type="dxa"/>
            <w:tcBorders>
              <w:top w:val="nil"/>
              <w:left w:val="nil"/>
              <w:bottom w:val="single" w:sz="4" w:space="0" w:color="000000"/>
              <w:right w:val="single" w:sz="4" w:space="0" w:color="000000"/>
            </w:tcBorders>
            <w:shd w:val="clear" w:color="auto" w:fill="auto"/>
            <w:vAlign w:val="center"/>
            <w:hideMark/>
          </w:tcPr>
          <w:p w14:paraId="6A2F2C8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121,41</w:t>
            </w:r>
          </w:p>
        </w:tc>
        <w:tc>
          <w:tcPr>
            <w:tcW w:w="1028" w:type="dxa"/>
            <w:tcBorders>
              <w:top w:val="nil"/>
              <w:left w:val="nil"/>
              <w:bottom w:val="single" w:sz="4" w:space="0" w:color="000000"/>
              <w:right w:val="single" w:sz="4" w:space="0" w:color="000000"/>
            </w:tcBorders>
            <w:shd w:val="clear" w:color="auto" w:fill="auto"/>
            <w:vAlign w:val="center"/>
            <w:hideMark/>
          </w:tcPr>
          <w:p w14:paraId="2ECC523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-7,66</w:t>
            </w:r>
          </w:p>
        </w:tc>
        <w:tc>
          <w:tcPr>
            <w:tcW w:w="944" w:type="dxa"/>
            <w:tcBorders>
              <w:top w:val="nil"/>
              <w:left w:val="nil"/>
              <w:bottom w:val="single" w:sz="4" w:space="0" w:color="000000"/>
              <w:right w:val="single" w:sz="8" w:space="0" w:color="000000"/>
            </w:tcBorders>
            <w:shd w:val="clear" w:color="auto" w:fill="auto"/>
            <w:vAlign w:val="center"/>
            <w:hideMark/>
          </w:tcPr>
          <w:p w14:paraId="6F7B0F0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45,81</w:t>
            </w:r>
          </w:p>
        </w:tc>
      </w:tr>
      <w:tr w:rsidR="00EF4BC3" w:rsidRPr="009E5B39" w14:paraId="4EAB9796"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B9150E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111124</w:t>
            </w:r>
          </w:p>
        </w:tc>
        <w:tc>
          <w:tcPr>
            <w:tcW w:w="2268" w:type="dxa"/>
            <w:tcBorders>
              <w:top w:val="nil"/>
              <w:left w:val="nil"/>
              <w:bottom w:val="single" w:sz="4" w:space="0" w:color="000000"/>
              <w:right w:val="single" w:sz="4" w:space="0" w:color="000000"/>
            </w:tcBorders>
            <w:shd w:val="clear" w:color="auto" w:fill="auto"/>
            <w:vAlign w:val="center"/>
          </w:tcPr>
          <w:p w14:paraId="40D97ED7" w14:textId="65737C99"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2E3DE8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-1,06</w:t>
            </w:r>
          </w:p>
        </w:tc>
        <w:tc>
          <w:tcPr>
            <w:tcW w:w="944" w:type="dxa"/>
            <w:tcBorders>
              <w:top w:val="nil"/>
              <w:left w:val="nil"/>
              <w:bottom w:val="single" w:sz="4" w:space="0" w:color="000000"/>
              <w:right w:val="single" w:sz="4" w:space="0" w:color="000000"/>
            </w:tcBorders>
            <w:shd w:val="clear" w:color="auto" w:fill="auto"/>
            <w:vAlign w:val="center"/>
            <w:hideMark/>
          </w:tcPr>
          <w:p w14:paraId="2ADD253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82,43</w:t>
            </w:r>
          </w:p>
        </w:tc>
        <w:tc>
          <w:tcPr>
            <w:tcW w:w="1064" w:type="dxa"/>
            <w:tcBorders>
              <w:top w:val="nil"/>
              <w:left w:val="nil"/>
              <w:bottom w:val="single" w:sz="4" w:space="0" w:color="000000"/>
              <w:right w:val="single" w:sz="4" w:space="0" w:color="000000"/>
            </w:tcBorders>
            <w:shd w:val="clear" w:color="auto" w:fill="auto"/>
            <w:vAlign w:val="center"/>
            <w:hideMark/>
          </w:tcPr>
          <w:p w14:paraId="00E92A6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149,73</w:t>
            </w:r>
          </w:p>
        </w:tc>
        <w:tc>
          <w:tcPr>
            <w:tcW w:w="862" w:type="dxa"/>
            <w:tcBorders>
              <w:top w:val="nil"/>
              <w:left w:val="nil"/>
              <w:bottom w:val="single" w:sz="4" w:space="0" w:color="000000"/>
              <w:right w:val="single" w:sz="4" w:space="0" w:color="000000"/>
            </w:tcBorders>
            <w:shd w:val="clear" w:color="auto" w:fill="auto"/>
            <w:vAlign w:val="center"/>
            <w:hideMark/>
          </w:tcPr>
          <w:p w14:paraId="0C0CD4E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2,88</w:t>
            </w:r>
          </w:p>
        </w:tc>
        <w:tc>
          <w:tcPr>
            <w:tcW w:w="1064" w:type="dxa"/>
            <w:tcBorders>
              <w:top w:val="nil"/>
              <w:left w:val="nil"/>
              <w:bottom w:val="single" w:sz="4" w:space="0" w:color="000000"/>
              <w:right w:val="single" w:sz="4" w:space="0" w:color="000000"/>
            </w:tcBorders>
            <w:shd w:val="clear" w:color="auto" w:fill="auto"/>
            <w:vAlign w:val="center"/>
            <w:hideMark/>
          </w:tcPr>
          <w:p w14:paraId="6350D58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148,9</w:t>
            </w:r>
          </w:p>
        </w:tc>
        <w:tc>
          <w:tcPr>
            <w:tcW w:w="1028" w:type="dxa"/>
            <w:tcBorders>
              <w:top w:val="nil"/>
              <w:left w:val="nil"/>
              <w:bottom w:val="single" w:sz="4" w:space="0" w:color="000000"/>
              <w:right w:val="single" w:sz="4" w:space="0" w:color="000000"/>
            </w:tcBorders>
            <w:shd w:val="clear" w:color="auto" w:fill="auto"/>
            <w:vAlign w:val="center"/>
            <w:hideMark/>
          </w:tcPr>
          <w:p w14:paraId="2F1C43B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-17,71</w:t>
            </w:r>
          </w:p>
        </w:tc>
        <w:tc>
          <w:tcPr>
            <w:tcW w:w="944" w:type="dxa"/>
            <w:tcBorders>
              <w:top w:val="nil"/>
              <w:left w:val="nil"/>
              <w:bottom w:val="single" w:sz="4" w:space="0" w:color="000000"/>
              <w:right w:val="single" w:sz="8" w:space="0" w:color="000000"/>
            </w:tcBorders>
            <w:shd w:val="clear" w:color="auto" w:fill="auto"/>
            <w:vAlign w:val="center"/>
            <w:hideMark/>
          </w:tcPr>
          <w:p w14:paraId="6A5EB75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84,38</w:t>
            </w:r>
          </w:p>
        </w:tc>
      </w:tr>
      <w:tr w:rsidR="00EF4BC3" w:rsidRPr="009E5B39" w14:paraId="6A577F4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7E3245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111125</w:t>
            </w:r>
          </w:p>
        </w:tc>
        <w:tc>
          <w:tcPr>
            <w:tcW w:w="2268" w:type="dxa"/>
            <w:tcBorders>
              <w:top w:val="nil"/>
              <w:left w:val="nil"/>
              <w:bottom w:val="single" w:sz="4" w:space="0" w:color="000000"/>
              <w:right w:val="single" w:sz="4" w:space="0" w:color="000000"/>
            </w:tcBorders>
            <w:shd w:val="clear" w:color="auto" w:fill="auto"/>
            <w:vAlign w:val="center"/>
            <w:hideMark/>
          </w:tcPr>
          <w:p w14:paraId="4FF5149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Impozit pe venitul persoanelor fizice în domeniul transportului rutier de  persoane în regim de taxi</w:t>
            </w:r>
          </w:p>
        </w:tc>
        <w:tc>
          <w:tcPr>
            <w:tcW w:w="992" w:type="dxa"/>
            <w:tcBorders>
              <w:top w:val="nil"/>
              <w:left w:val="nil"/>
              <w:bottom w:val="single" w:sz="4" w:space="0" w:color="000000"/>
              <w:right w:val="single" w:sz="4" w:space="0" w:color="000000"/>
            </w:tcBorders>
            <w:shd w:val="clear" w:color="auto" w:fill="auto"/>
            <w:vAlign w:val="center"/>
            <w:hideMark/>
          </w:tcPr>
          <w:p w14:paraId="0822A9B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-86,48</w:t>
            </w:r>
          </w:p>
        </w:tc>
        <w:tc>
          <w:tcPr>
            <w:tcW w:w="944" w:type="dxa"/>
            <w:tcBorders>
              <w:top w:val="nil"/>
              <w:left w:val="nil"/>
              <w:bottom w:val="single" w:sz="4" w:space="0" w:color="000000"/>
              <w:right w:val="single" w:sz="4" w:space="0" w:color="000000"/>
            </w:tcBorders>
            <w:shd w:val="clear" w:color="auto" w:fill="auto"/>
            <w:vAlign w:val="center"/>
            <w:hideMark/>
          </w:tcPr>
          <w:p w14:paraId="34D4827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9,64</w:t>
            </w:r>
          </w:p>
        </w:tc>
        <w:tc>
          <w:tcPr>
            <w:tcW w:w="1064" w:type="dxa"/>
            <w:tcBorders>
              <w:top w:val="nil"/>
              <w:left w:val="nil"/>
              <w:bottom w:val="single" w:sz="4" w:space="0" w:color="000000"/>
              <w:right w:val="single" w:sz="4" w:space="0" w:color="000000"/>
            </w:tcBorders>
            <w:shd w:val="clear" w:color="auto" w:fill="auto"/>
            <w:vAlign w:val="center"/>
            <w:hideMark/>
          </w:tcPr>
          <w:p w14:paraId="579D7AD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4.036,06</w:t>
            </w:r>
          </w:p>
        </w:tc>
        <w:tc>
          <w:tcPr>
            <w:tcW w:w="862" w:type="dxa"/>
            <w:tcBorders>
              <w:top w:val="nil"/>
              <w:left w:val="nil"/>
              <w:bottom w:val="single" w:sz="4" w:space="0" w:color="000000"/>
              <w:right w:val="single" w:sz="4" w:space="0" w:color="000000"/>
            </w:tcBorders>
            <w:shd w:val="clear" w:color="auto" w:fill="auto"/>
            <w:vAlign w:val="center"/>
            <w:hideMark/>
          </w:tcPr>
          <w:p w14:paraId="4F7EC77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DB660D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4.012,21</w:t>
            </w:r>
          </w:p>
        </w:tc>
        <w:tc>
          <w:tcPr>
            <w:tcW w:w="1028" w:type="dxa"/>
            <w:tcBorders>
              <w:top w:val="nil"/>
              <w:left w:val="nil"/>
              <w:bottom w:val="single" w:sz="4" w:space="0" w:color="000000"/>
              <w:right w:val="single" w:sz="4" w:space="0" w:color="000000"/>
            </w:tcBorders>
            <w:shd w:val="clear" w:color="auto" w:fill="auto"/>
            <w:vAlign w:val="center"/>
            <w:hideMark/>
          </w:tcPr>
          <w:p w14:paraId="68ADFEA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-125,49</w:t>
            </w:r>
          </w:p>
        </w:tc>
        <w:tc>
          <w:tcPr>
            <w:tcW w:w="944" w:type="dxa"/>
            <w:tcBorders>
              <w:top w:val="nil"/>
              <w:left w:val="nil"/>
              <w:bottom w:val="single" w:sz="4" w:space="0" w:color="000000"/>
              <w:right w:val="single" w:sz="8" w:space="0" w:color="000000"/>
            </w:tcBorders>
            <w:shd w:val="clear" w:color="auto" w:fill="auto"/>
            <w:vAlign w:val="center"/>
            <w:hideMark/>
          </w:tcPr>
          <w:p w14:paraId="76104C9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93,94</w:t>
            </w:r>
          </w:p>
        </w:tc>
      </w:tr>
      <w:tr w:rsidR="00EF4BC3" w:rsidRPr="009E5B39" w14:paraId="38F7E725"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9BB47D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111125</w:t>
            </w:r>
          </w:p>
        </w:tc>
        <w:tc>
          <w:tcPr>
            <w:tcW w:w="2268" w:type="dxa"/>
            <w:tcBorders>
              <w:top w:val="nil"/>
              <w:left w:val="nil"/>
              <w:bottom w:val="single" w:sz="4" w:space="0" w:color="000000"/>
              <w:right w:val="single" w:sz="4" w:space="0" w:color="000000"/>
            </w:tcBorders>
            <w:shd w:val="clear" w:color="auto" w:fill="auto"/>
            <w:vAlign w:val="center"/>
          </w:tcPr>
          <w:p w14:paraId="60C117DE" w14:textId="1A7FEAE0"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ABD820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-5,46</w:t>
            </w:r>
          </w:p>
        </w:tc>
        <w:tc>
          <w:tcPr>
            <w:tcW w:w="944" w:type="dxa"/>
            <w:tcBorders>
              <w:top w:val="nil"/>
              <w:left w:val="nil"/>
              <w:bottom w:val="single" w:sz="4" w:space="0" w:color="000000"/>
              <w:right w:val="single" w:sz="4" w:space="0" w:color="000000"/>
            </w:tcBorders>
            <w:shd w:val="clear" w:color="auto" w:fill="auto"/>
            <w:vAlign w:val="center"/>
            <w:hideMark/>
          </w:tcPr>
          <w:p w14:paraId="0332335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7E8608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104,17</w:t>
            </w:r>
          </w:p>
        </w:tc>
        <w:tc>
          <w:tcPr>
            <w:tcW w:w="862" w:type="dxa"/>
            <w:tcBorders>
              <w:top w:val="nil"/>
              <w:left w:val="nil"/>
              <w:bottom w:val="single" w:sz="4" w:space="0" w:color="000000"/>
              <w:right w:val="single" w:sz="4" w:space="0" w:color="000000"/>
            </w:tcBorders>
            <w:shd w:val="clear" w:color="auto" w:fill="auto"/>
            <w:vAlign w:val="center"/>
            <w:hideMark/>
          </w:tcPr>
          <w:p w14:paraId="68CCFA2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AA5C7D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93,04</w:t>
            </w:r>
          </w:p>
        </w:tc>
        <w:tc>
          <w:tcPr>
            <w:tcW w:w="1028" w:type="dxa"/>
            <w:tcBorders>
              <w:top w:val="nil"/>
              <w:left w:val="nil"/>
              <w:bottom w:val="single" w:sz="4" w:space="0" w:color="000000"/>
              <w:right w:val="single" w:sz="4" w:space="0" w:color="000000"/>
            </w:tcBorders>
            <w:shd w:val="clear" w:color="auto" w:fill="auto"/>
            <w:vAlign w:val="center"/>
            <w:hideMark/>
          </w:tcPr>
          <w:p w14:paraId="64EF7D5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-35,76</w:t>
            </w:r>
          </w:p>
        </w:tc>
        <w:tc>
          <w:tcPr>
            <w:tcW w:w="944" w:type="dxa"/>
            <w:tcBorders>
              <w:top w:val="nil"/>
              <w:left w:val="nil"/>
              <w:bottom w:val="single" w:sz="4" w:space="0" w:color="000000"/>
              <w:right w:val="single" w:sz="8" w:space="0" w:color="000000"/>
            </w:tcBorders>
            <w:shd w:val="clear" w:color="auto" w:fill="auto"/>
            <w:vAlign w:val="center"/>
            <w:hideMark/>
          </w:tcPr>
          <w:p w14:paraId="52A9037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0,22</w:t>
            </w:r>
          </w:p>
        </w:tc>
      </w:tr>
      <w:tr w:rsidR="00EF4BC3" w:rsidRPr="009E5B39" w14:paraId="3460F7EA"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96B3F4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111125</w:t>
            </w:r>
          </w:p>
        </w:tc>
        <w:tc>
          <w:tcPr>
            <w:tcW w:w="2268" w:type="dxa"/>
            <w:tcBorders>
              <w:top w:val="nil"/>
              <w:left w:val="nil"/>
              <w:bottom w:val="single" w:sz="4" w:space="0" w:color="000000"/>
              <w:right w:val="single" w:sz="4" w:space="0" w:color="000000"/>
            </w:tcBorders>
            <w:shd w:val="clear" w:color="auto" w:fill="auto"/>
            <w:vAlign w:val="center"/>
          </w:tcPr>
          <w:p w14:paraId="4267292F" w14:textId="30F3C073"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0AA3D83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-54,72</w:t>
            </w:r>
          </w:p>
        </w:tc>
        <w:tc>
          <w:tcPr>
            <w:tcW w:w="944" w:type="dxa"/>
            <w:tcBorders>
              <w:top w:val="nil"/>
              <w:left w:val="nil"/>
              <w:bottom w:val="single" w:sz="4" w:space="0" w:color="000000"/>
              <w:right w:val="single" w:sz="4" w:space="0" w:color="000000"/>
            </w:tcBorders>
            <w:shd w:val="clear" w:color="auto" w:fill="auto"/>
            <w:vAlign w:val="center"/>
            <w:hideMark/>
          </w:tcPr>
          <w:p w14:paraId="4AAAEEF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17,98</w:t>
            </w:r>
          </w:p>
        </w:tc>
        <w:tc>
          <w:tcPr>
            <w:tcW w:w="1064" w:type="dxa"/>
            <w:tcBorders>
              <w:top w:val="nil"/>
              <w:left w:val="nil"/>
              <w:bottom w:val="single" w:sz="4" w:space="0" w:color="000000"/>
              <w:right w:val="single" w:sz="4" w:space="0" w:color="000000"/>
            </w:tcBorders>
            <w:shd w:val="clear" w:color="auto" w:fill="auto"/>
            <w:vAlign w:val="center"/>
            <w:hideMark/>
          </w:tcPr>
          <w:p w14:paraId="1A9ED8B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304,94</w:t>
            </w:r>
          </w:p>
        </w:tc>
        <w:tc>
          <w:tcPr>
            <w:tcW w:w="862" w:type="dxa"/>
            <w:tcBorders>
              <w:top w:val="nil"/>
              <w:left w:val="nil"/>
              <w:bottom w:val="single" w:sz="4" w:space="0" w:color="000000"/>
              <w:right w:val="single" w:sz="4" w:space="0" w:color="000000"/>
            </w:tcBorders>
            <w:shd w:val="clear" w:color="auto" w:fill="auto"/>
            <w:vAlign w:val="center"/>
            <w:hideMark/>
          </w:tcPr>
          <w:p w14:paraId="5AECD3E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A89FC3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259,18</w:t>
            </w:r>
          </w:p>
        </w:tc>
        <w:tc>
          <w:tcPr>
            <w:tcW w:w="1028" w:type="dxa"/>
            <w:tcBorders>
              <w:top w:val="nil"/>
              <w:left w:val="nil"/>
              <w:bottom w:val="single" w:sz="4" w:space="0" w:color="000000"/>
              <w:right w:val="single" w:sz="4" w:space="0" w:color="000000"/>
            </w:tcBorders>
            <w:shd w:val="clear" w:color="auto" w:fill="auto"/>
            <w:vAlign w:val="center"/>
            <w:hideMark/>
          </w:tcPr>
          <w:p w14:paraId="2A9DA5C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-106,56</w:t>
            </w:r>
          </w:p>
        </w:tc>
        <w:tc>
          <w:tcPr>
            <w:tcW w:w="944" w:type="dxa"/>
            <w:tcBorders>
              <w:top w:val="nil"/>
              <w:left w:val="nil"/>
              <w:bottom w:val="single" w:sz="4" w:space="0" w:color="000000"/>
              <w:right w:val="single" w:sz="8" w:space="0" w:color="000000"/>
            </w:tcBorders>
            <w:shd w:val="clear" w:color="auto" w:fill="auto"/>
            <w:vAlign w:val="center"/>
            <w:hideMark/>
          </w:tcPr>
          <w:p w14:paraId="7CED3D9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23,13</w:t>
            </w:r>
          </w:p>
        </w:tc>
      </w:tr>
      <w:tr w:rsidR="00EF4BC3" w:rsidRPr="009E5B39" w14:paraId="44A6FC39"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713A40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111125</w:t>
            </w:r>
          </w:p>
        </w:tc>
        <w:tc>
          <w:tcPr>
            <w:tcW w:w="2268" w:type="dxa"/>
            <w:tcBorders>
              <w:top w:val="nil"/>
              <w:left w:val="nil"/>
              <w:bottom w:val="single" w:sz="4" w:space="0" w:color="000000"/>
              <w:right w:val="single" w:sz="4" w:space="0" w:color="000000"/>
            </w:tcBorders>
            <w:shd w:val="clear" w:color="auto" w:fill="auto"/>
            <w:vAlign w:val="center"/>
          </w:tcPr>
          <w:p w14:paraId="17894A9C" w14:textId="122ACC2E"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09000BE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-25,01</w:t>
            </w:r>
          </w:p>
        </w:tc>
        <w:tc>
          <w:tcPr>
            <w:tcW w:w="944" w:type="dxa"/>
            <w:tcBorders>
              <w:top w:val="nil"/>
              <w:left w:val="nil"/>
              <w:bottom w:val="single" w:sz="4" w:space="0" w:color="000000"/>
              <w:right w:val="single" w:sz="4" w:space="0" w:color="000000"/>
            </w:tcBorders>
            <w:shd w:val="clear" w:color="auto" w:fill="auto"/>
            <w:vAlign w:val="center"/>
            <w:hideMark/>
          </w:tcPr>
          <w:p w14:paraId="61D47BF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0,72</w:t>
            </w:r>
          </w:p>
        </w:tc>
        <w:tc>
          <w:tcPr>
            <w:tcW w:w="1064" w:type="dxa"/>
            <w:tcBorders>
              <w:top w:val="nil"/>
              <w:left w:val="nil"/>
              <w:bottom w:val="single" w:sz="4" w:space="0" w:color="000000"/>
              <w:right w:val="single" w:sz="4" w:space="0" w:color="000000"/>
            </w:tcBorders>
            <w:shd w:val="clear" w:color="auto" w:fill="auto"/>
            <w:vAlign w:val="center"/>
            <w:hideMark/>
          </w:tcPr>
          <w:p w14:paraId="2FA4D30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738,20</w:t>
            </w:r>
          </w:p>
        </w:tc>
        <w:tc>
          <w:tcPr>
            <w:tcW w:w="862" w:type="dxa"/>
            <w:tcBorders>
              <w:top w:val="nil"/>
              <w:left w:val="nil"/>
              <w:bottom w:val="single" w:sz="4" w:space="0" w:color="000000"/>
              <w:right w:val="single" w:sz="4" w:space="0" w:color="000000"/>
            </w:tcBorders>
            <w:shd w:val="clear" w:color="auto" w:fill="auto"/>
            <w:vAlign w:val="center"/>
            <w:hideMark/>
          </w:tcPr>
          <w:p w14:paraId="613F952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F4986B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669,66</w:t>
            </w:r>
          </w:p>
        </w:tc>
        <w:tc>
          <w:tcPr>
            <w:tcW w:w="1028" w:type="dxa"/>
            <w:tcBorders>
              <w:top w:val="nil"/>
              <w:left w:val="nil"/>
              <w:bottom w:val="single" w:sz="4" w:space="0" w:color="000000"/>
              <w:right w:val="single" w:sz="4" w:space="0" w:color="000000"/>
            </w:tcBorders>
            <w:shd w:val="clear" w:color="auto" w:fill="auto"/>
            <w:vAlign w:val="center"/>
            <w:hideMark/>
          </w:tcPr>
          <w:p w14:paraId="22C2890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-61,43</w:t>
            </w:r>
          </w:p>
        </w:tc>
        <w:tc>
          <w:tcPr>
            <w:tcW w:w="944" w:type="dxa"/>
            <w:tcBorders>
              <w:top w:val="nil"/>
              <w:left w:val="nil"/>
              <w:bottom w:val="single" w:sz="4" w:space="0" w:color="000000"/>
              <w:right w:val="single" w:sz="8" w:space="0" w:color="000000"/>
            </w:tcBorders>
            <w:shd w:val="clear" w:color="auto" w:fill="auto"/>
            <w:vAlign w:val="center"/>
            <w:hideMark/>
          </w:tcPr>
          <w:p w14:paraId="1C109EC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2,92</w:t>
            </w:r>
          </w:p>
        </w:tc>
      </w:tr>
      <w:tr w:rsidR="00EF4BC3" w:rsidRPr="009E5B39" w14:paraId="2E087501"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526F3B1"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111130</w:t>
            </w:r>
          </w:p>
        </w:tc>
        <w:tc>
          <w:tcPr>
            <w:tcW w:w="2268" w:type="dxa"/>
            <w:tcBorders>
              <w:top w:val="nil"/>
              <w:left w:val="nil"/>
              <w:bottom w:val="single" w:sz="4" w:space="0" w:color="000000"/>
              <w:right w:val="single" w:sz="4" w:space="0" w:color="000000"/>
            </w:tcBorders>
            <w:shd w:val="clear" w:color="auto" w:fill="auto"/>
            <w:vAlign w:val="center"/>
            <w:hideMark/>
          </w:tcPr>
          <w:p w14:paraId="525FB71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Impozit pe venitul aferent operațiunilor de predare în posesie și/sau folosință a proprietății imobiliare (11105)</w:t>
            </w:r>
          </w:p>
        </w:tc>
        <w:tc>
          <w:tcPr>
            <w:tcW w:w="992" w:type="dxa"/>
            <w:tcBorders>
              <w:top w:val="nil"/>
              <w:left w:val="nil"/>
              <w:bottom w:val="single" w:sz="4" w:space="0" w:color="000000"/>
              <w:right w:val="single" w:sz="4" w:space="0" w:color="000000"/>
            </w:tcBorders>
            <w:shd w:val="clear" w:color="auto" w:fill="auto"/>
            <w:vAlign w:val="center"/>
            <w:hideMark/>
          </w:tcPr>
          <w:p w14:paraId="3D00263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49C676D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DCA5A7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77,03</w:t>
            </w:r>
          </w:p>
        </w:tc>
        <w:tc>
          <w:tcPr>
            <w:tcW w:w="862" w:type="dxa"/>
            <w:tcBorders>
              <w:top w:val="nil"/>
              <w:left w:val="nil"/>
              <w:bottom w:val="single" w:sz="4" w:space="0" w:color="000000"/>
              <w:right w:val="single" w:sz="4" w:space="0" w:color="000000"/>
            </w:tcBorders>
            <w:shd w:val="clear" w:color="auto" w:fill="auto"/>
            <w:vAlign w:val="center"/>
            <w:hideMark/>
          </w:tcPr>
          <w:p w14:paraId="36FE70A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0,03</w:t>
            </w:r>
          </w:p>
        </w:tc>
        <w:tc>
          <w:tcPr>
            <w:tcW w:w="1064" w:type="dxa"/>
            <w:tcBorders>
              <w:top w:val="nil"/>
              <w:left w:val="nil"/>
              <w:bottom w:val="single" w:sz="4" w:space="0" w:color="000000"/>
              <w:right w:val="single" w:sz="4" w:space="0" w:color="000000"/>
            </w:tcBorders>
            <w:shd w:val="clear" w:color="auto" w:fill="auto"/>
            <w:vAlign w:val="center"/>
            <w:hideMark/>
          </w:tcPr>
          <w:p w14:paraId="5A35CC6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2.787,44</w:t>
            </w:r>
          </w:p>
        </w:tc>
        <w:tc>
          <w:tcPr>
            <w:tcW w:w="1028" w:type="dxa"/>
            <w:tcBorders>
              <w:top w:val="nil"/>
              <w:left w:val="nil"/>
              <w:bottom w:val="single" w:sz="4" w:space="0" w:color="000000"/>
              <w:right w:val="single" w:sz="4" w:space="0" w:color="000000"/>
            </w:tcBorders>
            <w:shd w:val="clear" w:color="auto" w:fill="auto"/>
            <w:vAlign w:val="center"/>
            <w:hideMark/>
          </w:tcPr>
          <w:p w14:paraId="5CEF7BA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6A67DFF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4510BDE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57D728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111130</w:t>
            </w:r>
          </w:p>
        </w:tc>
        <w:tc>
          <w:tcPr>
            <w:tcW w:w="2268" w:type="dxa"/>
            <w:tcBorders>
              <w:top w:val="nil"/>
              <w:left w:val="nil"/>
              <w:bottom w:val="single" w:sz="4" w:space="0" w:color="000000"/>
              <w:right w:val="single" w:sz="4" w:space="0" w:color="000000"/>
            </w:tcBorders>
            <w:shd w:val="clear" w:color="auto" w:fill="auto"/>
            <w:vAlign w:val="center"/>
          </w:tcPr>
          <w:p w14:paraId="089F12EA" w14:textId="6965CDB4"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9A5502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35FFF9E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821D1D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6,46</w:t>
            </w:r>
          </w:p>
        </w:tc>
        <w:tc>
          <w:tcPr>
            <w:tcW w:w="862" w:type="dxa"/>
            <w:tcBorders>
              <w:top w:val="nil"/>
              <w:left w:val="nil"/>
              <w:bottom w:val="single" w:sz="4" w:space="0" w:color="000000"/>
              <w:right w:val="single" w:sz="4" w:space="0" w:color="000000"/>
            </w:tcBorders>
            <w:shd w:val="clear" w:color="auto" w:fill="auto"/>
            <w:vAlign w:val="center"/>
            <w:hideMark/>
          </w:tcPr>
          <w:p w14:paraId="047B887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-0,48</w:t>
            </w:r>
          </w:p>
        </w:tc>
        <w:tc>
          <w:tcPr>
            <w:tcW w:w="1064" w:type="dxa"/>
            <w:tcBorders>
              <w:top w:val="nil"/>
              <w:left w:val="nil"/>
              <w:bottom w:val="single" w:sz="4" w:space="0" w:color="000000"/>
              <w:right w:val="single" w:sz="4" w:space="0" w:color="000000"/>
            </w:tcBorders>
            <w:shd w:val="clear" w:color="auto" w:fill="auto"/>
            <w:vAlign w:val="center"/>
            <w:hideMark/>
          </w:tcPr>
          <w:p w14:paraId="122FC80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3.500,25</w:t>
            </w:r>
          </w:p>
        </w:tc>
        <w:tc>
          <w:tcPr>
            <w:tcW w:w="1028" w:type="dxa"/>
            <w:tcBorders>
              <w:top w:val="nil"/>
              <w:left w:val="nil"/>
              <w:bottom w:val="single" w:sz="4" w:space="0" w:color="000000"/>
              <w:right w:val="single" w:sz="4" w:space="0" w:color="000000"/>
            </w:tcBorders>
            <w:shd w:val="clear" w:color="auto" w:fill="auto"/>
            <w:vAlign w:val="center"/>
            <w:hideMark/>
          </w:tcPr>
          <w:p w14:paraId="4E1A6DB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66F0F5C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22F96F2C"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E517FF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111130</w:t>
            </w:r>
          </w:p>
        </w:tc>
        <w:tc>
          <w:tcPr>
            <w:tcW w:w="2268" w:type="dxa"/>
            <w:tcBorders>
              <w:top w:val="nil"/>
              <w:left w:val="nil"/>
              <w:bottom w:val="single" w:sz="4" w:space="0" w:color="000000"/>
              <w:right w:val="single" w:sz="4" w:space="0" w:color="000000"/>
            </w:tcBorders>
            <w:shd w:val="clear" w:color="auto" w:fill="auto"/>
            <w:vAlign w:val="center"/>
          </w:tcPr>
          <w:p w14:paraId="07A6D9AF" w14:textId="01915E24"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6F9D5D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598D1C4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581B53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30,85</w:t>
            </w:r>
          </w:p>
        </w:tc>
        <w:tc>
          <w:tcPr>
            <w:tcW w:w="862" w:type="dxa"/>
            <w:tcBorders>
              <w:top w:val="nil"/>
              <w:left w:val="nil"/>
              <w:bottom w:val="single" w:sz="4" w:space="0" w:color="000000"/>
              <w:right w:val="single" w:sz="4" w:space="0" w:color="000000"/>
            </w:tcBorders>
            <w:shd w:val="clear" w:color="auto" w:fill="auto"/>
            <w:vAlign w:val="center"/>
            <w:hideMark/>
          </w:tcPr>
          <w:p w14:paraId="2C11E36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0,89</w:t>
            </w:r>
          </w:p>
        </w:tc>
        <w:tc>
          <w:tcPr>
            <w:tcW w:w="1064" w:type="dxa"/>
            <w:tcBorders>
              <w:top w:val="nil"/>
              <w:left w:val="nil"/>
              <w:bottom w:val="single" w:sz="4" w:space="0" w:color="000000"/>
              <w:right w:val="single" w:sz="4" w:space="0" w:color="000000"/>
            </w:tcBorders>
            <w:shd w:val="clear" w:color="auto" w:fill="auto"/>
            <w:vAlign w:val="center"/>
            <w:hideMark/>
          </w:tcPr>
          <w:p w14:paraId="454D0FB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2.397,0</w:t>
            </w:r>
          </w:p>
        </w:tc>
        <w:tc>
          <w:tcPr>
            <w:tcW w:w="1028" w:type="dxa"/>
            <w:tcBorders>
              <w:top w:val="nil"/>
              <w:left w:val="nil"/>
              <w:bottom w:val="single" w:sz="4" w:space="0" w:color="000000"/>
              <w:right w:val="single" w:sz="4" w:space="0" w:color="000000"/>
            </w:tcBorders>
            <w:shd w:val="clear" w:color="auto" w:fill="auto"/>
            <w:vAlign w:val="center"/>
            <w:hideMark/>
          </w:tcPr>
          <w:p w14:paraId="3861265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0208B44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3262D4B0"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62AC13A"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111130</w:t>
            </w:r>
          </w:p>
        </w:tc>
        <w:tc>
          <w:tcPr>
            <w:tcW w:w="2268" w:type="dxa"/>
            <w:tcBorders>
              <w:top w:val="nil"/>
              <w:left w:val="nil"/>
              <w:bottom w:val="single" w:sz="4" w:space="0" w:color="000000"/>
              <w:right w:val="single" w:sz="4" w:space="0" w:color="000000"/>
            </w:tcBorders>
            <w:shd w:val="clear" w:color="auto" w:fill="auto"/>
            <w:vAlign w:val="center"/>
          </w:tcPr>
          <w:p w14:paraId="4143C189" w14:textId="40D54632"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F647B1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2CD2DE6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0ABB08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0,99</w:t>
            </w:r>
          </w:p>
        </w:tc>
        <w:tc>
          <w:tcPr>
            <w:tcW w:w="862" w:type="dxa"/>
            <w:tcBorders>
              <w:top w:val="nil"/>
              <w:left w:val="nil"/>
              <w:bottom w:val="single" w:sz="4" w:space="0" w:color="000000"/>
              <w:right w:val="single" w:sz="4" w:space="0" w:color="000000"/>
            </w:tcBorders>
            <w:shd w:val="clear" w:color="auto" w:fill="auto"/>
            <w:vAlign w:val="center"/>
            <w:hideMark/>
          </w:tcPr>
          <w:p w14:paraId="459EDB1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-0,06</w:t>
            </w:r>
          </w:p>
        </w:tc>
        <w:tc>
          <w:tcPr>
            <w:tcW w:w="1064" w:type="dxa"/>
            <w:tcBorders>
              <w:top w:val="nil"/>
              <w:left w:val="nil"/>
              <w:bottom w:val="single" w:sz="4" w:space="0" w:color="000000"/>
              <w:right w:val="single" w:sz="4" w:space="0" w:color="000000"/>
            </w:tcBorders>
            <w:shd w:val="clear" w:color="auto" w:fill="auto"/>
            <w:vAlign w:val="center"/>
            <w:hideMark/>
          </w:tcPr>
          <w:p w14:paraId="7A48E5B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1.572,04</w:t>
            </w:r>
          </w:p>
        </w:tc>
        <w:tc>
          <w:tcPr>
            <w:tcW w:w="1028" w:type="dxa"/>
            <w:tcBorders>
              <w:top w:val="nil"/>
              <w:left w:val="nil"/>
              <w:bottom w:val="single" w:sz="4" w:space="0" w:color="000000"/>
              <w:right w:val="single" w:sz="4" w:space="0" w:color="000000"/>
            </w:tcBorders>
            <w:shd w:val="clear" w:color="auto" w:fill="auto"/>
            <w:vAlign w:val="center"/>
            <w:hideMark/>
          </w:tcPr>
          <w:p w14:paraId="59A172D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21BEDE4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76F1FFF2"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4863DEE"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113161</w:t>
            </w:r>
          </w:p>
        </w:tc>
        <w:tc>
          <w:tcPr>
            <w:tcW w:w="2268" w:type="dxa"/>
            <w:tcBorders>
              <w:top w:val="nil"/>
              <w:left w:val="nil"/>
              <w:bottom w:val="single" w:sz="4" w:space="0" w:color="000000"/>
              <w:right w:val="single" w:sz="4" w:space="0" w:color="000000"/>
            </w:tcBorders>
            <w:shd w:val="clear" w:color="auto" w:fill="auto"/>
            <w:vAlign w:val="center"/>
            <w:hideMark/>
          </w:tcPr>
          <w:p w14:paraId="7D028CB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Impozitul funciar al persoanelor juridice și fizice înregistrate în calitate de întreprinzător</w:t>
            </w:r>
          </w:p>
        </w:tc>
        <w:tc>
          <w:tcPr>
            <w:tcW w:w="992" w:type="dxa"/>
            <w:tcBorders>
              <w:top w:val="nil"/>
              <w:left w:val="nil"/>
              <w:bottom w:val="single" w:sz="4" w:space="0" w:color="000000"/>
              <w:right w:val="single" w:sz="4" w:space="0" w:color="000000"/>
            </w:tcBorders>
            <w:shd w:val="clear" w:color="auto" w:fill="auto"/>
            <w:vAlign w:val="center"/>
            <w:hideMark/>
          </w:tcPr>
          <w:p w14:paraId="65DCCCE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62AD88F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66C5DC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1.335,03</w:t>
            </w:r>
          </w:p>
        </w:tc>
        <w:tc>
          <w:tcPr>
            <w:tcW w:w="862" w:type="dxa"/>
            <w:tcBorders>
              <w:top w:val="nil"/>
              <w:left w:val="nil"/>
              <w:bottom w:val="single" w:sz="4" w:space="0" w:color="000000"/>
              <w:right w:val="single" w:sz="4" w:space="0" w:color="000000"/>
            </w:tcBorders>
            <w:shd w:val="clear" w:color="auto" w:fill="auto"/>
            <w:vAlign w:val="center"/>
            <w:hideMark/>
          </w:tcPr>
          <w:p w14:paraId="765639F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324,53</w:t>
            </w:r>
          </w:p>
        </w:tc>
        <w:tc>
          <w:tcPr>
            <w:tcW w:w="1064" w:type="dxa"/>
            <w:tcBorders>
              <w:top w:val="nil"/>
              <w:left w:val="nil"/>
              <w:bottom w:val="single" w:sz="4" w:space="0" w:color="000000"/>
              <w:right w:val="single" w:sz="4" w:space="0" w:color="000000"/>
            </w:tcBorders>
            <w:shd w:val="clear" w:color="auto" w:fill="auto"/>
            <w:vAlign w:val="center"/>
            <w:hideMark/>
          </w:tcPr>
          <w:p w14:paraId="64F9913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1.339,99</w:t>
            </w:r>
          </w:p>
        </w:tc>
        <w:tc>
          <w:tcPr>
            <w:tcW w:w="1028" w:type="dxa"/>
            <w:tcBorders>
              <w:top w:val="nil"/>
              <w:left w:val="nil"/>
              <w:bottom w:val="single" w:sz="4" w:space="0" w:color="000000"/>
              <w:right w:val="single" w:sz="4" w:space="0" w:color="000000"/>
            </w:tcBorders>
            <w:shd w:val="clear" w:color="auto" w:fill="auto"/>
            <w:vAlign w:val="center"/>
            <w:hideMark/>
          </w:tcPr>
          <w:p w14:paraId="5543D8F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-382,37</w:t>
            </w:r>
          </w:p>
        </w:tc>
        <w:tc>
          <w:tcPr>
            <w:tcW w:w="944" w:type="dxa"/>
            <w:tcBorders>
              <w:top w:val="nil"/>
              <w:left w:val="nil"/>
              <w:bottom w:val="single" w:sz="4" w:space="0" w:color="000000"/>
              <w:right w:val="single" w:sz="8" w:space="0" w:color="000000"/>
            </w:tcBorders>
            <w:shd w:val="clear" w:color="auto" w:fill="auto"/>
            <w:vAlign w:val="center"/>
            <w:hideMark/>
          </w:tcPr>
          <w:p w14:paraId="26E6951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820,28</w:t>
            </w:r>
          </w:p>
        </w:tc>
      </w:tr>
      <w:tr w:rsidR="00EF4BC3" w:rsidRPr="009E5B39" w14:paraId="14F79F65"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CF4E56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113161</w:t>
            </w:r>
          </w:p>
        </w:tc>
        <w:tc>
          <w:tcPr>
            <w:tcW w:w="2268" w:type="dxa"/>
            <w:tcBorders>
              <w:top w:val="nil"/>
              <w:left w:val="nil"/>
              <w:bottom w:val="single" w:sz="4" w:space="0" w:color="000000"/>
              <w:right w:val="single" w:sz="4" w:space="0" w:color="000000"/>
            </w:tcBorders>
            <w:shd w:val="clear" w:color="auto" w:fill="auto"/>
            <w:vAlign w:val="center"/>
          </w:tcPr>
          <w:p w14:paraId="1A111E8C" w14:textId="50F2D211"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1DCDA5F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7563FA8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78EB6B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582,50</w:t>
            </w:r>
          </w:p>
        </w:tc>
        <w:tc>
          <w:tcPr>
            <w:tcW w:w="862" w:type="dxa"/>
            <w:tcBorders>
              <w:top w:val="nil"/>
              <w:left w:val="nil"/>
              <w:bottom w:val="single" w:sz="4" w:space="0" w:color="000000"/>
              <w:right w:val="single" w:sz="4" w:space="0" w:color="000000"/>
            </w:tcBorders>
            <w:shd w:val="clear" w:color="auto" w:fill="auto"/>
            <w:vAlign w:val="center"/>
            <w:hideMark/>
          </w:tcPr>
          <w:p w14:paraId="5903F0E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874,50</w:t>
            </w:r>
          </w:p>
        </w:tc>
        <w:tc>
          <w:tcPr>
            <w:tcW w:w="1064" w:type="dxa"/>
            <w:tcBorders>
              <w:top w:val="nil"/>
              <w:left w:val="nil"/>
              <w:bottom w:val="single" w:sz="4" w:space="0" w:color="000000"/>
              <w:right w:val="single" w:sz="4" w:space="0" w:color="000000"/>
            </w:tcBorders>
            <w:shd w:val="clear" w:color="auto" w:fill="auto"/>
            <w:vAlign w:val="center"/>
            <w:hideMark/>
          </w:tcPr>
          <w:p w14:paraId="073EB6A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443,02</w:t>
            </w:r>
          </w:p>
        </w:tc>
        <w:tc>
          <w:tcPr>
            <w:tcW w:w="1028" w:type="dxa"/>
            <w:tcBorders>
              <w:top w:val="nil"/>
              <w:left w:val="nil"/>
              <w:bottom w:val="single" w:sz="4" w:space="0" w:color="000000"/>
              <w:right w:val="single" w:sz="4" w:space="0" w:color="000000"/>
            </w:tcBorders>
            <w:shd w:val="clear" w:color="auto" w:fill="auto"/>
            <w:vAlign w:val="center"/>
            <w:hideMark/>
          </w:tcPr>
          <w:p w14:paraId="0BF0DBA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-322,99</w:t>
            </w:r>
          </w:p>
        </w:tc>
        <w:tc>
          <w:tcPr>
            <w:tcW w:w="944" w:type="dxa"/>
            <w:tcBorders>
              <w:top w:val="nil"/>
              <w:left w:val="nil"/>
              <w:bottom w:val="single" w:sz="4" w:space="0" w:color="000000"/>
              <w:right w:val="single" w:sz="8" w:space="0" w:color="000000"/>
            </w:tcBorders>
            <w:shd w:val="clear" w:color="auto" w:fill="auto"/>
            <w:vAlign w:val="center"/>
            <w:hideMark/>
          </w:tcPr>
          <w:p w14:paraId="3226C8F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148,69</w:t>
            </w:r>
          </w:p>
        </w:tc>
      </w:tr>
      <w:tr w:rsidR="00EF4BC3" w:rsidRPr="009E5B39" w14:paraId="680403ED"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AAA90F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113161</w:t>
            </w:r>
          </w:p>
        </w:tc>
        <w:tc>
          <w:tcPr>
            <w:tcW w:w="2268" w:type="dxa"/>
            <w:tcBorders>
              <w:top w:val="nil"/>
              <w:left w:val="nil"/>
              <w:bottom w:val="single" w:sz="4" w:space="0" w:color="000000"/>
              <w:right w:val="single" w:sz="4" w:space="0" w:color="000000"/>
            </w:tcBorders>
            <w:shd w:val="clear" w:color="auto" w:fill="auto"/>
            <w:vAlign w:val="center"/>
          </w:tcPr>
          <w:p w14:paraId="7C898663" w14:textId="3C602545"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2F578A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5E218B4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7E93E5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286,01</w:t>
            </w:r>
          </w:p>
        </w:tc>
        <w:tc>
          <w:tcPr>
            <w:tcW w:w="862" w:type="dxa"/>
            <w:tcBorders>
              <w:top w:val="nil"/>
              <w:left w:val="nil"/>
              <w:bottom w:val="single" w:sz="4" w:space="0" w:color="000000"/>
              <w:right w:val="single" w:sz="4" w:space="0" w:color="000000"/>
            </w:tcBorders>
            <w:shd w:val="clear" w:color="auto" w:fill="auto"/>
            <w:vAlign w:val="center"/>
            <w:hideMark/>
          </w:tcPr>
          <w:p w14:paraId="5A09931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249,58</w:t>
            </w:r>
          </w:p>
        </w:tc>
        <w:tc>
          <w:tcPr>
            <w:tcW w:w="1064" w:type="dxa"/>
            <w:tcBorders>
              <w:top w:val="nil"/>
              <w:left w:val="nil"/>
              <w:bottom w:val="single" w:sz="4" w:space="0" w:color="000000"/>
              <w:right w:val="single" w:sz="4" w:space="0" w:color="000000"/>
            </w:tcBorders>
            <w:shd w:val="clear" w:color="auto" w:fill="auto"/>
            <w:vAlign w:val="center"/>
            <w:hideMark/>
          </w:tcPr>
          <w:p w14:paraId="3C5D442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436,74</w:t>
            </w:r>
          </w:p>
        </w:tc>
        <w:tc>
          <w:tcPr>
            <w:tcW w:w="1028" w:type="dxa"/>
            <w:tcBorders>
              <w:top w:val="nil"/>
              <w:left w:val="nil"/>
              <w:bottom w:val="single" w:sz="4" w:space="0" w:color="000000"/>
              <w:right w:val="single" w:sz="4" w:space="0" w:color="000000"/>
            </w:tcBorders>
            <w:shd w:val="clear" w:color="auto" w:fill="auto"/>
            <w:vAlign w:val="center"/>
            <w:hideMark/>
          </w:tcPr>
          <w:p w14:paraId="610D7C9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-233,89</w:t>
            </w:r>
          </w:p>
        </w:tc>
        <w:tc>
          <w:tcPr>
            <w:tcW w:w="944" w:type="dxa"/>
            <w:tcBorders>
              <w:top w:val="nil"/>
              <w:left w:val="nil"/>
              <w:bottom w:val="single" w:sz="4" w:space="0" w:color="000000"/>
              <w:right w:val="single" w:sz="8" w:space="0" w:color="000000"/>
            </w:tcBorders>
            <w:shd w:val="clear" w:color="auto" w:fill="auto"/>
            <w:vAlign w:val="center"/>
            <w:hideMark/>
          </w:tcPr>
          <w:p w14:paraId="5D718B9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229,09</w:t>
            </w:r>
          </w:p>
        </w:tc>
      </w:tr>
      <w:tr w:rsidR="00EF4BC3" w:rsidRPr="009E5B39" w14:paraId="36D35D84"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D179B8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113161</w:t>
            </w:r>
          </w:p>
        </w:tc>
        <w:tc>
          <w:tcPr>
            <w:tcW w:w="2268" w:type="dxa"/>
            <w:tcBorders>
              <w:top w:val="nil"/>
              <w:left w:val="nil"/>
              <w:bottom w:val="single" w:sz="4" w:space="0" w:color="000000"/>
              <w:right w:val="single" w:sz="4" w:space="0" w:color="000000"/>
            </w:tcBorders>
            <w:shd w:val="clear" w:color="auto" w:fill="auto"/>
            <w:vAlign w:val="center"/>
          </w:tcPr>
          <w:p w14:paraId="0DB64A43" w14:textId="4F829B89"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54B931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5F563C9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A5F039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1.131,79</w:t>
            </w:r>
          </w:p>
        </w:tc>
        <w:tc>
          <w:tcPr>
            <w:tcW w:w="862" w:type="dxa"/>
            <w:tcBorders>
              <w:top w:val="nil"/>
              <w:left w:val="nil"/>
              <w:bottom w:val="single" w:sz="4" w:space="0" w:color="000000"/>
              <w:right w:val="single" w:sz="4" w:space="0" w:color="000000"/>
            </w:tcBorders>
            <w:shd w:val="clear" w:color="auto" w:fill="auto"/>
            <w:vAlign w:val="center"/>
            <w:hideMark/>
          </w:tcPr>
          <w:p w14:paraId="7A18603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42,84</w:t>
            </w:r>
          </w:p>
        </w:tc>
        <w:tc>
          <w:tcPr>
            <w:tcW w:w="1064" w:type="dxa"/>
            <w:tcBorders>
              <w:top w:val="nil"/>
              <w:left w:val="nil"/>
              <w:bottom w:val="single" w:sz="4" w:space="0" w:color="000000"/>
              <w:right w:val="single" w:sz="4" w:space="0" w:color="000000"/>
            </w:tcBorders>
            <w:shd w:val="clear" w:color="auto" w:fill="auto"/>
            <w:vAlign w:val="center"/>
            <w:hideMark/>
          </w:tcPr>
          <w:p w14:paraId="142FDA9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724,82</w:t>
            </w:r>
          </w:p>
        </w:tc>
        <w:tc>
          <w:tcPr>
            <w:tcW w:w="1028" w:type="dxa"/>
            <w:tcBorders>
              <w:top w:val="nil"/>
              <w:left w:val="nil"/>
              <w:bottom w:val="single" w:sz="4" w:space="0" w:color="000000"/>
              <w:right w:val="single" w:sz="4" w:space="0" w:color="000000"/>
            </w:tcBorders>
            <w:shd w:val="clear" w:color="auto" w:fill="auto"/>
            <w:vAlign w:val="center"/>
            <w:hideMark/>
          </w:tcPr>
          <w:p w14:paraId="0AE1F77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-168,84</w:t>
            </w:r>
          </w:p>
        </w:tc>
        <w:tc>
          <w:tcPr>
            <w:tcW w:w="944" w:type="dxa"/>
            <w:tcBorders>
              <w:top w:val="nil"/>
              <w:left w:val="nil"/>
              <w:bottom w:val="single" w:sz="4" w:space="0" w:color="000000"/>
              <w:right w:val="single" w:sz="8" w:space="0" w:color="000000"/>
            </w:tcBorders>
            <w:shd w:val="clear" w:color="auto" w:fill="auto"/>
            <w:vAlign w:val="center"/>
            <w:hideMark/>
          </w:tcPr>
          <w:p w14:paraId="19DFB94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197,84</w:t>
            </w:r>
          </w:p>
        </w:tc>
      </w:tr>
      <w:tr w:rsidR="00EF4BC3" w:rsidRPr="009E5B39" w14:paraId="05637896"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5B7557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113171</w:t>
            </w:r>
          </w:p>
        </w:tc>
        <w:tc>
          <w:tcPr>
            <w:tcW w:w="2268" w:type="dxa"/>
            <w:tcBorders>
              <w:top w:val="nil"/>
              <w:left w:val="nil"/>
              <w:bottom w:val="single" w:sz="4" w:space="0" w:color="000000"/>
              <w:right w:val="single" w:sz="4" w:space="0" w:color="000000"/>
            </w:tcBorders>
            <w:shd w:val="clear" w:color="auto" w:fill="auto"/>
            <w:vAlign w:val="center"/>
            <w:hideMark/>
          </w:tcPr>
          <w:p w14:paraId="45558447" w14:textId="176A308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xml:space="preserve">Impozitul funciar al persoanelor fizice </w:t>
            </w:r>
            <w:r w:rsidR="00F53A05" w:rsidRPr="009E5B39">
              <w:rPr>
                <w:rFonts w:asciiTheme="majorHAnsi" w:eastAsia="Times New Roman" w:hAnsiTheme="majorHAnsi" w:cstheme="majorHAnsi"/>
                <w:sz w:val="16"/>
                <w:szCs w:val="16"/>
                <w:lang w:val="ro-MD"/>
              </w:rPr>
              <w:t>–</w:t>
            </w:r>
            <w:r w:rsidRPr="009E5B39">
              <w:rPr>
                <w:rFonts w:asciiTheme="majorHAnsi" w:eastAsia="Times New Roman" w:hAnsiTheme="majorHAnsi" w:cstheme="majorHAnsi"/>
                <w:sz w:val="16"/>
                <w:szCs w:val="16"/>
                <w:lang w:val="ro-MD"/>
              </w:rPr>
              <w:t xml:space="preserve"> cetățeni</w:t>
            </w:r>
          </w:p>
        </w:tc>
        <w:tc>
          <w:tcPr>
            <w:tcW w:w="992" w:type="dxa"/>
            <w:tcBorders>
              <w:top w:val="nil"/>
              <w:left w:val="nil"/>
              <w:bottom w:val="single" w:sz="4" w:space="0" w:color="000000"/>
              <w:right w:val="single" w:sz="4" w:space="0" w:color="000000"/>
            </w:tcBorders>
            <w:shd w:val="clear" w:color="auto" w:fill="auto"/>
            <w:vAlign w:val="center"/>
            <w:hideMark/>
          </w:tcPr>
          <w:p w14:paraId="7CC0626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7B8C9FC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CDA675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0,53</w:t>
            </w:r>
          </w:p>
        </w:tc>
        <w:tc>
          <w:tcPr>
            <w:tcW w:w="862" w:type="dxa"/>
            <w:tcBorders>
              <w:top w:val="nil"/>
              <w:left w:val="nil"/>
              <w:bottom w:val="single" w:sz="4" w:space="0" w:color="000000"/>
              <w:right w:val="single" w:sz="4" w:space="0" w:color="000000"/>
            </w:tcBorders>
            <w:shd w:val="clear" w:color="auto" w:fill="auto"/>
            <w:vAlign w:val="center"/>
            <w:hideMark/>
          </w:tcPr>
          <w:p w14:paraId="41BB4A8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0,43</w:t>
            </w:r>
          </w:p>
        </w:tc>
        <w:tc>
          <w:tcPr>
            <w:tcW w:w="1064" w:type="dxa"/>
            <w:tcBorders>
              <w:top w:val="nil"/>
              <w:left w:val="nil"/>
              <w:bottom w:val="single" w:sz="4" w:space="0" w:color="000000"/>
              <w:right w:val="single" w:sz="4" w:space="0" w:color="000000"/>
            </w:tcBorders>
            <w:shd w:val="clear" w:color="auto" w:fill="auto"/>
            <w:vAlign w:val="center"/>
            <w:hideMark/>
          </w:tcPr>
          <w:p w14:paraId="4927C3D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3,59</w:t>
            </w:r>
          </w:p>
        </w:tc>
        <w:tc>
          <w:tcPr>
            <w:tcW w:w="1028" w:type="dxa"/>
            <w:tcBorders>
              <w:top w:val="nil"/>
              <w:left w:val="nil"/>
              <w:bottom w:val="single" w:sz="4" w:space="0" w:color="000000"/>
              <w:right w:val="single" w:sz="4" w:space="0" w:color="000000"/>
            </w:tcBorders>
            <w:shd w:val="clear" w:color="auto" w:fill="auto"/>
            <w:vAlign w:val="center"/>
            <w:hideMark/>
          </w:tcPr>
          <w:p w14:paraId="158FCC1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-0,98</w:t>
            </w:r>
          </w:p>
        </w:tc>
        <w:tc>
          <w:tcPr>
            <w:tcW w:w="944" w:type="dxa"/>
            <w:tcBorders>
              <w:top w:val="nil"/>
              <w:left w:val="nil"/>
              <w:bottom w:val="single" w:sz="4" w:space="0" w:color="000000"/>
              <w:right w:val="single" w:sz="8" w:space="0" w:color="000000"/>
            </w:tcBorders>
            <w:shd w:val="clear" w:color="auto" w:fill="auto"/>
            <w:vAlign w:val="center"/>
            <w:hideMark/>
          </w:tcPr>
          <w:p w14:paraId="4894894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2,74</w:t>
            </w:r>
          </w:p>
        </w:tc>
      </w:tr>
      <w:tr w:rsidR="00EF4BC3" w:rsidRPr="009E5B39" w14:paraId="76756870"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415B568"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113171</w:t>
            </w:r>
          </w:p>
        </w:tc>
        <w:tc>
          <w:tcPr>
            <w:tcW w:w="2268" w:type="dxa"/>
            <w:tcBorders>
              <w:top w:val="nil"/>
              <w:left w:val="nil"/>
              <w:bottom w:val="single" w:sz="4" w:space="0" w:color="000000"/>
              <w:right w:val="single" w:sz="4" w:space="0" w:color="000000"/>
            </w:tcBorders>
            <w:shd w:val="clear" w:color="auto" w:fill="auto"/>
            <w:vAlign w:val="center"/>
          </w:tcPr>
          <w:p w14:paraId="5FDD4958" w14:textId="6095BDF2"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753AAC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6FCA9CA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AE7C99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0,004</w:t>
            </w:r>
          </w:p>
        </w:tc>
        <w:tc>
          <w:tcPr>
            <w:tcW w:w="862" w:type="dxa"/>
            <w:tcBorders>
              <w:top w:val="nil"/>
              <w:left w:val="nil"/>
              <w:bottom w:val="single" w:sz="4" w:space="0" w:color="000000"/>
              <w:right w:val="single" w:sz="4" w:space="0" w:color="000000"/>
            </w:tcBorders>
            <w:shd w:val="clear" w:color="auto" w:fill="auto"/>
            <w:vAlign w:val="center"/>
            <w:hideMark/>
          </w:tcPr>
          <w:p w14:paraId="392E996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-0,05</w:t>
            </w:r>
          </w:p>
        </w:tc>
        <w:tc>
          <w:tcPr>
            <w:tcW w:w="1064" w:type="dxa"/>
            <w:tcBorders>
              <w:top w:val="nil"/>
              <w:left w:val="nil"/>
              <w:bottom w:val="single" w:sz="4" w:space="0" w:color="000000"/>
              <w:right w:val="single" w:sz="4" w:space="0" w:color="000000"/>
            </w:tcBorders>
            <w:shd w:val="clear" w:color="auto" w:fill="auto"/>
            <w:vAlign w:val="center"/>
            <w:hideMark/>
          </w:tcPr>
          <w:p w14:paraId="4BC0BB1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0,25</w:t>
            </w:r>
          </w:p>
        </w:tc>
        <w:tc>
          <w:tcPr>
            <w:tcW w:w="1028" w:type="dxa"/>
            <w:tcBorders>
              <w:top w:val="nil"/>
              <w:left w:val="nil"/>
              <w:bottom w:val="single" w:sz="4" w:space="0" w:color="000000"/>
              <w:right w:val="single" w:sz="4" w:space="0" w:color="000000"/>
            </w:tcBorders>
            <w:shd w:val="clear" w:color="auto" w:fill="auto"/>
            <w:vAlign w:val="center"/>
            <w:hideMark/>
          </w:tcPr>
          <w:p w14:paraId="3BD57E8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-0,01</w:t>
            </w:r>
          </w:p>
        </w:tc>
        <w:tc>
          <w:tcPr>
            <w:tcW w:w="944" w:type="dxa"/>
            <w:tcBorders>
              <w:top w:val="nil"/>
              <w:left w:val="nil"/>
              <w:bottom w:val="single" w:sz="4" w:space="0" w:color="000000"/>
              <w:right w:val="single" w:sz="8" w:space="0" w:color="000000"/>
            </w:tcBorders>
            <w:shd w:val="clear" w:color="auto" w:fill="auto"/>
            <w:vAlign w:val="center"/>
            <w:hideMark/>
          </w:tcPr>
          <w:p w14:paraId="0863C47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0,34</w:t>
            </w:r>
          </w:p>
        </w:tc>
      </w:tr>
      <w:tr w:rsidR="00EF4BC3" w:rsidRPr="009E5B39" w14:paraId="588F2DBF"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134950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113171</w:t>
            </w:r>
          </w:p>
        </w:tc>
        <w:tc>
          <w:tcPr>
            <w:tcW w:w="2268" w:type="dxa"/>
            <w:tcBorders>
              <w:top w:val="nil"/>
              <w:left w:val="nil"/>
              <w:bottom w:val="single" w:sz="4" w:space="0" w:color="000000"/>
              <w:right w:val="single" w:sz="4" w:space="0" w:color="000000"/>
            </w:tcBorders>
            <w:shd w:val="clear" w:color="auto" w:fill="auto"/>
            <w:vAlign w:val="center"/>
          </w:tcPr>
          <w:p w14:paraId="2945658A" w14:textId="6BA4CB52"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655239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6B443EF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4313A8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0,33</w:t>
            </w:r>
          </w:p>
        </w:tc>
        <w:tc>
          <w:tcPr>
            <w:tcW w:w="862" w:type="dxa"/>
            <w:tcBorders>
              <w:top w:val="nil"/>
              <w:left w:val="nil"/>
              <w:bottom w:val="single" w:sz="4" w:space="0" w:color="000000"/>
              <w:right w:val="single" w:sz="4" w:space="0" w:color="000000"/>
            </w:tcBorders>
            <w:shd w:val="clear" w:color="auto" w:fill="auto"/>
            <w:vAlign w:val="center"/>
            <w:hideMark/>
          </w:tcPr>
          <w:p w14:paraId="5F9F96A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0,33</w:t>
            </w:r>
          </w:p>
        </w:tc>
        <w:tc>
          <w:tcPr>
            <w:tcW w:w="1064" w:type="dxa"/>
            <w:tcBorders>
              <w:top w:val="nil"/>
              <w:left w:val="nil"/>
              <w:bottom w:val="single" w:sz="4" w:space="0" w:color="000000"/>
              <w:right w:val="single" w:sz="4" w:space="0" w:color="000000"/>
            </w:tcBorders>
            <w:shd w:val="clear" w:color="auto" w:fill="auto"/>
            <w:vAlign w:val="center"/>
            <w:hideMark/>
          </w:tcPr>
          <w:p w14:paraId="08643CD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1,26</w:t>
            </w:r>
          </w:p>
        </w:tc>
        <w:tc>
          <w:tcPr>
            <w:tcW w:w="1028" w:type="dxa"/>
            <w:tcBorders>
              <w:top w:val="nil"/>
              <w:left w:val="nil"/>
              <w:bottom w:val="single" w:sz="4" w:space="0" w:color="000000"/>
              <w:right w:val="single" w:sz="4" w:space="0" w:color="000000"/>
            </w:tcBorders>
            <w:shd w:val="clear" w:color="auto" w:fill="auto"/>
            <w:vAlign w:val="center"/>
            <w:hideMark/>
          </w:tcPr>
          <w:p w14:paraId="087E133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-2,91</w:t>
            </w:r>
          </w:p>
        </w:tc>
        <w:tc>
          <w:tcPr>
            <w:tcW w:w="944" w:type="dxa"/>
            <w:tcBorders>
              <w:top w:val="nil"/>
              <w:left w:val="nil"/>
              <w:bottom w:val="single" w:sz="4" w:space="0" w:color="000000"/>
              <w:right w:val="single" w:sz="8" w:space="0" w:color="000000"/>
            </w:tcBorders>
            <w:shd w:val="clear" w:color="auto" w:fill="auto"/>
            <w:vAlign w:val="center"/>
            <w:hideMark/>
          </w:tcPr>
          <w:p w14:paraId="67B2FC8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1,38</w:t>
            </w:r>
          </w:p>
        </w:tc>
      </w:tr>
      <w:tr w:rsidR="00EF4BC3" w:rsidRPr="009E5B39" w14:paraId="45962D41"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7DADCA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113171</w:t>
            </w:r>
          </w:p>
        </w:tc>
        <w:tc>
          <w:tcPr>
            <w:tcW w:w="2268" w:type="dxa"/>
            <w:tcBorders>
              <w:top w:val="nil"/>
              <w:left w:val="nil"/>
              <w:bottom w:val="single" w:sz="4" w:space="0" w:color="000000"/>
              <w:right w:val="single" w:sz="4" w:space="0" w:color="000000"/>
            </w:tcBorders>
            <w:shd w:val="clear" w:color="auto" w:fill="auto"/>
            <w:vAlign w:val="center"/>
          </w:tcPr>
          <w:p w14:paraId="724F5AC3" w14:textId="2C1903E6"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959ED3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39EE32E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224365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0,04</w:t>
            </w:r>
          </w:p>
        </w:tc>
        <w:tc>
          <w:tcPr>
            <w:tcW w:w="862" w:type="dxa"/>
            <w:tcBorders>
              <w:top w:val="nil"/>
              <w:left w:val="nil"/>
              <w:bottom w:val="single" w:sz="4" w:space="0" w:color="000000"/>
              <w:right w:val="single" w:sz="4" w:space="0" w:color="000000"/>
            </w:tcBorders>
            <w:shd w:val="clear" w:color="auto" w:fill="auto"/>
            <w:vAlign w:val="center"/>
            <w:hideMark/>
          </w:tcPr>
          <w:p w14:paraId="424580B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0,01</w:t>
            </w:r>
          </w:p>
        </w:tc>
        <w:tc>
          <w:tcPr>
            <w:tcW w:w="1064" w:type="dxa"/>
            <w:tcBorders>
              <w:top w:val="nil"/>
              <w:left w:val="nil"/>
              <w:bottom w:val="single" w:sz="4" w:space="0" w:color="000000"/>
              <w:right w:val="single" w:sz="4" w:space="0" w:color="000000"/>
            </w:tcBorders>
            <w:shd w:val="clear" w:color="auto" w:fill="auto"/>
            <w:vAlign w:val="center"/>
            <w:hideMark/>
          </w:tcPr>
          <w:p w14:paraId="7F67056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8,89</w:t>
            </w:r>
          </w:p>
        </w:tc>
        <w:tc>
          <w:tcPr>
            <w:tcW w:w="1028" w:type="dxa"/>
            <w:tcBorders>
              <w:top w:val="nil"/>
              <w:left w:val="nil"/>
              <w:bottom w:val="single" w:sz="4" w:space="0" w:color="000000"/>
              <w:right w:val="single" w:sz="4" w:space="0" w:color="000000"/>
            </w:tcBorders>
            <w:shd w:val="clear" w:color="auto" w:fill="auto"/>
            <w:vAlign w:val="center"/>
            <w:hideMark/>
          </w:tcPr>
          <w:p w14:paraId="2E464D7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-0,08</w:t>
            </w:r>
          </w:p>
        </w:tc>
        <w:tc>
          <w:tcPr>
            <w:tcW w:w="944" w:type="dxa"/>
            <w:tcBorders>
              <w:top w:val="nil"/>
              <w:left w:val="nil"/>
              <w:bottom w:val="single" w:sz="4" w:space="0" w:color="000000"/>
              <w:right w:val="single" w:sz="8" w:space="0" w:color="000000"/>
            </w:tcBorders>
            <w:shd w:val="clear" w:color="auto" w:fill="auto"/>
            <w:vAlign w:val="center"/>
            <w:hideMark/>
          </w:tcPr>
          <w:p w14:paraId="5A17293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8,94</w:t>
            </w:r>
          </w:p>
        </w:tc>
      </w:tr>
      <w:tr w:rsidR="00EF4BC3" w:rsidRPr="009E5B39" w14:paraId="355BF2ED"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D52E883"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113210</w:t>
            </w:r>
          </w:p>
        </w:tc>
        <w:tc>
          <w:tcPr>
            <w:tcW w:w="2268" w:type="dxa"/>
            <w:tcBorders>
              <w:top w:val="nil"/>
              <w:left w:val="nil"/>
              <w:bottom w:val="single" w:sz="4" w:space="0" w:color="000000"/>
              <w:right w:val="single" w:sz="4" w:space="0" w:color="000000"/>
            </w:tcBorders>
            <w:shd w:val="clear" w:color="auto" w:fill="auto"/>
            <w:vAlign w:val="center"/>
            <w:hideMark/>
          </w:tcPr>
          <w:p w14:paraId="60AEB18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Impozitul pe bunurile imobiliare ale persoanelor juridice (11410)</w:t>
            </w:r>
          </w:p>
        </w:tc>
        <w:tc>
          <w:tcPr>
            <w:tcW w:w="992" w:type="dxa"/>
            <w:tcBorders>
              <w:top w:val="nil"/>
              <w:left w:val="nil"/>
              <w:bottom w:val="single" w:sz="4" w:space="0" w:color="000000"/>
              <w:right w:val="single" w:sz="4" w:space="0" w:color="000000"/>
            </w:tcBorders>
            <w:shd w:val="clear" w:color="auto" w:fill="auto"/>
            <w:vAlign w:val="center"/>
            <w:hideMark/>
          </w:tcPr>
          <w:p w14:paraId="28DD238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-509,81</w:t>
            </w:r>
          </w:p>
        </w:tc>
        <w:tc>
          <w:tcPr>
            <w:tcW w:w="944" w:type="dxa"/>
            <w:tcBorders>
              <w:top w:val="nil"/>
              <w:left w:val="nil"/>
              <w:bottom w:val="single" w:sz="4" w:space="0" w:color="000000"/>
              <w:right w:val="single" w:sz="4" w:space="0" w:color="000000"/>
            </w:tcBorders>
            <w:shd w:val="clear" w:color="auto" w:fill="auto"/>
            <w:vAlign w:val="center"/>
            <w:hideMark/>
          </w:tcPr>
          <w:p w14:paraId="46A9585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3.547,67</w:t>
            </w:r>
          </w:p>
        </w:tc>
        <w:tc>
          <w:tcPr>
            <w:tcW w:w="1064" w:type="dxa"/>
            <w:tcBorders>
              <w:top w:val="nil"/>
              <w:left w:val="nil"/>
              <w:bottom w:val="single" w:sz="4" w:space="0" w:color="000000"/>
              <w:right w:val="single" w:sz="4" w:space="0" w:color="000000"/>
            </w:tcBorders>
            <w:shd w:val="clear" w:color="auto" w:fill="auto"/>
            <w:vAlign w:val="center"/>
            <w:hideMark/>
          </w:tcPr>
          <w:p w14:paraId="69B01C4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5.546,29</w:t>
            </w:r>
          </w:p>
        </w:tc>
        <w:tc>
          <w:tcPr>
            <w:tcW w:w="862" w:type="dxa"/>
            <w:tcBorders>
              <w:top w:val="nil"/>
              <w:left w:val="nil"/>
              <w:bottom w:val="single" w:sz="4" w:space="0" w:color="000000"/>
              <w:right w:val="single" w:sz="4" w:space="0" w:color="000000"/>
            </w:tcBorders>
            <w:shd w:val="clear" w:color="auto" w:fill="auto"/>
            <w:vAlign w:val="center"/>
            <w:hideMark/>
          </w:tcPr>
          <w:p w14:paraId="243A0C5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35,44</w:t>
            </w:r>
          </w:p>
        </w:tc>
        <w:tc>
          <w:tcPr>
            <w:tcW w:w="1064" w:type="dxa"/>
            <w:tcBorders>
              <w:top w:val="nil"/>
              <w:left w:val="nil"/>
              <w:bottom w:val="single" w:sz="4" w:space="0" w:color="000000"/>
              <w:right w:val="single" w:sz="4" w:space="0" w:color="000000"/>
            </w:tcBorders>
            <w:shd w:val="clear" w:color="auto" w:fill="auto"/>
            <w:vAlign w:val="center"/>
            <w:hideMark/>
          </w:tcPr>
          <w:p w14:paraId="61F7333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5.387,69</w:t>
            </w:r>
          </w:p>
        </w:tc>
        <w:tc>
          <w:tcPr>
            <w:tcW w:w="1028" w:type="dxa"/>
            <w:tcBorders>
              <w:top w:val="nil"/>
              <w:left w:val="nil"/>
              <w:bottom w:val="single" w:sz="4" w:space="0" w:color="000000"/>
              <w:right w:val="single" w:sz="4" w:space="0" w:color="000000"/>
            </w:tcBorders>
            <w:shd w:val="clear" w:color="auto" w:fill="auto"/>
            <w:vAlign w:val="center"/>
            <w:hideMark/>
          </w:tcPr>
          <w:p w14:paraId="6374191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-969,82</w:t>
            </w:r>
          </w:p>
        </w:tc>
        <w:tc>
          <w:tcPr>
            <w:tcW w:w="944" w:type="dxa"/>
            <w:tcBorders>
              <w:top w:val="nil"/>
              <w:left w:val="nil"/>
              <w:bottom w:val="single" w:sz="4" w:space="0" w:color="000000"/>
              <w:right w:val="single" w:sz="8" w:space="0" w:color="000000"/>
            </w:tcBorders>
            <w:shd w:val="clear" w:color="auto" w:fill="auto"/>
            <w:vAlign w:val="center"/>
            <w:hideMark/>
          </w:tcPr>
          <w:p w14:paraId="77F2B6C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3.726,32</w:t>
            </w:r>
          </w:p>
        </w:tc>
      </w:tr>
      <w:tr w:rsidR="00EF4BC3" w:rsidRPr="009E5B39" w14:paraId="437F624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3832BC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113210</w:t>
            </w:r>
          </w:p>
        </w:tc>
        <w:tc>
          <w:tcPr>
            <w:tcW w:w="2268" w:type="dxa"/>
            <w:tcBorders>
              <w:top w:val="nil"/>
              <w:left w:val="nil"/>
              <w:bottom w:val="single" w:sz="4" w:space="0" w:color="000000"/>
              <w:right w:val="single" w:sz="4" w:space="0" w:color="000000"/>
            </w:tcBorders>
            <w:shd w:val="clear" w:color="auto" w:fill="auto"/>
            <w:vAlign w:val="center"/>
          </w:tcPr>
          <w:p w14:paraId="7A32C47C" w14:textId="56B752D0"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08A8B16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-634,59</w:t>
            </w:r>
          </w:p>
        </w:tc>
        <w:tc>
          <w:tcPr>
            <w:tcW w:w="944" w:type="dxa"/>
            <w:tcBorders>
              <w:top w:val="nil"/>
              <w:left w:val="nil"/>
              <w:bottom w:val="single" w:sz="4" w:space="0" w:color="000000"/>
              <w:right w:val="single" w:sz="4" w:space="0" w:color="000000"/>
            </w:tcBorders>
            <w:shd w:val="clear" w:color="auto" w:fill="auto"/>
            <w:vAlign w:val="center"/>
            <w:hideMark/>
          </w:tcPr>
          <w:p w14:paraId="4AAB571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699,6</w:t>
            </w:r>
          </w:p>
        </w:tc>
        <w:tc>
          <w:tcPr>
            <w:tcW w:w="1064" w:type="dxa"/>
            <w:tcBorders>
              <w:top w:val="nil"/>
              <w:left w:val="nil"/>
              <w:bottom w:val="single" w:sz="4" w:space="0" w:color="000000"/>
              <w:right w:val="single" w:sz="4" w:space="0" w:color="000000"/>
            </w:tcBorders>
            <w:shd w:val="clear" w:color="auto" w:fill="auto"/>
            <w:vAlign w:val="center"/>
            <w:hideMark/>
          </w:tcPr>
          <w:p w14:paraId="2A3A26C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3.373,94</w:t>
            </w:r>
          </w:p>
        </w:tc>
        <w:tc>
          <w:tcPr>
            <w:tcW w:w="862" w:type="dxa"/>
            <w:tcBorders>
              <w:top w:val="nil"/>
              <w:left w:val="nil"/>
              <w:bottom w:val="single" w:sz="4" w:space="0" w:color="000000"/>
              <w:right w:val="single" w:sz="4" w:space="0" w:color="000000"/>
            </w:tcBorders>
            <w:shd w:val="clear" w:color="auto" w:fill="auto"/>
            <w:vAlign w:val="center"/>
            <w:hideMark/>
          </w:tcPr>
          <w:p w14:paraId="13EDF34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275,49</w:t>
            </w:r>
          </w:p>
        </w:tc>
        <w:tc>
          <w:tcPr>
            <w:tcW w:w="1064" w:type="dxa"/>
            <w:tcBorders>
              <w:top w:val="nil"/>
              <w:left w:val="nil"/>
              <w:bottom w:val="single" w:sz="4" w:space="0" w:color="000000"/>
              <w:right w:val="single" w:sz="4" w:space="0" w:color="000000"/>
            </w:tcBorders>
            <w:shd w:val="clear" w:color="auto" w:fill="auto"/>
            <w:vAlign w:val="center"/>
            <w:hideMark/>
          </w:tcPr>
          <w:p w14:paraId="2A9A24D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2.447,19</w:t>
            </w:r>
          </w:p>
        </w:tc>
        <w:tc>
          <w:tcPr>
            <w:tcW w:w="1028" w:type="dxa"/>
            <w:tcBorders>
              <w:top w:val="nil"/>
              <w:left w:val="nil"/>
              <w:bottom w:val="single" w:sz="4" w:space="0" w:color="000000"/>
              <w:right w:val="single" w:sz="4" w:space="0" w:color="000000"/>
            </w:tcBorders>
            <w:shd w:val="clear" w:color="auto" w:fill="auto"/>
            <w:vAlign w:val="center"/>
            <w:hideMark/>
          </w:tcPr>
          <w:p w14:paraId="7683005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-1.365,83</w:t>
            </w:r>
          </w:p>
        </w:tc>
        <w:tc>
          <w:tcPr>
            <w:tcW w:w="944" w:type="dxa"/>
            <w:tcBorders>
              <w:top w:val="nil"/>
              <w:left w:val="nil"/>
              <w:bottom w:val="single" w:sz="4" w:space="0" w:color="000000"/>
              <w:right w:val="single" w:sz="8" w:space="0" w:color="000000"/>
            </w:tcBorders>
            <w:shd w:val="clear" w:color="auto" w:fill="auto"/>
            <w:vAlign w:val="center"/>
            <w:hideMark/>
          </w:tcPr>
          <w:p w14:paraId="1AB2414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998,81</w:t>
            </w:r>
          </w:p>
        </w:tc>
      </w:tr>
      <w:tr w:rsidR="00EF4BC3" w:rsidRPr="009E5B39" w14:paraId="0D4352AC"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8E98EE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113210</w:t>
            </w:r>
          </w:p>
        </w:tc>
        <w:tc>
          <w:tcPr>
            <w:tcW w:w="2268" w:type="dxa"/>
            <w:tcBorders>
              <w:top w:val="nil"/>
              <w:left w:val="nil"/>
              <w:bottom w:val="single" w:sz="4" w:space="0" w:color="000000"/>
              <w:right w:val="single" w:sz="4" w:space="0" w:color="000000"/>
            </w:tcBorders>
            <w:shd w:val="clear" w:color="auto" w:fill="auto"/>
            <w:vAlign w:val="center"/>
          </w:tcPr>
          <w:p w14:paraId="031B7F8C" w14:textId="51F0E19C"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0F8D29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-628,44</w:t>
            </w:r>
          </w:p>
        </w:tc>
        <w:tc>
          <w:tcPr>
            <w:tcW w:w="944" w:type="dxa"/>
            <w:tcBorders>
              <w:top w:val="nil"/>
              <w:left w:val="nil"/>
              <w:bottom w:val="single" w:sz="4" w:space="0" w:color="000000"/>
              <w:right w:val="single" w:sz="4" w:space="0" w:color="000000"/>
            </w:tcBorders>
            <w:shd w:val="clear" w:color="auto" w:fill="auto"/>
            <w:vAlign w:val="center"/>
            <w:hideMark/>
          </w:tcPr>
          <w:p w14:paraId="74B47FB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438,02</w:t>
            </w:r>
          </w:p>
        </w:tc>
        <w:tc>
          <w:tcPr>
            <w:tcW w:w="1064" w:type="dxa"/>
            <w:tcBorders>
              <w:top w:val="nil"/>
              <w:left w:val="nil"/>
              <w:bottom w:val="single" w:sz="4" w:space="0" w:color="000000"/>
              <w:right w:val="single" w:sz="4" w:space="0" w:color="000000"/>
            </w:tcBorders>
            <w:shd w:val="clear" w:color="auto" w:fill="auto"/>
            <w:vAlign w:val="center"/>
            <w:hideMark/>
          </w:tcPr>
          <w:p w14:paraId="4B94868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1.302,16</w:t>
            </w:r>
          </w:p>
        </w:tc>
        <w:tc>
          <w:tcPr>
            <w:tcW w:w="862" w:type="dxa"/>
            <w:tcBorders>
              <w:top w:val="nil"/>
              <w:left w:val="nil"/>
              <w:bottom w:val="single" w:sz="4" w:space="0" w:color="000000"/>
              <w:right w:val="single" w:sz="4" w:space="0" w:color="000000"/>
            </w:tcBorders>
            <w:shd w:val="clear" w:color="auto" w:fill="auto"/>
            <w:vAlign w:val="center"/>
            <w:hideMark/>
          </w:tcPr>
          <w:p w14:paraId="1BFA4E1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-12,74</w:t>
            </w:r>
          </w:p>
        </w:tc>
        <w:tc>
          <w:tcPr>
            <w:tcW w:w="1064" w:type="dxa"/>
            <w:tcBorders>
              <w:top w:val="nil"/>
              <w:left w:val="nil"/>
              <w:bottom w:val="single" w:sz="4" w:space="0" w:color="000000"/>
              <w:right w:val="single" w:sz="4" w:space="0" w:color="000000"/>
            </w:tcBorders>
            <w:shd w:val="clear" w:color="auto" w:fill="auto"/>
            <w:vAlign w:val="center"/>
            <w:hideMark/>
          </w:tcPr>
          <w:p w14:paraId="6C92F97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1.651,77</w:t>
            </w:r>
          </w:p>
        </w:tc>
        <w:tc>
          <w:tcPr>
            <w:tcW w:w="1028" w:type="dxa"/>
            <w:tcBorders>
              <w:top w:val="nil"/>
              <w:left w:val="nil"/>
              <w:bottom w:val="single" w:sz="4" w:space="0" w:color="000000"/>
              <w:right w:val="single" w:sz="4" w:space="0" w:color="000000"/>
            </w:tcBorders>
            <w:shd w:val="clear" w:color="auto" w:fill="auto"/>
            <w:vAlign w:val="center"/>
            <w:hideMark/>
          </w:tcPr>
          <w:p w14:paraId="5D79F32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-590,56</w:t>
            </w:r>
          </w:p>
        </w:tc>
        <w:tc>
          <w:tcPr>
            <w:tcW w:w="944" w:type="dxa"/>
            <w:tcBorders>
              <w:top w:val="nil"/>
              <w:left w:val="nil"/>
              <w:bottom w:val="single" w:sz="4" w:space="0" w:color="000000"/>
              <w:right w:val="single" w:sz="8" w:space="0" w:color="000000"/>
            </w:tcBorders>
            <w:shd w:val="clear" w:color="auto" w:fill="auto"/>
            <w:vAlign w:val="center"/>
            <w:hideMark/>
          </w:tcPr>
          <w:p w14:paraId="2A72B2D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442,16</w:t>
            </w:r>
          </w:p>
        </w:tc>
      </w:tr>
      <w:tr w:rsidR="00EF4BC3" w:rsidRPr="009E5B39" w14:paraId="1209085C"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AC75A4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113210</w:t>
            </w:r>
          </w:p>
        </w:tc>
        <w:tc>
          <w:tcPr>
            <w:tcW w:w="2268" w:type="dxa"/>
            <w:tcBorders>
              <w:top w:val="nil"/>
              <w:left w:val="nil"/>
              <w:bottom w:val="single" w:sz="4" w:space="0" w:color="000000"/>
              <w:right w:val="single" w:sz="4" w:space="0" w:color="000000"/>
            </w:tcBorders>
            <w:shd w:val="clear" w:color="auto" w:fill="auto"/>
            <w:vAlign w:val="center"/>
          </w:tcPr>
          <w:p w14:paraId="7CDF9F7F" w14:textId="210BF4AA"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9F6CA7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-109,67</w:t>
            </w:r>
          </w:p>
        </w:tc>
        <w:tc>
          <w:tcPr>
            <w:tcW w:w="944" w:type="dxa"/>
            <w:tcBorders>
              <w:top w:val="nil"/>
              <w:left w:val="nil"/>
              <w:bottom w:val="single" w:sz="4" w:space="0" w:color="000000"/>
              <w:right w:val="single" w:sz="4" w:space="0" w:color="000000"/>
            </w:tcBorders>
            <w:shd w:val="clear" w:color="auto" w:fill="auto"/>
            <w:vAlign w:val="center"/>
            <w:hideMark/>
          </w:tcPr>
          <w:p w14:paraId="7BC11BE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508,89</w:t>
            </w:r>
          </w:p>
        </w:tc>
        <w:tc>
          <w:tcPr>
            <w:tcW w:w="1064" w:type="dxa"/>
            <w:tcBorders>
              <w:top w:val="nil"/>
              <w:left w:val="nil"/>
              <w:bottom w:val="single" w:sz="4" w:space="0" w:color="000000"/>
              <w:right w:val="single" w:sz="4" w:space="0" w:color="000000"/>
            </w:tcBorders>
            <w:shd w:val="clear" w:color="auto" w:fill="auto"/>
            <w:vAlign w:val="center"/>
            <w:hideMark/>
          </w:tcPr>
          <w:p w14:paraId="3A58585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3.030,99</w:t>
            </w:r>
          </w:p>
        </w:tc>
        <w:tc>
          <w:tcPr>
            <w:tcW w:w="862" w:type="dxa"/>
            <w:tcBorders>
              <w:top w:val="nil"/>
              <w:left w:val="nil"/>
              <w:bottom w:val="single" w:sz="4" w:space="0" w:color="000000"/>
              <w:right w:val="single" w:sz="4" w:space="0" w:color="000000"/>
            </w:tcBorders>
            <w:shd w:val="clear" w:color="auto" w:fill="auto"/>
            <w:vAlign w:val="center"/>
            <w:hideMark/>
          </w:tcPr>
          <w:p w14:paraId="6A42D3E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-29,47</w:t>
            </w:r>
          </w:p>
        </w:tc>
        <w:tc>
          <w:tcPr>
            <w:tcW w:w="1064" w:type="dxa"/>
            <w:tcBorders>
              <w:top w:val="nil"/>
              <w:left w:val="nil"/>
              <w:bottom w:val="single" w:sz="4" w:space="0" w:color="000000"/>
              <w:right w:val="single" w:sz="4" w:space="0" w:color="000000"/>
            </w:tcBorders>
            <w:shd w:val="clear" w:color="auto" w:fill="auto"/>
            <w:vAlign w:val="center"/>
            <w:hideMark/>
          </w:tcPr>
          <w:p w14:paraId="20C8493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3.223,89</w:t>
            </w:r>
          </w:p>
        </w:tc>
        <w:tc>
          <w:tcPr>
            <w:tcW w:w="1028" w:type="dxa"/>
            <w:tcBorders>
              <w:top w:val="nil"/>
              <w:left w:val="nil"/>
              <w:bottom w:val="single" w:sz="4" w:space="0" w:color="000000"/>
              <w:right w:val="single" w:sz="4" w:space="0" w:color="000000"/>
            </w:tcBorders>
            <w:shd w:val="clear" w:color="auto" w:fill="auto"/>
            <w:vAlign w:val="center"/>
            <w:hideMark/>
          </w:tcPr>
          <w:p w14:paraId="3EAEA0D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-354,01</w:t>
            </w:r>
          </w:p>
        </w:tc>
        <w:tc>
          <w:tcPr>
            <w:tcW w:w="944" w:type="dxa"/>
            <w:tcBorders>
              <w:top w:val="nil"/>
              <w:left w:val="nil"/>
              <w:bottom w:val="single" w:sz="4" w:space="0" w:color="000000"/>
              <w:right w:val="single" w:sz="8" w:space="0" w:color="000000"/>
            </w:tcBorders>
            <w:shd w:val="clear" w:color="auto" w:fill="auto"/>
            <w:vAlign w:val="center"/>
            <w:hideMark/>
          </w:tcPr>
          <w:p w14:paraId="4C5C753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757,07</w:t>
            </w:r>
          </w:p>
        </w:tc>
      </w:tr>
      <w:tr w:rsidR="00EF4BC3" w:rsidRPr="009E5B39" w14:paraId="5398CF9F"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F927B4C"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113220</w:t>
            </w:r>
          </w:p>
        </w:tc>
        <w:tc>
          <w:tcPr>
            <w:tcW w:w="2268" w:type="dxa"/>
            <w:tcBorders>
              <w:top w:val="nil"/>
              <w:left w:val="nil"/>
              <w:bottom w:val="single" w:sz="4" w:space="0" w:color="000000"/>
              <w:right w:val="single" w:sz="4" w:space="0" w:color="000000"/>
            </w:tcBorders>
            <w:shd w:val="clear" w:color="auto" w:fill="auto"/>
            <w:vAlign w:val="center"/>
            <w:hideMark/>
          </w:tcPr>
          <w:p w14:paraId="3191168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Impozitul pe bunurile imobiliare ale persoanelor fizice (11411)</w:t>
            </w:r>
          </w:p>
        </w:tc>
        <w:tc>
          <w:tcPr>
            <w:tcW w:w="992" w:type="dxa"/>
            <w:tcBorders>
              <w:top w:val="nil"/>
              <w:left w:val="nil"/>
              <w:bottom w:val="single" w:sz="4" w:space="0" w:color="000000"/>
              <w:right w:val="single" w:sz="4" w:space="0" w:color="000000"/>
            </w:tcBorders>
            <w:shd w:val="clear" w:color="auto" w:fill="auto"/>
            <w:vAlign w:val="center"/>
            <w:hideMark/>
          </w:tcPr>
          <w:p w14:paraId="261B40D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-0,26</w:t>
            </w:r>
          </w:p>
        </w:tc>
        <w:tc>
          <w:tcPr>
            <w:tcW w:w="944" w:type="dxa"/>
            <w:tcBorders>
              <w:top w:val="nil"/>
              <w:left w:val="nil"/>
              <w:bottom w:val="single" w:sz="4" w:space="0" w:color="000000"/>
              <w:right w:val="single" w:sz="4" w:space="0" w:color="000000"/>
            </w:tcBorders>
            <w:shd w:val="clear" w:color="auto" w:fill="auto"/>
            <w:vAlign w:val="center"/>
            <w:hideMark/>
          </w:tcPr>
          <w:p w14:paraId="7E93709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0,17</w:t>
            </w:r>
          </w:p>
        </w:tc>
        <w:tc>
          <w:tcPr>
            <w:tcW w:w="1064" w:type="dxa"/>
            <w:tcBorders>
              <w:top w:val="nil"/>
              <w:left w:val="nil"/>
              <w:bottom w:val="single" w:sz="4" w:space="0" w:color="000000"/>
              <w:right w:val="single" w:sz="4" w:space="0" w:color="000000"/>
            </w:tcBorders>
            <w:shd w:val="clear" w:color="auto" w:fill="auto"/>
            <w:vAlign w:val="center"/>
            <w:hideMark/>
          </w:tcPr>
          <w:p w14:paraId="79532DB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0,51</w:t>
            </w:r>
          </w:p>
        </w:tc>
        <w:tc>
          <w:tcPr>
            <w:tcW w:w="862" w:type="dxa"/>
            <w:tcBorders>
              <w:top w:val="nil"/>
              <w:left w:val="nil"/>
              <w:bottom w:val="single" w:sz="4" w:space="0" w:color="000000"/>
              <w:right w:val="single" w:sz="4" w:space="0" w:color="000000"/>
            </w:tcBorders>
            <w:shd w:val="clear" w:color="auto" w:fill="auto"/>
            <w:vAlign w:val="center"/>
            <w:hideMark/>
          </w:tcPr>
          <w:p w14:paraId="070CBB3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-0,73</w:t>
            </w:r>
          </w:p>
        </w:tc>
        <w:tc>
          <w:tcPr>
            <w:tcW w:w="1064" w:type="dxa"/>
            <w:tcBorders>
              <w:top w:val="nil"/>
              <w:left w:val="nil"/>
              <w:bottom w:val="single" w:sz="4" w:space="0" w:color="000000"/>
              <w:right w:val="single" w:sz="4" w:space="0" w:color="000000"/>
            </w:tcBorders>
            <w:shd w:val="clear" w:color="auto" w:fill="auto"/>
            <w:vAlign w:val="center"/>
            <w:hideMark/>
          </w:tcPr>
          <w:p w14:paraId="0E77E83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29,63</w:t>
            </w:r>
          </w:p>
        </w:tc>
        <w:tc>
          <w:tcPr>
            <w:tcW w:w="1028" w:type="dxa"/>
            <w:tcBorders>
              <w:top w:val="nil"/>
              <w:left w:val="nil"/>
              <w:bottom w:val="single" w:sz="4" w:space="0" w:color="000000"/>
              <w:right w:val="single" w:sz="4" w:space="0" w:color="000000"/>
            </w:tcBorders>
            <w:shd w:val="clear" w:color="auto" w:fill="auto"/>
            <w:vAlign w:val="center"/>
            <w:hideMark/>
          </w:tcPr>
          <w:p w14:paraId="2913F2F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-3,17</w:t>
            </w:r>
          </w:p>
        </w:tc>
        <w:tc>
          <w:tcPr>
            <w:tcW w:w="944" w:type="dxa"/>
            <w:tcBorders>
              <w:top w:val="nil"/>
              <w:left w:val="nil"/>
              <w:bottom w:val="single" w:sz="4" w:space="0" w:color="000000"/>
              <w:right w:val="single" w:sz="8" w:space="0" w:color="000000"/>
            </w:tcBorders>
            <w:shd w:val="clear" w:color="auto" w:fill="auto"/>
            <w:vAlign w:val="center"/>
            <w:hideMark/>
          </w:tcPr>
          <w:p w14:paraId="7D5C28D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32,83</w:t>
            </w:r>
          </w:p>
        </w:tc>
      </w:tr>
      <w:tr w:rsidR="00EF4BC3" w:rsidRPr="009E5B39" w14:paraId="40E4855E"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861F41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113220</w:t>
            </w:r>
          </w:p>
        </w:tc>
        <w:tc>
          <w:tcPr>
            <w:tcW w:w="2268" w:type="dxa"/>
            <w:tcBorders>
              <w:top w:val="nil"/>
              <w:left w:val="nil"/>
              <w:bottom w:val="single" w:sz="4" w:space="0" w:color="000000"/>
              <w:right w:val="single" w:sz="4" w:space="0" w:color="000000"/>
            </w:tcBorders>
            <w:shd w:val="clear" w:color="auto" w:fill="auto"/>
            <w:vAlign w:val="center"/>
          </w:tcPr>
          <w:p w14:paraId="50DDA3FE" w14:textId="793EE1E2"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1E9235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-0,001</w:t>
            </w:r>
          </w:p>
        </w:tc>
        <w:tc>
          <w:tcPr>
            <w:tcW w:w="944" w:type="dxa"/>
            <w:tcBorders>
              <w:top w:val="nil"/>
              <w:left w:val="nil"/>
              <w:bottom w:val="single" w:sz="4" w:space="0" w:color="000000"/>
              <w:right w:val="single" w:sz="4" w:space="0" w:color="000000"/>
            </w:tcBorders>
            <w:shd w:val="clear" w:color="auto" w:fill="auto"/>
            <w:vAlign w:val="center"/>
            <w:hideMark/>
          </w:tcPr>
          <w:p w14:paraId="47FE635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0,15</w:t>
            </w:r>
          </w:p>
        </w:tc>
        <w:tc>
          <w:tcPr>
            <w:tcW w:w="1064" w:type="dxa"/>
            <w:tcBorders>
              <w:top w:val="nil"/>
              <w:left w:val="nil"/>
              <w:bottom w:val="single" w:sz="4" w:space="0" w:color="000000"/>
              <w:right w:val="single" w:sz="4" w:space="0" w:color="000000"/>
            </w:tcBorders>
            <w:shd w:val="clear" w:color="auto" w:fill="auto"/>
            <w:vAlign w:val="center"/>
            <w:hideMark/>
          </w:tcPr>
          <w:p w14:paraId="05355E5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0,44</w:t>
            </w:r>
          </w:p>
        </w:tc>
        <w:tc>
          <w:tcPr>
            <w:tcW w:w="862" w:type="dxa"/>
            <w:tcBorders>
              <w:top w:val="nil"/>
              <w:left w:val="nil"/>
              <w:bottom w:val="single" w:sz="4" w:space="0" w:color="000000"/>
              <w:right w:val="single" w:sz="4" w:space="0" w:color="000000"/>
            </w:tcBorders>
            <w:shd w:val="clear" w:color="auto" w:fill="auto"/>
            <w:vAlign w:val="center"/>
            <w:hideMark/>
          </w:tcPr>
          <w:p w14:paraId="6B71EF3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0,007</w:t>
            </w:r>
          </w:p>
        </w:tc>
        <w:tc>
          <w:tcPr>
            <w:tcW w:w="1064" w:type="dxa"/>
            <w:tcBorders>
              <w:top w:val="nil"/>
              <w:left w:val="nil"/>
              <w:bottom w:val="single" w:sz="4" w:space="0" w:color="000000"/>
              <w:right w:val="single" w:sz="4" w:space="0" w:color="000000"/>
            </w:tcBorders>
            <w:shd w:val="clear" w:color="auto" w:fill="auto"/>
            <w:vAlign w:val="center"/>
            <w:hideMark/>
          </w:tcPr>
          <w:p w14:paraId="0CF43F7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2,66</w:t>
            </w:r>
          </w:p>
        </w:tc>
        <w:tc>
          <w:tcPr>
            <w:tcW w:w="1028" w:type="dxa"/>
            <w:tcBorders>
              <w:top w:val="nil"/>
              <w:left w:val="nil"/>
              <w:bottom w:val="single" w:sz="4" w:space="0" w:color="000000"/>
              <w:right w:val="single" w:sz="4" w:space="0" w:color="000000"/>
            </w:tcBorders>
            <w:shd w:val="clear" w:color="auto" w:fill="auto"/>
            <w:vAlign w:val="center"/>
            <w:hideMark/>
          </w:tcPr>
          <w:p w14:paraId="1132C02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-6,16</w:t>
            </w:r>
          </w:p>
        </w:tc>
        <w:tc>
          <w:tcPr>
            <w:tcW w:w="944" w:type="dxa"/>
            <w:tcBorders>
              <w:top w:val="nil"/>
              <w:left w:val="nil"/>
              <w:bottom w:val="single" w:sz="4" w:space="0" w:color="000000"/>
              <w:right w:val="single" w:sz="8" w:space="0" w:color="000000"/>
            </w:tcBorders>
            <w:shd w:val="clear" w:color="auto" w:fill="auto"/>
            <w:vAlign w:val="center"/>
            <w:hideMark/>
          </w:tcPr>
          <w:p w14:paraId="6301389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7,89</w:t>
            </w:r>
          </w:p>
        </w:tc>
      </w:tr>
      <w:tr w:rsidR="00EF4BC3" w:rsidRPr="009E5B39" w14:paraId="7F2DDD81"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9DD4DCE"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113220</w:t>
            </w:r>
          </w:p>
        </w:tc>
        <w:tc>
          <w:tcPr>
            <w:tcW w:w="2268" w:type="dxa"/>
            <w:tcBorders>
              <w:top w:val="nil"/>
              <w:left w:val="nil"/>
              <w:bottom w:val="single" w:sz="4" w:space="0" w:color="000000"/>
              <w:right w:val="single" w:sz="4" w:space="0" w:color="000000"/>
            </w:tcBorders>
            <w:shd w:val="clear" w:color="auto" w:fill="auto"/>
            <w:vAlign w:val="center"/>
          </w:tcPr>
          <w:p w14:paraId="59FE8577" w14:textId="7C6C8173"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145317D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-2,83</w:t>
            </w:r>
          </w:p>
        </w:tc>
        <w:tc>
          <w:tcPr>
            <w:tcW w:w="944" w:type="dxa"/>
            <w:tcBorders>
              <w:top w:val="nil"/>
              <w:left w:val="nil"/>
              <w:bottom w:val="single" w:sz="4" w:space="0" w:color="000000"/>
              <w:right w:val="single" w:sz="4" w:space="0" w:color="000000"/>
            </w:tcBorders>
            <w:shd w:val="clear" w:color="auto" w:fill="auto"/>
            <w:vAlign w:val="center"/>
            <w:hideMark/>
          </w:tcPr>
          <w:p w14:paraId="52C5BB3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0.03</w:t>
            </w:r>
          </w:p>
        </w:tc>
        <w:tc>
          <w:tcPr>
            <w:tcW w:w="1064" w:type="dxa"/>
            <w:tcBorders>
              <w:top w:val="nil"/>
              <w:left w:val="nil"/>
              <w:bottom w:val="single" w:sz="4" w:space="0" w:color="000000"/>
              <w:right w:val="single" w:sz="4" w:space="0" w:color="000000"/>
            </w:tcBorders>
            <w:shd w:val="clear" w:color="auto" w:fill="auto"/>
            <w:vAlign w:val="center"/>
            <w:hideMark/>
          </w:tcPr>
          <w:p w14:paraId="06AC045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0,18</w:t>
            </w:r>
          </w:p>
        </w:tc>
        <w:tc>
          <w:tcPr>
            <w:tcW w:w="862" w:type="dxa"/>
            <w:tcBorders>
              <w:top w:val="nil"/>
              <w:left w:val="nil"/>
              <w:bottom w:val="single" w:sz="4" w:space="0" w:color="000000"/>
              <w:right w:val="single" w:sz="4" w:space="0" w:color="000000"/>
            </w:tcBorders>
            <w:shd w:val="clear" w:color="auto" w:fill="auto"/>
            <w:vAlign w:val="center"/>
            <w:hideMark/>
          </w:tcPr>
          <w:p w14:paraId="102F9C3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-1,69</w:t>
            </w:r>
          </w:p>
        </w:tc>
        <w:tc>
          <w:tcPr>
            <w:tcW w:w="1064" w:type="dxa"/>
            <w:tcBorders>
              <w:top w:val="nil"/>
              <w:left w:val="nil"/>
              <w:bottom w:val="single" w:sz="4" w:space="0" w:color="000000"/>
              <w:right w:val="single" w:sz="4" w:space="0" w:color="000000"/>
            </w:tcBorders>
            <w:shd w:val="clear" w:color="auto" w:fill="auto"/>
            <w:vAlign w:val="center"/>
            <w:hideMark/>
          </w:tcPr>
          <w:p w14:paraId="0D894B5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7,28</w:t>
            </w:r>
          </w:p>
        </w:tc>
        <w:tc>
          <w:tcPr>
            <w:tcW w:w="1028" w:type="dxa"/>
            <w:tcBorders>
              <w:top w:val="nil"/>
              <w:left w:val="nil"/>
              <w:bottom w:val="single" w:sz="4" w:space="0" w:color="000000"/>
              <w:right w:val="single" w:sz="4" w:space="0" w:color="000000"/>
            </w:tcBorders>
            <w:shd w:val="clear" w:color="auto" w:fill="auto"/>
            <w:vAlign w:val="center"/>
            <w:hideMark/>
          </w:tcPr>
          <w:p w14:paraId="671D170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-1,25</w:t>
            </w:r>
          </w:p>
        </w:tc>
        <w:tc>
          <w:tcPr>
            <w:tcW w:w="944" w:type="dxa"/>
            <w:tcBorders>
              <w:top w:val="nil"/>
              <w:left w:val="nil"/>
              <w:bottom w:val="single" w:sz="4" w:space="0" w:color="000000"/>
              <w:right w:val="single" w:sz="8" w:space="0" w:color="000000"/>
            </w:tcBorders>
            <w:shd w:val="clear" w:color="auto" w:fill="auto"/>
            <w:vAlign w:val="center"/>
            <w:hideMark/>
          </w:tcPr>
          <w:p w14:paraId="62089AF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10,16</w:t>
            </w:r>
          </w:p>
        </w:tc>
      </w:tr>
      <w:tr w:rsidR="00EF4BC3" w:rsidRPr="009E5B39" w14:paraId="277C0ED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D978DA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113220</w:t>
            </w:r>
          </w:p>
        </w:tc>
        <w:tc>
          <w:tcPr>
            <w:tcW w:w="2268" w:type="dxa"/>
            <w:tcBorders>
              <w:top w:val="nil"/>
              <w:left w:val="nil"/>
              <w:bottom w:val="single" w:sz="4" w:space="0" w:color="000000"/>
              <w:right w:val="single" w:sz="4" w:space="0" w:color="000000"/>
            </w:tcBorders>
            <w:shd w:val="clear" w:color="auto" w:fill="auto"/>
            <w:vAlign w:val="center"/>
          </w:tcPr>
          <w:p w14:paraId="5A22402B" w14:textId="7E161EA6"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F049F2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-0,03</w:t>
            </w:r>
          </w:p>
        </w:tc>
        <w:tc>
          <w:tcPr>
            <w:tcW w:w="944" w:type="dxa"/>
            <w:tcBorders>
              <w:top w:val="nil"/>
              <w:left w:val="nil"/>
              <w:bottom w:val="single" w:sz="4" w:space="0" w:color="000000"/>
              <w:right w:val="single" w:sz="4" w:space="0" w:color="000000"/>
            </w:tcBorders>
            <w:shd w:val="clear" w:color="auto" w:fill="auto"/>
            <w:vAlign w:val="center"/>
            <w:hideMark/>
          </w:tcPr>
          <w:p w14:paraId="1F5AFD8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0,03</w:t>
            </w:r>
          </w:p>
        </w:tc>
        <w:tc>
          <w:tcPr>
            <w:tcW w:w="1064" w:type="dxa"/>
            <w:tcBorders>
              <w:top w:val="nil"/>
              <w:left w:val="nil"/>
              <w:bottom w:val="single" w:sz="4" w:space="0" w:color="000000"/>
              <w:right w:val="single" w:sz="4" w:space="0" w:color="000000"/>
            </w:tcBorders>
            <w:shd w:val="clear" w:color="auto" w:fill="auto"/>
            <w:vAlign w:val="center"/>
            <w:hideMark/>
          </w:tcPr>
          <w:p w14:paraId="00BCF3D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4,49</w:t>
            </w:r>
          </w:p>
        </w:tc>
        <w:tc>
          <w:tcPr>
            <w:tcW w:w="862" w:type="dxa"/>
            <w:tcBorders>
              <w:top w:val="nil"/>
              <w:left w:val="nil"/>
              <w:bottom w:val="single" w:sz="4" w:space="0" w:color="000000"/>
              <w:right w:val="single" w:sz="4" w:space="0" w:color="000000"/>
            </w:tcBorders>
            <w:shd w:val="clear" w:color="auto" w:fill="auto"/>
            <w:vAlign w:val="center"/>
            <w:hideMark/>
          </w:tcPr>
          <w:p w14:paraId="6BE36A1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0,12</w:t>
            </w:r>
          </w:p>
        </w:tc>
        <w:tc>
          <w:tcPr>
            <w:tcW w:w="1064" w:type="dxa"/>
            <w:tcBorders>
              <w:top w:val="nil"/>
              <w:left w:val="nil"/>
              <w:bottom w:val="single" w:sz="4" w:space="0" w:color="000000"/>
              <w:right w:val="single" w:sz="4" w:space="0" w:color="000000"/>
            </w:tcBorders>
            <w:shd w:val="clear" w:color="auto" w:fill="auto"/>
            <w:vAlign w:val="center"/>
            <w:hideMark/>
          </w:tcPr>
          <w:p w14:paraId="0E6A4FF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44,9</w:t>
            </w:r>
          </w:p>
        </w:tc>
        <w:tc>
          <w:tcPr>
            <w:tcW w:w="1028" w:type="dxa"/>
            <w:tcBorders>
              <w:top w:val="nil"/>
              <w:left w:val="nil"/>
              <w:bottom w:val="single" w:sz="4" w:space="0" w:color="000000"/>
              <w:right w:val="single" w:sz="4" w:space="0" w:color="000000"/>
            </w:tcBorders>
            <w:shd w:val="clear" w:color="auto" w:fill="auto"/>
            <w:vAlign w:val="center"/>
            <w:hideMark/>
          </w:tcPr>
          <w:p w14:paraId="1F8AD17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-43,98</w:t>
            </w:r>
          </w:p>
        </w:tc>
        <w:tc>
          <w:tcPr>
            <w:tcW w:w="944" w:type="dxa"/>
            <w:tcBorders>
              <w:top w:val="nil"/>
              <w:left w:val="nil"/>
              <w:bottom w:val="single" w:sz="4" w:space="0" w:color="000000"/>
              <w:right w:val="single" w:sz="8" w:space="0" w:color="000000"/>
            </w:tcBorders>
            <w:shd w:val="clear" w:color="auto" w:fill="auto"/>
            <w:vAlign w:val="center"/>
            <w:hideMark/>
          </w:tcPr>
          <w:p w14:paraId="2B9252B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66,88</w:t>
            </w:r>
          </w:p>
        </w:tc>
      </w:tr>
      <w:tr w:rsidR="00EF4BC3" w:rsidRPr="009E5B39" w14:paraId="10B0DE5A"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D516E0C"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113230</w:t>
            </w:r>
          </w:p>
        </w:tc>
        <w:tc>
          <w:tcPr>
            <w:tcW w:w="2268" w:type="dxa"/>
            <w:tcBorders>
              <w:top w:val="nil"/>
              <w:left w:val="nil"/>
              <w:bottom w:val="single" w:sz="4" w:space="0" w:color="000000"/>
              <w:right w:val="single" w:sz="4" w:space="0" w:color="000000"/>
            </w:tcBorders>
            <w:shd w:val="clear" w:color="auto" w:fill="auto"/>
            <w:vAlign w:val="center"/>
            <w:hideMark/>
          </w:tcPr>
          <w:p w14:paraId="17F7A17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Impozitul pe bunurile imobiliare achitat de către persoanele juridice și fizice înregistrate în calitate de întreprinzător din valoarea estimată (de piață) a bunurilor imobiliare (11412)</w:t>
            </w:r>
          </w:p>
        </w:tc>
        <w:tc>
          <w:tcPr>
            <w:tcW w:w="992" w:type="dxa"/>
            <w:tcBorders>
              <w:top w:val="nil"/>
              <w:left w:val="nil"/>
              <w:bottom w:val="single" w:sz="4" w:space="0" w:color="000000"/>
              <w:right w:val="single" w:sz="4" w:space="0" w:color="000000"/>
            </w:tcBorders>
            <w:shd w:val="clear" w:color="auto" w:fill="auto"/>
            <w:vAlign w:val="center"/>
            <w:hideMark/>
          </w:tcPr>
          <w:p w14:paraId="11F9592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-5.682,3</w:t>
            </w:r>
          </w:p>
        </w:tc>
        <w:tc>
          <w:tcPr>
            <w:tcW w:w="944" w:type="dxa"/>
            <w:tcBorders>
              <w:top w:val="nil"/>
              <w:left w:val="nil"/>
              <w:bottom w:val="single" w:sz="4" w:space="0" w:color="000000"/>
              <w:right w:val="single" w:sz="4" w:space="0" w:color="000000"/>
            </w:tcBorders>
            <w:shd w:val="clear" w:color="auto" w:fill="auto"/>
            <w:vAlign w:val="center"/>
            <w:hideMark/>
          </w:tcPr>
          <w:p w14:paraId="25DDCC4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3.520,56</w:t>
            </w:r>
          </w:p>
        </w:tc>
        <w:tc>
          <w:tcPr>
            <w:tcW w:w="1064" w:type="dxa"/>
            <w:tcBorders>
              <w:top w:val="nil"/>
              <w:left w:val="nil"/>
              <w:bottom w:val="single" w:sz="4" w:space="0" w:color="000000"/>
              <w:right w:val="single" w:sz="4" w:space="0" w:color="000000"/>
            </w:tcBorders>
            <w:shd w:val="clear" w:color="auto" w:fill="auto"/>
            <w:vAlign w:val="center"/>
            <w:hideMark/>
          </w:tcPr>
          <w:p w14:paraId="48F20EC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41.691,76</w:t>
            </w:r>
          </w:p>
        </w:tc>
        <w:tc>
          <w:tcPr>
            <w:tcW w:w="862" w:type="dxa"/>
            <w:tcBorders>
              <w:top w:val="nil"/>
              <w:left w:val="nil"/>
              <w:bottom w:val="single" w:sz="4" w:space="0" w:color="000000"/>
              <w:right w:val="single" w:sz="4" w:space="0" w:color="000000"/>
            </w:tcBorders>
            <w:shd w:val="clear" w:color="auto" w:fill="auto"/>
            <w:vAlign w:val="center"/>
            <w:hideMark/>
          </w:tcPr>
          <w:p w14:paraId="092E3D2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132,92</w:t>
            </w:r>
          </w:p>
        </w:tc>
        <w:tc>
          <w:tcPr>
            <w:tcW w:w="1064" w:type="dxa"/>
            <w:tcBorders>
              <w:top w:val="nil"/>
              <w:left w:val="nil"/>
              <w:bottom w:val="single" w:sz="4" w:space="0" w:color="000000"/>
              <w:right w:val="single" w:sz="4" w:space="0" w:color="000000"/>
            </w:tcBorders>
            <w:shd w:val="clear" w:color="auto" w:fill="auto"/>
            <w:vAlign w:val="center"/>
            <w:hideMark/>
          </w:tcPr>
          <w:p w14:paraId="4DED4FA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42.041,61</w:t>
            </w:r>
          </w:p>
        </w:tc>
        <w:tc>
          <w:tcPr>
            <w:tcW w:w="1028" w:type="dxa"/>
            <w:tcBorders>
              <w:top w:val="nil"/>
              <w:left w:val="nil"/>
              <w:bottom w:val="single" w:sz="4" w:space="0" w:color="000000"/>
              <w:right w:val="single" w:sz="4" w:space="0" w:color="000000"/>
            </w:tcBorders>
            <w:shd w:val="clear" w:color="auto" w:fill="auto"/>
            <w:vAlign w:val="center"/>
            <w:hideMark/>
          </w:tcPr>
          <w:p w14:paraId="2416440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-8.496,31</w:t>
            </w:r>
          </w:p>
        </w:tc>
        <w:tc>
          <w:tcPr>
            <w:tcW w:w="944" w:type="dxa"/>
            <w:tcBorders>
              <w:top w:val="nil"/>
              <w:left w:val="nil"/>
              <w:bottom w:val="single" w:sz="4" w:space="0" w:color="000000"/>
              <w:right w:val="single" w:sz="8" w:space="0" w:color="000000"/>
            </w:tcBorders>
            <w:shd w:val="clear" w:color="auto" w:fill="auto"/>
            <w:vAlign w:val="center"/>
            <w:hideMark/>
          </w:tcPr>
          <w:p w14:paraId="053D033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4.148,85</w:t>
            </w:r>
          </w:p>
        </w:tc>
      </w:tr>
      <w:tr w:rsidR="00EF4BC3" w:rsidRPr="009E5B39" w14:paraId="2515194C"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C4ECADB"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113230</w:t>
            </w:r>
          </w:p>
        </w:tc>
        <w:tc>
          <w:tcPr>
            <w:tcW w:w="2268" w:type="dxa"/>
            <w:tcBorders>
              <w:top w:val="nil"/>
              <w:left w:val="nil"/>
              <w:bottom w:val="single" w:sz="4" w:space="0" w:color="000000"/>
              <w:right w:val="single" w:sz="4" w:space="0" w:color="000000"/>
            </w:tcBorders>
            <w:shd w:val="clear" w:color="auto" w:fill="auto"/>
            <w:vAlign w:val="center"/>
          </w:tcPr>
          <w:p w14:paraId="25C91B30" w14:textId="31A2D1D3"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F24BC0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-801,42</w:t>
            </w:r>
          </w:p>
        </w:tc>
        <w:tc>
          <w:tcPr>
            <w:tcW w:w="944" w:type="dxa"/>
            <w:tcBorders>
              <w:top w:val="nil"/>
              <w:left w:val="nil"/>
              <w:bottom w:val="single" w:sz="4" w:space="0" w:color="000000"/>
              <w:right w:val="single" w:sz="4" w:space="0" w:color="000000"/>
            </w:tcBorders>
            <w:shd w:val="clear" w:color="auto" w:fill="auto"/>
            <w:vAlign w:val="center"/>
            <w:hideMark/>
          </w:tcPr>
          <w:p w14:paraId="2F4D5BB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2.491,78</w:t>
            </w:r>
          </w:p>
        </w:tc>
        <w:tc>
          <w:tcPr>
            <w:tcW w:w="1064" w:type="dxa"/>
            <w:tcBorders>
              <w:top w:val="nil"/>
              <w:left w:val="nil"/>
              <w:bottom w:val="single" w:sz="4" w:space="0" w:color="000000"/>
              <w:right w:val="single" w:sz="4" w:space="0" w:color="000000"/>
            </w:tcBorders>
            <w:shd w:val="clear" w:color="auto" w:fill="auto"/>
            <w:vAlign w:val="center"/>
            <w:hideMark/>
          </w:tcPr>
          <w:p w14:paraId="45C43DC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29.114,22</w:t>
            </w:r>
          </w:p>
        </w:tc>
        <w:tc>
          <w:tcPr>
            <w:tcW w:w="862" w:type="dxa"/>
            <w:tcBorders>
              <w:top w:val="nil"/>
              <w:left w:val="nil"/>
              <w:bottom w:val="single" w:sz="4" w:space="0" w:color="000000"/>
              <w:right w:val="single" w:sz="4" w:space="0" w:color="000000"/>
            </w:tcBorders>
            <w:shd w:val="clear" w:color="auto" w:fill="auto"/>
            <w:vAlign w:val="center"/>
            <w:hideMark/>
          </w:tcPr>
          <w:p w14:paraId="1483651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-25,9</w:t>
            </w:r>
          </w:p>
        </w:tc>
        <w:tc>
          <w:tcPr>
            <w:tcW w:w="1064" w:type="dxa"/>
            <w:tcBorders>
              <w:top w:val="nil"/>
              <w:left w:val="nil"/>
              <w:bottom w:val="single" w:sz="4" w:space="0" w:color="000000"/>
              <w:right w:val="single" w:sz="4" w:space="0" w:color="000000"/>
            </w:tcBorders>
            <w:shd w:val="clear" w:color="auto" w:fill="auto"/>
            <w:vAlign w:val="center"/>
            <w:hideMark/>
          </w:tcPr>
          <w:p w14:paraId="0FC9329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31.381,86</w:t>
            </w:r>
          </w:p>
        </w:tc>
        <w:tc>
          <w:tcPr>
            <w:tcW w:w="1028" w:type="dxa"/>
            <w:tcBorders>
              <w:top w:val="nil"/>
              <w:left w:val="nil"/>
              <w:bottom w:val="single" w:sz="4" w:space="0" w:color="000000"/>
              <w:right w:val="single" w:sz="4" w:space="0" w:color="000000"/>
            </w:tcBorders>
            <w:shd w:val="clear" w:color="auto" w:fill="auto"/>
            <w:vAlign w:val="center"/>
            <w:hideMark/>
          </w:tcPr>
          <w:p w14:paraId="34A6968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-1.721,67</w:t>
            </w:r>
          </w:p>
        </w:tc>
        <w:tc>
          <w:tcPr>
            <w:tcW w:w="944" w:type="dxa"/>
            <w:tcBorders>
              <w:top w:val="nil"/>
              <w:left w:val="nil"/>
              <w:bottom w:val="single" w:sz="4" w:space="0" w:color="000000"/>
              <w:right w:val="single" w:sz="8" w:space="0" w:color="000000"/>
            </w:tcBorders>
            <w:shd w:val="clear" w:color="auto" w:fill="auto"/>
            <w:vAlign w:val="center"/>
            <w:hideMark/>
          </w:tcPr>
          <w:p w14:paraId="75E9CAC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4.249,98</w:t>
            </w:r>
          </w:p>
        </w:tc>
      </w:tr>
      <w:tr w:rsidR="00EF4BC3" w:rsidRPr="009E5B39" w14:paraId="00099498"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5784CC1"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113230</w:t>
            </w:r>
          </w:p>
        </w:tc>
        <w:tc>
          <w:tcPr>
            <w:tcW w:w="2268" w:type="dxa"/>
            <w:tcBorders>
              <w:top w:val="nil"/>
              <w:left w:val="nil"/>
              <w:bottom w:val="single" w:sz="4" w:space="0" w:color="000000"/>
              <w:right w:val="single" w:sz="4" w:space="0" w:color="000000"/>
            </w:tcBorders>
            <w:shd w:val="clear" w:color="auto" w:fill="auto"/>
            <w:vAlign w:val="center"/>
          </w:tcPr>
          <w:p w14:paraId="63256147" w14:textId="2BBC982D"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C11C07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-762,88</w:t>
            </w:r>
          </w:p>
        </w:tc>
        <w:tc>
          <w:tcPr>
            <w:tcW w:w="944" w:type="dxa"/>
            <w:tcBorders>
              <w:top w:val="nil"/>
              <w:left w:val="nil"/>
              <w:bottom w:val="single" w:sz="4" w:space="0" w:color="000000"/>
              <w:right w:val="single" w:sz="4" w:space="0" w:color="000000"/>
            </w:tcBorders>
            <w:shd w:val="clear" w:color="auto" w:fill="auto"/>
            <w:vAlign w:val="center"/>
            <w:hideMark/>
          </w:tcPr>
          <w:p w14:paraId="4011E07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1.849,77</w:t>
            </w:r>
          </w:p>
        </w:tc>
        <w:tc>
          <w:tcPr>
            <w:tcW w:w="1064" w:type="dxa"/>
            <w:tcBorders>
              <w:top w:val="nil"/>
              <w:left w:val="nil"/>
              <w:bottom w:val="single" w:sz="4" w:space="0" w:color="000000"/>
              <w:right w:val="single" w:sz="4" w:space="0" w:color="000000"/>
            </w:tcBorders>
            <w:shd w:val="clear" w:color="auto" w:fill="auto"/>
            <w:vAlign w:val="center"/>
            <w:hideMark/>
          </w:tcPr>
          <w:p w14:paraId="08DBF38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18.066,38</w:t>
            </w:r>
          </w:p>
        </w:tc>
        <w:tc>
          <w:tcPr>
            <w:tcW w:w="862" w:type="dxa"/>
            <w:tcBorders>
              <w:top w:val="nil"/>
              <w:left w:val="nil"/>
              <w:bottom w:val="single" w:sz="4" w:space="0" w:color="000000"/>
              <w:right w:val="single" w:sz="4" w:space="0" w:color="000000"/>
            </w:tcBorders>
            <w:shd w:val="clear" w:color="auto" w:fill="auto"/>
            <w:vAlign w:val="center"/>
            <w:hideMark/>
          </w:tcPr>
          <w:p w14:paraId="791AE09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412,97</w:t>
            </w:r>
          </w:p>
        </w:tc>
        <w:tc>
          <w:tcPr>
            <w:tcW w:w="1064" w:type="dxa"/>
            <w:tcBorders>
              <w:top w:val="nil"/>
              <w:left w:val="nil"/>
              <w:bottom w:val="single" w:sz="4" w:space="0" w:color="000000"/>
              <w:right w:val="single" w:sz="4" w:space="0" w:color="000000"/>
            </w:tcBorders>
            <w:shd w:val="clear" w:color="auto" w:fill="auto"/>
            <w:vAlign w:val="center"/>
            <w:hideMark/>
          </w:tcPr>
          <w:p w14:paraId="172679B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17.947,39</w:t>
            </w:r>
          </w:p>
        </w:tc>
        <w:tc>
          <w:tcPr>
            <w:tcW w:w="1028" w:type="dxa"/>
            <w:tcBorders>
              <w:top w:val="nil"/>
              <w:left w:val="nil"/>
              <w:bottom w:val="single" w:sz="4" w:space="0" w:color="000000"/>
              <w:right w:val="single" w:sz="4" w:space="0" w:color="000000"/>
            </w:tcBorders>
            <w:shd w:val="clear" w:color="auto" w:fill="auto"/>
            <w:vAlign w:val="center"/>
            <w:hideMark/>
          </w:tcPr>
          <w:p w14:paraId="3A1917C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-1.000,67</w:t>
            </w:r>
          </w:p>
        </w:tc>
        <w:tc>
          <w:tcPr>
            <w:tcW w:w="944" w:type="dxa"/>
            <w:tcBorders>
              <w:top w:val="nil"/>
              <w:left w:val="nil"/>
              <w:bottom w:val="single" w:sz="4" w:space="0" w:color="000000"/>
              <w:right w:val="single" w:sz="8" w:space="0" w:color="000000"/>
            </w:tcBorders>
            <w:shd w:val="clear" w:color="auto" w:fill="auto"/>
            <w:vAlign w:val="center"/>
            <w:hideMark/>
          </w:tcPr>
          <w:p w14:paraId="6FB14DF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2.006,87</w:t>
            </w:r>
          </w:p>
        </w:tc>
      </w:tr>
      <w:tr w:rsidR="00EF4BC3" w:rsidRPr="009E5B39" w14:paraId="324911F8"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A9628D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113230</w:t>
            </w:r>
          </w:p>
        </w:tc>
        <w:tc>
          <w:tcPr>
            <w:tcW w:w="2268" w:type="dxa"/>
            <w:tcBorders>
              <w:top w:val="nil"/>
              <w:left w:val="nil"/>
              <w:bottom w:val="single" w:sz="4" w:space="0" w:color="000000"/>
              <w:right w:val="single" w:sz="4" w:space="0" w:color="000000"/>
            </w:tcBorders>
            <w:shd w:val="clear" w:color="auto" w:fill="auto"/>
            <w:vAlign w:val="center"/>
          </w:tcPr>
          <w:p w14:paraId="3DA8AA1A" w14:textId="54CE55F4"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0A92763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-1.350,87</w:t>
            </w:r>
          </w:p>
        </w:tc>
        <w:tc>
          <w:tcPr>
            <w:tcW w:w="944" w:type="dxa"/>
            <w:tcBorders>
              <w:top w:val="nil"/>
              <w:left w:val="nil"/>
              <w:bottom w:val="single" w:sz="4" w:space="0" w:color="000000"/>
              <w:right w:val="single" w:sz="4" w:space="0" w:color="000000"/>
            </w:tcBorders>
            <w:shd w:val="clear" w:color="auto" w:fill="auto"/>
            <w:vAlign w:val="center"/>
            <w:hideMark/>
          </w:tcPr>
          <w:p w14:paraId="2FCDEA4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1.466,63</w:t>
            </w:r>
          </w:p>
        </w:tc>
        <w:tc>
          <w:tcPr>
            <w:tcW w:w="1064" w:type="dxa"/>
            <w:tcBorders>
              <w:top w:val="nil"/>
              <w:left w:val="nil"/>
              <w:bottom w:val="single" w:sz="4" w:space="0" w:color="000000"/>
              <w:right w:val="single" w:sz="4" w:space="0" w:color="000000"/>
            </w:tcBorders>
            <w:shd w:val="clear" w:color="auto" w:fill="auto"/>
            <w:vAlign w:val="center"/>
            <w:hideMark/>
          </w:tcPr>
          <w:p w14:paraId="09A19EE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20.412,6</w:t>
            </w:r>
          </w:p>
        </w:tc>
        <w:tc>
          <w:tcPr>
            <w:tcW w:w="862" w:type="dxa"/>
            <w:tcBorders>
              <w:top w:val="nil"/>
              <w:left w:val="nil"/>
              <w:bottom w:val="single" w:sz="4" w:space="0" w:color="000000"/>
              <w:right w:val="single" w:sz="4" w:space="0" w:color="000000"/>
            </w:tcBorders>
            <w:shd w:val="clear" w:color="auto" w:fill="auto"/>
            <w:vAlign w:val="center"/>
            <w:hideMark/>
          </w:tcPr>
          <w:p w14:paraId="1858E59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-52,58</w:t>
            </w:r>
          </w:p>
        </w:tc>
        <w:tc>
          <w:tcPr>
            <w:tcW w:w="1064" w:type="dxa"/>
            <w:tcBorders>
              <w:top w:val="nil"/>
              <w:left w:val="nil"/>
              <w:bottom w:val="single" w:sz="4" w:space="0" w:color="000000"/>
              <w:right w:val="single" w:sz="4" w:space="0" w:color="000000"/>
            </w:tcBorders>
            <w:shd w:val="clear" w:color="auto" w:fill="auto"/>
            <w:vAlign w:val="center"/>
            <w:hideMark/>
          </w:tcPr>
          <w:p w14:paraId="256CD97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18.998,44</w:t>
            </w:r>
          </w:p>
        </w:tc>
        <w:tc>
          <w:tcPr>
            <w:tcW w:w="1028" w:type="dxa"/>
            <w:tcBorders>
              <w:top w:val="nil"/>
              <w:left w:val="nil"/>
              <w:bottom w:val="single" w:sz="4" w:space="0" w:color="000000"/>
              <w:right w:val="single" w:sz="4" w:space="0" w:color="000000"/>
            </w:tcBorders>
            <w:shd w:val="clear" w:color="auto" w:fill="auto"/>
            <w:vAlign w:val="center"/>
            <w:hideMark/>
          </w:tcPr>
          <w:p w14:paraId="5BDFEE5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-2.771,63</w:t>
            </w:r>
          </w:p>
        </w:tc>
        <w:tc>
          <w:tcPr>
            <w:tcW w:w="944" w:type="dxa"/>
            <w:tcBorders>
              <w:top w:val="nil"/>
              <w:left w:val="nil"/>
              <w:bottom w:val="single" w:sz="4" w:space="0" w:color="000000"/>
              <w:right w:val="single" w:sz="8" w:space="0" w:color="000000"/>
            </w:tcBorders>
            <w:shd w:val="clear" w:color="auto" w:fill="auto"/>
            <w:vAlign w:val="center"/>
            <w:hideMark/>
          </w:tcPr>
          <w:p w14:paraId="38C680D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1.435,71</w:t>
            </w:r>
          </w:p>
        </w:tc>
      </w:tr>
      <w:tr w:rsidR="00EF4BC3" w:rsidRPr="009E5B39" w14:paraId="46B61A40"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8431F7A"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113240</w:t>
            </w:r>
          </w:p>
        </w:tc>
        <w:tc>
          <w:tcPr>
            <w:tcW w:w="2268" w:type="dxa"/>
            <w:tcBorders>
              <w:top w:val="nil"/>
              <w:left w:val="nil"/>
              <w:bottom w:val="single" w:sz="4" w:space="0" w:color="000000"/>
              <w:right w:val="single" w:sz="4" w:space="0" w:color="000000"/>
            </w:tcBorders>
            <w:shd w:val="clear" w:color="auto" w:fill="auto"/>
            <w:vAlign w:val="center"/>
            <w:hideMark/>
          </w:tcPr>
          <w:p w14:paraId="021B50A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Impozitul pe bunurile imobiliare achitat de către persoanele fizice – cetățeni din valoarea estimată (de piață) a bunurilor imobiliare (11414)</w:t>
            </w:r>
          </w:p>
        </w:tc>
        <w:tc>
          <w:tcPr>
            <w:tcW w:w="992" w:type="dxa"/>
            <w:tcBorders>
              <w:top w:val="nil"/>
              <w:left w:val="nil"/>
              <w:bottom w:val="single" w:sz="4" w:space="0" w:color="000000"/>
              <w:right w:val="single" w:sz="4" w:space="0" w:color="000000"/>
            </w:tcBorders>
            <w:shd w:val="clear" w:color="auto" w:fill="auto"/>
            <w:vAlign w:val="center"/>
            <w:hideMark/>
          </w:tcPr>
          <w:p w14:paraId="6CF10B0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763FE90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CDB7CD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37.143,75</w:t>
            </w:r>
          </w:p>
        </w:tc>
        <w:tc>
          <w:tcPr>
            <w:tcW w:w="862" w:type="dxa"/>
            <w:tcBorders>
              <w:top w:val="nil"/>
              <w:left w:val="nil"/>
              <w:bottom w:val="single" w:sz="4" w:space="0" w:color="000000"/>
              <w:right w:val="single" w:sz="4" w:space="0" w:color="000000"/>
            </w:tcBorders>
            <w:shd w:val="clear" w:color="auto" w:fill="auto"/>
            <w:vAlign w:val="center"/>
            <w:hideMark/>
          </w:tcPr>
          <w:p w14:paraId="5B51597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9.891,68</w:t>
            </w:r>
          </w:p>
        </w:tc>
        <w:tc>
          <w:tcPr>
            <w:tcW w:w="1064" w:type="dxa"/>
            <w:tcBorders>
              <w:top w:val="nil"/>
              <w:left w:val="nil"/>
              <w:bottom w:val="single" w:sz="4" w:space="0" w:color="000000"/>
              <w:right w:val="single" w:sz="4" w:space="0" w:color="000000"/>
            </w:tcBorders>
            <w:shd w:val="clear" w:color="auto" w:fill="auto"/>
            <w:vAlign w:val="center"/>
            <w:hideMark/>
          </w:tcPr>
          <w:p w14:paraId="5AE0F7E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36.625,75</w:t>
            </w:r>
          </w:p>
        </w:tc>
        <w:tc>
          <w:tcPr>
            <w:tcW w:w="1028" w:type="dxa"/>
            <w:tcBorders>
              <w:top w:val="nil"/>
              <w:left w:val="nil"/>
              <w:bottom w:val="single" w:sz="4" w:space="0" w:color="000000"/>
              <w:right w:val="single" w:sz="4" w:space="0" w:color="000000"/>
            </w:tcBorders>
            <w:shd w:val="clear" w:color="auto" w:fill="auto"/>
            <w:vAlign w:val="center"/>
            <w:hideMark/>
          </w:tcPr>
          <w:p w14:paraId="0393271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-12.925,73</w:t>
            </w:r>
          </w:p>
        </w:tc>
        <w:tc>
          <w:tcPr>
            <w:tcW w:w="944" w:type="dxa"/>
            <w:tcBorders>
              <w:top w:val="nil"/>
              <w:left w:val="nil"/>
              <w:bottom w:val="single" w:sz="4" w:space="0" w:color="000000"/>
              <w:right w:val="single" w:sz="8" w:space="0" w:color="000000"/>
            </w:tcBorders>
            <w:shd w:val="clear" w:color="auto" w:fill="auto"/>
            <w:vAlign w:val="center"/>
            <w:hideMark/>
          </w:tcPr>
          <w:p w14:paraId="3F4EA25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2.570,17</w:t>
            </w:r>
          </w:p>
        </w:tc>
      </w:tr>
      <w:tr w:rsidR="00EF4BC3" w:rsidRPr="009E5B39" w14:paraId="4A41D52A"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319E9C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113240</w:t>
            </w:r>
          </w:p>
        </w:tc>
        <w:tc>
          <w:tcPr>
            <w:tcW w:w="2268" w:type="dxa"/>
            <w:tcBorders>
              <w:top w:val="nil"/>
              <w:left w:val="nil"/>
              <w:bottom w:val="single" w:sz="4" w:space="0" w:color="000000"/>
              <w:right w:val="single" w:sz="4" w:space="0" w:color="000000"/>
            </w:tcBorders>
            <w:shd w:val="clear" w:color="auto" w:fill="auto"/>
            <w:vAlign w:val="center"/>
          </w:tcPr>
          <w:p w14:paraId="24298F85" w14:textId="0AC458F8"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973A53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1495851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71FD55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23.636,81</w:t>
            </w:r>
          </w:p>
        </w:tc>
        <w:tc>
          <w:tcPr>
            <w:tcW w:w="862" w:type="dxa"/>
            <w:tcBorders>
              <w:top w:val="nil"/>
              <w:left w:val="nil"/>
              <w:bottom w:val="single" w:sz="4" w:space="0" w:color="000000"/>
              <w:right w:val="single" w:sz="4" w:space="0" w:color="000000"/>
            </w:tcBorders>
            <w:shd w:val="clear" w:color="auto" w:fill="auto"/>
            <w:vAlign w:val="center"/>
            <w:hideMark/>
          </w:tcPr>
          <w:p w14:paraId="2B4757F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7.185,19</w:t>
            </w:r>
          </w:p>
        </w:tc>
        <w:tc>
          <w:tcPr>
            <w:tcW w:w="1064" w:type="dxa"/>
            <w:tcBorders>
              <w:top w:val="nil"/>
              <w:left w:val="nil"/>
              <w:bottom w:val="single" w:sz="4" w:space="0" w:color="000000"/>
              <w:right w:val="single" w:sz="4" w:space="0" w:color="000000"/>
            </w:tcBorders>
            <w:shd w:val="clear" w:color="auto" w:fill="auto"/>
            <w:vAlign w:val="center"/>
            <w:hideMark/>
          </w:tcPr>
          <w:p w14:paraId="6B06B33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24.049,64</w:t>
            </w:r>
          </w:p>
        </w:tc>
        <w:tc>
          <w:tcPr>
            <w:tcW w:w="1028" w:type="dxa"/>
            <w:tcBorders>
              <w:top w:val="nil"/>
              <w:left w:val="nil"/>
              <w:bottom w:val="single" w:sz="4" w:space="0" w:color="000000"/>
              <w:right w:val="single" w:sz="4" w:space="0" w:color="000000"/>
            </w:tcBorders>
            <w:shd w:val="clear" w:color="auto" w:fill="auto"/>
            <w:vAlign w:val="center"/>
            <w:hideMark/>
          </w:tcPr>
          <w:p w14:paraId="7B17057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-8.291,86</w:t>
            </w:r>
          </w:p>
        </w:tc>
        <w:tc>
          <w:tcPr>
            <w:tcW w:w="944" w:type="dxa"/>
            <w:tcBorders>
              <w:top w:val="nil"/>
              <w:left w:val="nil"/>
              <w:bottom w:val="single" w:sz="4" w:space="0" w:color="000000"/>
              <w:right w:val="single" w:sz="8" w:space="0" w:color="000000"/>
            </w:tcBorders>
            <w:shd w:val="clear" w:color="auto" w:fill="auto"/>
            <w:vAlign w:val="center"/>
            <w:hideMark/>
          </w:tcPr>
          <w:p w14:paraId="3D38E1F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1.518,38</w:t>
            </w:r>
          </w:p>
        </w:tc>
      </w:tr>
      <w:tr w:rsidR="00EF4BC3" w:rsidRPr="009E5B39" w14:paraId="7ACE2985"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A9B7F9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113240</w:t>
            </w:r>
          </w:p>
        </w:tc>
        <w:tc>
          <w:tcPr>
            <w:tcW w:w="2268" w:type="dxa"/>
            <w:tcBorders>
              <w:top w:val="nil"/>
              <w:left w:val="nil"/>
              <w:bottom w:val="single" w:sz="4" w:space="0" w:color="000000"/>
              <w:right w:val="single" w:sz="4" w:space="0" w:color="000000"/>
            </w:tcBorders>
            <w:shd w:val="clear" w:color="auto" w:fill="auto"/>
            <w:vAlign w:val="center"/>
          </w:tcPr>
          <w:p w14:paraId="1A7A2A02" w14:textId="76F513C4"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BAA4F0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2FA6207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337A70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19.620,68</w:t>
            </w:r>
          </w:p>
        </w:tc>
        <w:tc>
          <w:tcPr>
            <w:tcW w:w="862" w:type="dxa"/>
            <w:tcBorders>
              <w:top w:val="nil"/>
              <w:left w:val="nil"/>
              <w:bottom w:val="single" w:sz="4" w:space="0" w:color="000000"/>
              <w:right w:val="single" w:sz="4" w:space="0" w:color="000000"/>
            </w:tcBorders>
            <w:shd w:val="clear" w:color="auto" w:fill="auto"/>
            <w:vAlign w:val="center"/>
            <w:hideMark/>
          </w:tcPr>
          <w:p w14:paraId="590EB94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5.235,33</w:t>
            </w:r>
          </w:p>
        </w:tc>
        <w:tc>
          <w:tcPr>
            <w:tcW w:w="1064" w:type="dxa"/>
            <w:tcBorders>
              <w:top w:val="nil"/>
              <w:left w:val="nil"/>
              <w:bottom w:val="single" w:sz="4" w:space="0" w:color="000000"/>
              <w:right w:val="single" w:sz="4" w:space="0" w:color="000000"/>
            </w:tcBorders>
            <w:shd w:val="clear" w:color="auto" w:fill="auto"/>
            <w:vAlign w:val="center"/>
            <w:hideMark/>
          </w:tcPr>
          <w:p w14:paraId="24E7234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19.388,32</w:t>
            </w:r>
          </w:p>
        </w:tc>
        <w:tc>
          <w:tcPr>
            <w:tcW w:w="1028" w:type="dxa"/>
            <w:tcBorders>
              <w:top w:val="nil"/>
              <w:left w:val="nil"/>
              <w:bottom w:val="single" w:sz="4" w:space="0" w:color="000000"/>
              <w:right w:val="single" w:sz="4" w:space="0" w:color="000000"/>
            </w:tcBorders>
            <w:shd w:val="clear" w:color="auto" w:fill="auto"/>
            <w:vAlign w:val="center"/>
            <w:hideMark/>
          </w:tcPr>
          <w:p w14:paraId="5240202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-6.595,6</w:t>
            </w:r>
          </w:p>
        </w:tc>
        <w:tc>
          <w:tcPr>
            <w:tcW w:w="944" w:type="dxa"/>
            <w:tcBorders>
              <w:top w:val="nil"/>
              <w:left w:val="nil"/>
              <w:bottom w:val="single" w:sz="4" w:space="0" w:color="000000"/>
              <w:right w:val="single" w:sz="8" w:space="0" w:color="000000"/>
            </w:tcBorders>
            <w:shd w:val="clear" w:color="auto" w:fill="auto"/>
            <w:vAlign w:val="center"/>
            <w:hideMark/>
          </w:tcPr>
          <w:p w14:paraId="011E19B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1.152,85</w:t>
            </w:r>
          </w:p>
        </w:tc>
      </w:tr>
      <w:tr w:rsidR="00EF4BC3" w:rsidRPr="009E5B39" w14:paraId="0F1BA33D"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21BC68E"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113240</w:t>
            </w:r>
          </w:p>
        </w:tc>
        <w:tc>
          <w:tcPr>
            <w:tcW w:w="2268" w:type="dxa"/>
            <w:tcBorders>
              <w:top w:val="nil"/>
              <w:left w:val="nil"/>
              <w:bottom w:val="single" w:sz="4" w:space="0" w:color="000000"/>
              <w:right w:val="single" w:sz="4" w:space="0" w:color="000000"/>
            </w:tcBorders>
            <w:shd w:val="clear" w:color="auto" w:fill="auto"/>
            <w:vAlign w:val="center"/>
          </w:tcPr>
          <w:p w14:paraId="0E9D28E7" w14:textId="42EBD989"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3E36EE4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5C60C54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77D35A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20.984,22</w:t>
            </w:r>
          </w:p>
        </w:tc>
        <w:tc>
          <w:tcPr>
            <w:tcW w:w="862" w:type="dxa"/>
            <w:tcBorders>
              <w:top w:val="nil"/>
              <w:left w:val="nil"/>
              <w:bottom w:val="single" w:sz="4" w:space="0" w:color="000000"/>
              <w:right w:val="single" w:sz="4" w:space="0" w:color="000000"/>
            </w:tcBorders>
            <w:shd w:val="clear" w:color="auto" w:fill="auto"/>
            <w:vAlign w:val="center"/>
            <w:hideMark/>
          </w:tcPr>
          <w:p w14:paraId="6980CB2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5.356,81</w:t>
            </w:r>
          </w:p>
        </w:tc>
        <w:tc>
          <w:tcPr>
            <w:tcW w:w="1064" w:type="dxa"/>
            <w:tcBorders>
              <w:top w:val="nil"/>
              <w:left w:val="nil"/>
              <w:bottom w:val="single" w:sz="4" w:space="0" w:color="000000"/>
              <w:right w:val="single" w:sz="4" w:space="0" w:color="000000"/>
            </w:tcBorders>
            <w:shd w:val="clear" w:color="auto" w:fill="auto"/>
            <w:vAlign w:val="center"/>
            <w:hideMark/>
          </w:tcPr>
          <w:p w14:paraId="0CFE251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20.707,49</w:t>
            </w:r>
          </w:p>
        </w:tc>
        <w:tc>
          <w:tcPr>
            <w:tcW w:w="1028" w:type="dxa"/>
            <w:tcBorders>
              <w:top w:val="nil"/>
              <w:left w:val="nil"/>
              <w:bottom w:val="single" w:sz="4" w:space="0" w:color="000000"/>
              <w:right w:val="single" w:sz="4" w:space="0" w:color="000000"/>
            </w:tcBorders>
            <w:shd w:val="clear" w:color="auto" w:fill="auto"/>
            <w:vAlign w:val="center"/>
            <w:hideMark/>
          </w:tcPr>
          <w:p w14:paraId="0CE24E6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-6.710,79</w:t>
            </w:r>
          </w:p>
        </w:tc>
        <w:tc>
          <w:tcPr>
            <w:tcW w:w="944" w:type="dxa"/>
            <w:tcBorders>
              <w:top w:val="nil"/>
              <w:left w:val="nil"/>
              <w:bottom w:val="single" w:sz="4" w:space="0" w:color="000000"/>
              <w:right w:val="single" w:sz="8" w:space="0" w:color="000000"/>
            </w:tcBorders>
            <w:shd w:val="clear" w:color="auto" w:fill="auto"/>
            <w:vAlign w:val="center"/>
            <w:hideMark/>
          </w:tcPr>
          <w:p w14:paraId="60E6BE3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1.126,67</w:t>
            </w:r>
          </w:p>
        </w:tc>
      </w:tr>
      <w:tr w:rsidR="00EF4BC3" w:rsidRPr="009E5B39" w14:paraId="566B50D4"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252268A"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113312</w:t>
            </w:r>
          </w:p>
        </w:tc>
        <w:tc>
          <w:tcPr>
            <w:tcW w:w="2268" w:type="dxa"/>
            <w:tcBorders>
              <w:top w:val="nil"/>
              <w:left w:val="nil"/>
              <w:bottom w:val="single" w:sz="4" w:space="0" w:color="000000"/>
              <w:right w:val="single" w:sz="4" w:space="0" w:color="000000"/>
            </w:tcBorders>
            <w:shd w:val="clear" w:color="auto" w:fill="auto"/>
            <w:vAlign w:val="center"/>
            <w:hideMark/>
          </w:tcPr>
          <w:p w14:paraId="149D4BA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Impozit privat încasat în bugetul local de nivelul II (11504/32)</w:t>
            </w:r>
          </w:p>
        </w:tc>
        <w:tc>
          <w:tcPr>
            <w:tcW w:w="992" w:type="dxa"/>
            <w:tcBorders>
              <w:top w:val="nil"/>
              <w:left w:val="nil"/>
              <w:bottom w:val="single" w:sz="4" w:space="0" w:color="000000"/>
              <w:right w:val="single" w:sz="4" w:space="0" w:color="000000"/>
            </w:tcBorders>
            <w:shd w:val="clear" w:color="auto" w:fill="auto"/>
            <w:vAlign w:val="center"/>
            <w:hideMark/>
          </w:tcPr>
          <w:p w14:paraId="716B54F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3DA7CD7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982358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434D74E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D8BC15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343,79</w:t>
            </w:r>
          </w:p>
        </w:tc>
        <w:tc>
          <w:tcPr>
            <w:tcW w:w="1028" w:type="dxa"/>
            <w:tcBorders>
              <w:top w:val="nil"/>
              <w:left w:val="nil"/>
              <w:bottom w:val="single" w:sz="4" w:space="0" w:color="000000"/>
              <w:right w:val="single" w:sz="4" w:space="0" w:color="000000"/>
            </w:tcBorders>
            <w:shd w:val="clear" w:color="auto" w:fill="auto"/>
            <w:vAlign w:val="center"/>
            <w:hideMark/>
          </w:tcPr>
          <w:p w14:paraId="4584787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060DB1D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0B726654"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E08ADCE"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113312</w:t>
            </w:r>
          </w:p>
        </w:tc>
        <w:tc>
          <w:tcPr>
            <w:tcW w:w="2268" w:type="dxa"/>
            <w:tcBorders>
              <w:top w:val="nil"/>
              <w:left w:val="nil"/>
              <w:bottom w:val="single" w:sz="4" w:space="0" w:color="000000"/>
              <w:right w:val="single" w:sz="4" w:space="0" w:color="000000"/>
            </w:tcBorders>
            <w:shd w:val="clear" w:color="auto" w:fill="auto"/>
            <w:vAlign w:val="center"/>
          </w:tcPr>
          <w:p w14:paraId="5E009B0A" w14:textId="7BD0730E"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848BB5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79485B0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7D9655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1A11012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965695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77,73</w:t>
            </w:r>
          </w:p>
        </w:tc>
        <w:tc>
          <w:tcPr>
            <w:tcW w:w="1028" w:type="dxa"/>
            <w:tcBorders>
              <w:top w:val="nil"/>
              <w:left w:val="nil"/>
              <w:bottom w:val="single" w:sz="4" w:space="0" w:color="000000"/>
              <w:right w:val="single" w:sz="4" w:space="0" w:color="000000"/>
            </w:tcBorders>
            <w:shd w:val="clear" w:color="auto" w:fill="auto"/>
            <w:vAlign w:val="center"/>
            <w:hideMark/>
          </w:tcPr>
          <w:p w14:paraId="62870F5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7264432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2C50692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ECC488E"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113312</w:t>
            </w:r>
          </w:p>
        </w:tc>
        <w:tc>
          <w:tcPr>
            <w:tcW w:w="2268" w:type="dxa"/>
            <w:tcBorders>
              <w:top w:val="nil"/>
              <w:left w:val="nil"/>
              <w:bottom w:val="single" w:sz="4" w:space="0" w:color="000000"/>
              <w:right w:val="single" w:sz="4" w:space="0" w:color="000000"/>
            </w:tcBorders>
            <w:shd w:val="clear" w:color="auto" w:fill="auto"/>
            <w:vAlign w:val="center"/>
          </w:tcPr>
          <w:p w14:paraId="3E085796" w14:textId="06DAE9BC"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114F3D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7BDAD9C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5E2090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1B821C8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98C401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48,43</w:t>
            </w:r>
          </w:p>
        </w:tc>
        <w:tc>
          <w:tcPr>
            <w:tcW w:w="1028" w:type="dxa"/>
            <w:tcBorders>
              <w:top w:val="nil"/>
              <w:left w:val="nil"/>
              <w:bottom w:val="single" w:sz="4" w:space="0" w:color="000000"/>
              <w:right w:val="single" w:sz="4" w:space="0" w:color="000000"/>
            </w:tcBorders>
            <w:shd w:val="clear" w:color="auto" w:fill="auto"/>
            <w:vAlign w:val="center"/>
            <w:hideMark/>
          </w:tcPr>
          <w:p w14:paraId="44840AF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18A5D10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3035015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3DE1FA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113312</w:t>
            </w:r>
          </w:p>
        </w:tc>
        <w:tc>
          <w:tcPr>
            <w:tcW w:w="2268" w:type="dxa"/>
            <w:tcBorders>
              <w:top w:val="nil"/>
              <w:left w:val="nil"/>
              <w:bottom w:val="single" w:sz="4" w:space="0" w:color="000000"/>
              <w:right w:val="single" w:sz="4" w:space="0" w:color="000000"/>
            </w:tcBorders>
            <w:shd w:val="clear" w:color="auto" w:fill="auto"/>
            <w:vAlign w:val="center"/>
          </w:tcPr>
          <w:p w14:paraId="1B7155DD" w14:textId="5F264711"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5F7ACF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69B45E7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799056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5470F1C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BF8ED7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14,87</w:t>
            </w:r>
          </w:p>
        </w:tc>
        <w:tc>
          <w:tcPr>
            <w:tcW w:w="1028" w:type="dxa"/>
            <w:tcBorders>
              <w:top w:val="nil"/>
              <w:left w:val="nil"/>
              <w:bottom w:val="single" w:sz="4" w:space="0" w:color="000000"/>
              <w:right w:val="single" w:sz="4" w:space="0" w:color="000000"/>
            </w:tcBorders>
            <w:shd w:val="clear" w:color="auto" w:fill="auto"/>
            <w:vAlign w:val="center"/>
            <w:hideMark/>
          </w:tcPr>
          <w:p w14:paraId="67BB87B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2053216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7EFA5155"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C809AA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114411</w:t>
            </w:r>
          </w:p>
        </w:tc>
        <w:tc>
          <w:tcPr>
            <w:tcW w:w="2268" w:type="dxa"/>
            <w:tcBorders>
              <w:top w:val="nil"/>
              <w:left w:val="nil"/>
              <w:bottom w:val="single" w:sz="4" w:space="0" w:color="000000"/>
              <w:right w:val="single" w:sz="4" w:space="0" w:color="000000"/>
            </w:tcBorders>
            <w:shd w:val="clear" w:color="auto" w:fill="auto"/>
            <w:vAlign w:val="center"/>
            <w:hideMark/>
          </w:tcPr>
          <w:p w14:paraId="6CB8E548"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de piață (12227)</w:t>
            </w:r>
          </w:p>
        </w:tc>
        <w:tc>
          <w:tcPr>
            <w:tcW w:w="992" w:type="dxa"/>
            <w:tcBorders>
              <w:top w:val="nil"/>
              <w:left w:val="nil"/>
              <w:bottom w:val="single" w:sz="4" w:space="0" w:color="000000"/>
              <w:right w:val="single" w:sz="4" w:space="0" w:color="000000"/>
            </w:tcBorders>
            <w:shd w:val="clear" w:color="auto" w:fill="auto"/>
            <w:vAlign w:val="center"/>
            <w:hideMark/>
          </w:tcPr>
          <w:p w14:paraId="0C40F06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-18,00</w:t>
            </w:r>
          </w:p>
        </w:tc>
        <w:tc>
          <w:tcPr>
            <w:tcW w:w="944" w:type="dxa"/>
            <w:tcBorders>
              <w:top w:val="nil"/>
              <w:left w:val="nil"/>
              <w:bottom w:val="single" w:sz="4" w:space="0" w:color="000000"/>
              <w:right w:val="single" w:sz="4" w:space="0" w:color="000000"/>
            </w:tcBorders>
            <w:shd w:val="clear" w:color="auto" w:fill="auto"/>
            <w:vAlign w:val="center"/>
            <w:hideMark/>
          </w:tcPr>
          <w:p w14:paraId="32541D0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266,07</w:t>
            </w:r>
          </w:p>
        </w:tc>
        <w:tc>
          <w:tcPr>
            <w:tcW w:w="1064" w:type="dxa"/>
            <w:tcBorders>
              <w:top w:val="nil"/>
              <w:left w:val="nil"/>
              <w:bottom w:val="single" w:sz="4" w:space="0" w:color="000000"/>
              <w:right w:val="single" w:sz="4" w:space="0" w:color="000000"/>
            </w:tcBorders>
            <w:shd w:val="clear" w:color="auto" w:fill="auto"/>
            <w:vAlign w:val="center"/>
            <w:hideMark/>
          </w:tcPr>
          <w:p w14:paraId="5FEB4FF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1.625,52</w:t>
            </w:r>
          </w:p>
        </w:tc>
        <w:tc>
          <w:tcPr>
            <w:tcW w:w="862" w:type="dxa"/>
            <w:tcBorders>
              <w:top w:val="nil"/>
              <w:left w:val="nil"/>
              <w:bottom w:val="single" w:sz="4" w:space="0" w:color="000000"/>
              <w:right w:val="single" w:sz="4" w:space="0" w:color="000000"/>
            </w:tcBorders>
            <w:shd w:val="clear" w:color="auto" w:fill="auto"/>
            <w:vAlign w:val="center"/>
            <w:hideMark/>
          </w:tcPr>
          <w:p w14:paraId="6166B0A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-0,25</w:t>
            </w:r>
          </w:p>
        </w:tc>
        <w:tc>
          <w:tcPr>
            <w:tcW w:w="1064" w:type="dxa"/>
            <w:tcBorders>
              <w:top w:val="nil"/>
              <w:left w:val="nil"/>
              <w:bottom w:val="single" w:sz="4" w:space="0" w:color="000000"/>
              <w:right w:val="single" w:sz="4" w:space="0" w:color="000000"/>
            </w:tcBorders>
            <w:shd w:val="clear" w:color="auto" w:fill="auto"/>
            <w:vAlign w:val="center"/>
            <w:hideMark/>
          </w:tcPr>
          <w:p w14:paraId="3B95052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1.728,83</w:t>
            </w:r>
          </w:p>
        </w:tc>
        <w:tc>
          <w:tcPr>
            <w:tcW w:w="1028" w:type="dxa"/>
            <w:tcBorders>
              <w:top w:val="nil"/>
              <w:left w:val="nil"/>
              <w:bottom w:val="single" w:sz="4" w:space="0" w:color="000000"/>
              <w:right w:val="single" w:sz="4" w:space="0" w:color="000000"/>
            </w:tcBorders>
            <w:shd w:val="clear" w:color="auto" w:fill="auto"/>
            <w:vAlign w:val="center"/>
            <w:hideMark/>
          </w:tcPr>
          <w:p w14:paraId="5EF2E83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-13,66</w:t>
            </w:r>
          </w:p>
        </w:tc>
        <w:tc>
          <w:tcPr>
            <w:tcW w:w="944" w:type="dxa"/>
            <w:tcBorders>
              <w:top w:val="nil"/>
              <w:left w:val="nil"/>
              <w:bottom w:val="single" w:sz="4" w:space="0" w:color="000000"/>
              <w:right w:val="single" w:sz="8" w:space="0" w:color="000000"/>
            </w:tcBorders>
            <w:shd w:val="clear" w:color="auto" w:fill="auto"/>
            <w:vAlign w:val="center"/>
            <w:hideMark/>
          </w:tcPr>
          <w:p w14:paraId="27C3009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397,65</w:t>
            </w:r>
          </w:p>
        </w:tc>
      </w:tr>
      <w:tr w:rsidR="00EF4BC3" w:rsidRPr="009E5B39" w14:paraId="6A0CA24C"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40F17B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114411</w:t>
            </w:r>
          </w:p>
        </w:tc>
        <w:tc>
          <w:tcPr>
            <w:tcW w:w="2268" w:type="dxa"/>
            <w:tcBorders>
              <w:top w:val="nil"/>
              <w:left w:val="nil"/>
              <w:bottom w:val="single" w:sz="4" w:space="0" w:color="000000"/>
              <w:right w:val="single" w:sz="4" w:space="0" w:color="000000"/>
            </w:tcBorders>
            <w:shd w:val="clear" w:color="auto" w:fill="auto"/>
            <w:vAlign w:val="center"/>
          </w:tcPr>
          <w:p w14:paraId="320DF923" w14:textId="5A81507C"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D1B80E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-35,29</w:t>
            </w:r>
          </w:p>
        </w:tc>
        <w:tc>
          <w:tcPr>
            <w:tcW w:w="944" w:type="dxa"/>
            <w:tcBorders>
              <w:top w:val="nil"/>
              <w:left w:val="nil"/>
              <w:bottom w:val="single" w:sz="4" w:space="0" w:color="000000"/>
              <w:right w:val="single" w:sz="4" w:space="0" w:color="000000"/>
            </w:tcBorders>
            <w:shd w:val="clear" w:color="auto" w:fill="auto"/>
            <w:vAlign w:val="center"/>
            <w:hideMark/>
          </w:tcPr>
          <w:p w14:paraId="032C881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551,63</w:t>
            </w:r>
          </w:p>
        </w:tc>
        <w:tc>
          <w:tcPr>
            <w:tcW w:w="1064" w:type="dxa"/>
            <w:tcBorders>
              <w:top w:val="nil"/>
              <w:left w:val="nil"/>
              <w:bottom w:val="single" w:sz="4" w:space="0" w:color="000000"/>
              <w:right w:val="single" w:sz="4" w:space="0" w:color="000000"/>
            </w:tcBorders>
            <w:shd w:val="clear" w:color="auto" w:fill="auto"/>
            <w:vAlign w:val="center"/>
            <w:hideMark/>
          </w:tcPr>
          <w:p w14:paraId="5E6E9FD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4.316,15</w:t>
            </w:r>
          </w:p>
        </w:tc>
        <w:tc>
          <w:tcPr>
            <w:tcW w:w="862" w:type="dxa"/>
            <w:tcBorders>
              <w:top w:val="nil"/>
              <w:left w:val="nil"/>
              <w:bottom w:val="single" w:sz="4" w:space="0" w:color="000000"/>
              <w:right w:val="single" w:sz="4" w:space="0" w:color="000000"/>
            </w:tcBorders>
            <w:shd w:val="clear" w:color="auto" w:fill="auto"/>
            <w:vAlign w:val="center"/>
            <w:hideMark/>
          </w:tcPr>
          <w:p w14:paraId="54F6FD1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49,52</w:t>
            </w:r>
          </w:p>
        </w:tc>
        <w:tc>
          <w:tcPr>
            <w:tcW w:w="1064" w:type="dxa"/>
            <w:tcBorders>
              <w:top w:val="nil"/>
              <w:left w:val="nil"/>
              <w:bottom w:val="single" w:sz="4" w:space="0" w:color="000000"/>
              <w:right w:val="single" w:sz="4" w:space="0" w:color="000000"/>
            </w:tcBorders>
            <w:shd w:val="clear" w:color="auto" w:fill="auto"/>
            <w:vAlign w:val="center"/>
            <w:hideMark/>
          </w:tcPr>
          <w:p w14:paraId="2258EB4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4.289,71</w:t>
            </w:r>
          </w:p>
        </w:tc>
        <w:tc>
          <w:tcPr>
            <w:tcW w:w="1028" w:type="dxa"/>
            <w:tcBorders>
              <w:top w:val="nil"/>
              <w:left w:val="nil"/>
              <w:bottom w:val="single" w:sz="4" w:space="0" w:color="000000"/>
              <w:right w:val="single" w:sz="4" w:space="0" w:color="000000"/>
            </w:tcBorders>
            <w:shd w:val="clear" w:color="auto" w:fill="auto"/>
            <w:vAlign w:val="center"/>
            <w:hideMark/>
          </w:tcPr>
          <w:p w14:paraId="4846969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-50,78</w:t>
            </w:r>
          </w:p>
        </w:tc>
        <w:tc>
          <w:tcPr>
            <w:tcW w:w="944" w:type="dxa"/>
            <w:tcBorders>
              <w:top w:val="nil"/>
              <w:left w:val="nil"/>
              <w:bottom w:val="single" w:sz="4" w:space="0" w:color="000000"/>
              <w:right w:val="single" w:sz="8" w:space="0" w:color="000000"/>
            </w:tcBorders>
            <w:shd w:val="clear" w:color="auto" w:fill="auto"/>
            <w:vAlign w:val="center"/>
            <w:hideMark/>
          </w:tcPr>
          <w:p w14:paraId="570B5D7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509,39</w:t>
            </w:r>
          </w:p>
        </w:tc>
      </w:tr>
      <w:tr w:rsidR="00EF4BC3" w:rsidRPr="009E5B39" w14:paraId="0CF44A6F"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1BB2D2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114411</w:t>
            </w:r>
          </w:p>
        </w:tc>
        <w:tc>
          <w:tcPr>
            <w:tcW w:w="2268" w:type="dxa"/>
            <w:tcBorders>
              <w:top w:val="nil"/>
              <w:left w:val="nil"/>
              <w:bottom w:val="single" w:sz="4" w:space="0" w:color="000000"/>
              <w:right w:val="single" w:sz="4" w:space="0" w:color="000000"/>
            </w:tcBorders>
            <w:shd w:val="clear" w:color="auto" w:fill="auto"/>
            <w:vAlign w:val="center"/>
          </w:tcPr>
          <w:p w14:paraId="04C102F3" w14:textId="2DF981CF"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B9AD17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7D627AA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151,47</w:t>
            </w:r>
          </w:p>
        </w:tc>
        <w:tc>
          <w:tcPr>
            <w:tcW w:w="1064" w:type="dxa"/>
            <w:tcBorders>
              <w:top w:val="nil"/>
              <w:left w:val="nil"/>
              <w:bottom w:val="single" w:sz="4" w:space="0" w:color="000000"/>
              <w:right w:val="single" w:sz="4" w:space="0" w:color="000000"/>
            </w:tcBorders>
            <w:shd w:val="clear" w:color="auto" w:fill="auto"/>
            <w:vAlign w:val="center"/>
            <w:hideMark/>
          </w:tcPr>
          <w:p w14:paraId="4607CDF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834,08</w:t>
            </w:r>
          </w:p>
        </w:tc>
        <w:tc>
          <w:tcPr>
            <w:tcW w:w="862" w:type="dxa"/>
            <w:tcBorders>
              <w:top w:val="nil"/>
              <w:left w:val="nil"/>
              <w:bottom w:val="single" w:sz="4" w:space="0" w:color="000000"/>
              <w:right w:val="single" w:sz="4" w:space="0" w:color="000000"/>
            </w:tcBorders>
            <w:shd w:val="clear" w:color="auto" w:fill="auto"/>
            <w:vAlign w:val="center"/>
            <w:hideMark/>
          </w:tcPr>
          <w:p w14:paraId="3474E48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-0,09</w:t>
            </w:r>
          </w:p>
        </w:tc>
        <w:tc>
          <w:tcPr>
            <w:tcW w:w="1064" w:type="dxa"/>
            <w:tcBorders>
              <w:top w:val="nil"/>
              <w:left w:val="nil"/>
              <w:bottom w:val="single" w:sz="4" w:space="0" w:color="000000"/>
              <w:right w:val="single" w:sz="4" w:space="0" w:color="000000"/>
            </w:tcBorders>
            <w:shd w:val="clear" w:color="auto" w:fill="auto"/>
            <w:vAlign w:val="center"/>
            <w:hideMark/>
          </w:tcPr>
          <w:p w14:paraId="036FF58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801,72</w:t>
            </w:r>
          </w:p>
        </w:tc>
        <w:tc>
          <w:tcPr>
            <w:tcW w:w="1028" w:type="dxa"/>
            <w:tcBorders>
              <w:top w:val="nil"/>
              <w:left w:val="nil"/>
              <w:bottom w:val="single" w:sz="4" w:space="0" w:color="000000"/>
              <w:right w:val="single" w:sz="4" w:space="0" w:color="000000"/>
            </w:tcBorders>
            <w:shd w:val="clear" w:color="auto" w:fill="auto"/>
            <w:vAlign w:val="center"/>
            <w:hideMark/>
          </w:tcPr>
          <w:p w14:paraId="792BC1E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1EBB27D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119,13</w:t>
            </w:r>
          </w:p>
        </w:tc>
      </w:tr>
      <w:tr w:rsidR="00EF4BC3" w:rsidRPr="009E5B39" w14:paraId="32074F4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2D84A4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114411</w:t>
            </w:r>
          </w:p>
        </w:tc>
        <w:tc>
          <w:tcPr>
            <w:tcW w:w="2268" w:type="dxa"/>
            <w:tcBorders>
              <w:top w:val="nil"/>
              <w:left w:val="nil"/>
              <w:bottom w:val="single" w:sz="4" w:space="0" w:color="000000"/>
              <w:right w:val="single" w:sz="4" w:space="0" w:color="000000"/>
            </w:tcBorders>
            <w:shd w:val="clear" w:color="auto" w:fill="auto"/>
            <w:vAlign w:val="center"/>
          </w:tcPr>
          <w:p w14:paraId="0EA78534" w14:textId="57F5B718"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BADE0D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-6,997</w:t>
            </w:r>
          </w:p>
        </w:tc>
        <w:tc>
          <w:tcPr>
            <w:tcW w:w="944" w:type="dxa"/>
            <w:tcBorders>
              <w:top w:val="nil"/>
              <w:left w:val="nil"/>
              <w:bottom w:val="single" w:sz="4" w:space="0" w:color="000000"/>
              <w:right w:val="single" w:sz="4" w:space="0" w:color="000000"/>
            </w:tcBorders>
            <w:shd w:val="clear" w:color="auto" w:fill="auto"/>
            <w:vAlign w:val="center"/>
            <w:hideMark/>
          </w:tcPr>
          <w:p w14:paraId="6896DCA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48,89</w:t>
            </w:r>
          </w:p>
        </w:tc>
        <w:tc>
          <w:tcPr>
            <w:tcW w:w="1064" w:type="dxa"/>
            <w:tcBorders>
              <w:top w:val="nil"/>
              <w:left w:val="nil"/>
              <w:bottom w:val="single" w:sz="4" w:space="0" w:color="000000"/>
              <w:right w:val="single" w:sz="4" w:space="0" w:color="000000"/>
            </w:tcBorders>
            <w:shd w:val="clear" w:color="auto" w:fill="auto"/>
            <w:vAlign w:val="center"/>
            <w:hideMark/>
          </w:tcPr>
          <w:p w14:paraId="7E9D243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1.339,58</w:t>
            </w:r>
          </w:p>
        </w:tc>
        <w:tc>
          <w:tcPr>
            <w:tcW w:w="862" w:type="dxa"/>
            <w:tcBorders>
              <w:top w:val="nil"/>
              <w:left w:val="nil"/>
              <w:bottom w:val="single" w:sz="4" w:space="0" w:color="000000"/>
              <w:right w:val="single" w:sz="4" w:space="0" w:color="000000"/>
            </w:tcBorders>
            <w:shd w:val="clear" w:color="auto" w:fill="auto"/>
            <w:vAlign w:val="center"/>
            <w:hideMark/>
          </w:tcPr>
          <w:p w14:paraId="6D82B7A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0,08</w:t>
            </w:r>
          </w:p>
        </w:tc>
        <w:tc>
          <w:tcPr>
            <w:tcW w:w="1064" w:type="dxa"/>
            <w:tcBorders>
              <w:top w:val="nil"/>
              <w:left w:val="nil"/>
              <w:bottom w:val="single" w:sz="4" w:space="0" w:color="000000"/>
              <w:right w:val="single" w:sz="4" w:space="0" w:color="000000"/>
            </w:tcBorders>
            <w:shd w:val="clear" w:color="auto" w:fill="auto"/>
            <w:vAlign w:val="center"/>
            <w:hideMark/>
          </w:tcPr>
          <w:p w14:paraId="4ACD717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1.453,09</w:t>
            </w:r>
          </w:p>
        </w:tc>
        <w:tc>
          <w:tcPr>
            <w:tcW w:w="1028" w:type="dxa"/>
            <w:tcBorders>
              <w:top w:val="nil"/>
              <w:left w:val="nil"/>
              <w:bottom w:val="single" w:sz="4" w:space="0" w:color="000000"/>
              <w:right w:val="single" w:sz="4" w:space="0" w:color="000000"/>
            </w:tcBorders>
            <w:shd w:val="clear" w:color="auto" w:fill="auto"/>
            <w:vAlign w:val="center"/>
            <w:hideMark/>
          </w:tcPr>
          <w:p w14:paraId="4687BC2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-0,89</w:t>
            </w:r>
          </w:p>
        </w:tc>
        <w:tc>
          <w:tcPr>
            <w:tcW w:w="944" w:type="dxa"/>
            <w:tcBorders>
              <w:top w:val="nil"/>
              <w:left w:val="nil"/>
              <w:bottom w:val="single" w:sz="4" w:space="0" w:color="000000"/>
              <w:right w:val="single" w:sz="8" w:space="0" w:color="000000"/>
            </w:tcBorders>
            <w:shd w:val="clear" w:color="auto" w:fill="auto"/>
            <w:vAlign w:val="center"/>
            <w:hideMark/>
          </w:tcPr>
          <w:p w14:paraId="604AD62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161,12</w:t>
            </w:r>
          </w:p>
        </w:tc>
      </w:tr>
      <w:tr w:rsidR="00EF4BC3" w:rsidRPr="009E5B39" w14:paraId="3E8137F6"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D79CD01"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114412</w:t>
            </w:r>
          </w:p>
        </w:tc>
        <w:tc>
          <w:tcPr>
            <w:tcW w:w="2268" w:type="dxa"/>
            <w:tcBorders>
              <w:top w:val="nil"/>
              <w:left w:val="nil"/>
              <w:bottom w:val="single" w:sz="4" w:space="0" w:color="000000"/>
              <w:right w:val="single" w:sz="4" w:space="0" w:color="000000"/>
            </w:tcBorders>
            <w:shd w:val="clear" w:color="auto" w:fill="auto"/>
            <w:vAlign w:val="center"/>
            <w:hideMark/>
          </w:tcPr>
          <w:p w14:paraId="24BA9A9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amenajarea teritoriului (12228)</w:t>
            </w:r>
          </w:p>
        </w:tc>
        <w:tc>
          <w:tcPr>
            <w:tcW w:w="992" w:type="dxa"/>
            <w:tcBorders>
              <w:top w:val="nil"/>
              <w:left w:val="nil"/>
              <w:bottom w:val="single" w:sz="4" w:space="0" w:color="000000"/>
              <w:right w:val="single" w:sz="4" w:space="0" w:color="000000"/>
            </w:tcBorders>
            <w:shd w:val="clear" w:color="auto" w:fill="auto"/>
            <w:vAlign w:val="center"/>
            <w:hideMark/>
          </w:tcPr>
          <w:p w14:paraId="25CA97E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-2.252,80</w:t>
            </w:r>
          </w:p>
        </w:tc>
        <w:tc>
          <w:tcPr>
            <w:tcW w:w="944" w:type="dxa"/>
            <w:tcBorders>
              <w:top w:val="nil"/>
              <w:left w:val="nil"/>
              <w:bottom w:val="single" w:sz="4" w:space="0" w:color="000000"/>
              <w:right w:val="single" w:sz="4" w:space="0" w:color="000000"/>
            </w:tcBorders>
            <w:shd w:val="clear" w:color="auto" w:fill="auto"/>
            <w:vAlign w:val="center"/>
            <w:hideMark/>
          </w:tcPr>
          <w:p w14:paraId="683195F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2.133,4</w:t>
            </w:r>
          </w:p>
        </w:tc>
        <w:tc>
          <w:tcPr>
            <w:tcW w:w="1064" w:type="dxa"/>
            <w:tcBorders>
              <w:top w:val="nil"/>
              <w:left w:val="nil"/>
              <w:bottom w:val="single" w:sz="4" w:space="0" w:color="000000"/>
              <w:right w:val="single" w:sz="4" w:space="0" w:color="000000"/>
            </w:tcBorders>
            <w:shd w:val="clear" w:color="auto" w:fill="auto"/>
            <w:vAlign w:val="center"/>
            <w:hideMark/>
          </w:tcPr>
          <w:p w14:paraId="5151F40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9.688,6</w:t>
            </w:r>
          </w:p>
        </w:tc>
        <w:tc>
          <w:tcPr>
            <w:tcW w:w="862" w:type="dxa"/>
            <w:tcBorders>
              <w:top w:val="nil"/>
              <w:left w:val="nil"/>
              <w:bottom w:val="single" w:sz="4" w:space="0" w:color="000000"/>
              <w:right w:val="single" w:sz="4" w:space="0" w:color="000000"/>
            </w:tcBorders>
            <w:shd w:val="clear" w:color="auto" w:fill="auto"/>
            <w:vAlign w:val="center"/>
            <w:hideMark/>
          </w:tcPr>
          <w:p w14:paraId="500C64B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70,25</w:t>
            </w:r>
          </w:p>
        </w:tc>
        <w:tc>
          <w:tcPr>
            <w:tcW w:w="1064" w:type="dxa"/>
            <w:tcBorders>
              <w:top w:val="nil"/>
              <w:left w:val="nil"/>
              <w:bottom w:val="single" w:sz="4" w:space="0" w:color="000000"/>
              <w:right w:val="single" w:sz="4" w:space="0" w:color="000000"/>
            </w:tcBorders>
            <w:shd w:val="clear" w:color="auto" w:fill="auto"/>
            <w:vAlign w:val="center"/>
            <w:hideMark/>
          </w:tcPr>
          <w:p w14:paraId="0680EA6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9.677,51</w:t>
            </w:r>
          </w:p>
        </w:tc>
        <w:tc>
          <w:tcPr>
            <w:tcW w:w="1028" w:type="dxa"/>
            <w:tcBorders>
              <w:top w:val="nil"/>
              <w:left w:val="nil"/>
              <w:bottom w:val="single" w:sz="4" w:space="0" w:color="000000"/>
              <w:right w:val="single" w:sz="4" w:space="0" w:color="000000"/>
            </w:tcBorders>
            <w:shd w:val="clear" w:color="auto" w:fill="auto"/>
            <w:vAlign w:val="center"/>
            <w:hideMark/>
          </w:tcPr>
          <w:p w14:paraId="1AADE33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-2.431,88</w:t>
            </w:r>
          </w:p>
        </w:tc>
        <w:tc>
          <w:tcPr>
            <w:tcW w:w="944" w:type="dxa"/>
            <w:tcBorders>
              <w:top w:val="nil"/>
              <w:left w:val="nil"/>
              <w:bottom w:val="single" w:sz="4" w:space="0" w:color="000000"/>
              <w:right w:val="single" w:sz="8" w:space="0" w:color="000000"/>
            </w:tcBorders>
            <w:shd w:val="clear" w:color="auto" w:fill="auto"/>
            <w:vAlign w:val="center"/>
            <w:hideMark/>
          </w:tcPr>
          <w:p w14:paraId="1BF26E6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2.318,94</w:t>
            </w:r>
          </w:p>
        </w:tc>
      </w:tr>
      <w:tr w:rsidR="00EF4BC3" w:rsidRPr="009E5B39" w14:paraId="1386D05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E4C9F1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114412</w:t>
            </w:r>
          </w:p>
        </w:tc>
        <w:tc>
          <w:tcPr>
            <w:tcW w:w="2268" w:type="dxa"/>
            <w:tcBorders>
              <w:top w:val="nil"/>
              <w:left w:val="nil"/>
              <w:bottom w:val="single" w:sz="4" w:space="0" w:color="000000"/>
              <w:right w:val="single" w:sz="4" w:space="0" w:color="000000"/>
            </w:tcBorders>
            <w:shd w:val="clear" w:color="auto" w:fill="auto"/>
            <w:vAlign w:val="center"/>
          </w:tcPr>
          <w:p w14:paraId="5C806DE7" w14:textId="60E745F1"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6051F7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-2.044,98</w:t>
            </w:r>
          </w:p>
        </w:tc>
        <w:tc>
          <w:tcPr>
            <w:tcW w:w="944" w:type="dxa"/>
            <w:tcBorders>
              <w:top w:val="nil"/>
              <w:left w:val="nil"/>
              <w:bottom w:val="single" w:sz="4" w:space="0" w:color="000000"/>
              <w:right w:val="single" w:sz="4" w:space="0" w:color="000000"/>
            </w:tcBorders>
            <w:shd w:val="clear" w:color="auto" w:fill="auto"/>
            <w:vAlign w:val="center"/>
            <w:hideMark/>
          </w:tcPr>
          <w:p w14:paraId="4D941AC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1.213,22</w:t>
            </w:r>
          </w:p>
        </w:tc>
        <w:tc>
          <w:tcPr>
            <w:tcW w:w="1064" w:type="dxa"/>
            <w:tcBorders>
              <w:top w:val="nil"/>
              <w:left w:val="nil"/>
              <w:bottom w:val="single" w:sz="4" w:space="0" w:color="000000"/>
              <w:right w:val="single" w:sz="4" w:space="0" w:color="000000"/>
            </w:tcBorders>
            <w:shd w:val="clear" w:color="auto" w:fill="auto"/>
            <w:vAlign w:val="center"/>
            <w:hideMark/>
          </w:tcPr>
          <w:p w14:paraId="45D501C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5.856,12</w:t>
            </w:r>
          </w:p>
        </w:tc>
        <w:tc>
          <w:tcPr>
            <w:tcW w:w="862" w:type="dxa"/>
            <w:tcBorders>
              <w:top w:val="nil"/>
              <w:left w:val="nil"/>
              <w:bottom w:val="single" w:sz="4" w:space="0" w:color="000000"/>
              <w:right w:val="single" w:sz="4" w:space="0" w:color="000000"/>
            </w:tcBorders>
            <w:shd w:val="clear" w:color="auto" w:fill="auto"/>
            <w:vAlign w:val="center"/>
            <w:hideMark/>
          </w:tcPr>
          <w:p w14:paraId="17B1872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145,11</w:t>
            </w:r>
          </w:p>
        </w:tc>
        <w:tc>
          <w:tcPr>
            <w:tcW w:w="1064" w:type="dxa"/>
            <w:tcBorders>
              <w:top w:val="nil"/>
              <w:left w:val="nil"/>
              <w:bottom w:val="single" w:sz="4" w:space="0" w:color="000000"/>
              <w:right w:val="single" w:sz="4" w:space="0" w:color="000000"/>
            </w:tcBorders>
            <w:shd w:val="clear" w:color="auto" w:fill="auto"/>
            <w:vAlign w:val="center"/>
            <w:hideMark/>
          </w:tcPr>
          <w:p w14:paraId="1099EF6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5.599,74</w:t>
            </w:r>
          </w:p>
        </w:tc>
        <w:tc>
          <w:tcPr>
            <w:tcW w:w="1028" w:type="dxa"/>
            <w:tcBorders>
              <w:top w:val="nil"/>
              <w:left w:val="nil"/>
              <w:bottom w:val="single" w:sz="4" w:space="0" w:color="000000"/>
              <w:right w:val="single" w:sz="4" w:space="0" w:color="000000"/>
            </w:tcBorders>
            <w:shd w:val="clear" w:color="auto" w:fill="auto"/>
            <w:vAlign w:val="center"/>
            <w:hideMark/>
          </w:tcPr>
          <w:p w14:paraId="7C822A4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-1.871,1</w:t>
            </w:r>
          </w:p>
        </w:tc>
        <w:tc>
          <w:tcPr>
            <w:tcW w:w="944" w:type="dxa"/>
            <w:tcBorders>
              <w:top w:val="nil"/>
              <w:left w:val="nil"/>
              <w:bottom w:val="single" w:sz="4" w:space="0" w:color="000000"/>
              <w:right w:val="single" w:sz="8" w:space="0" w:color="000000"/>
            </w:tcBorders>
            <w:shd w:val="clear" w:color="auto" w:fill="auto"/>
            <w:vAlign w:val="center"/>
            <w:hideMark/>
          </w:tcPr>
          <w:p w14:paraId="289C697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1.200,28</w:t>
            </w:r>
          </w:p>
        </w:tc>
      </w:tr>
      <w:tr w:rsidR="00EF4BC3" w:rsidRPr="009E5B39" w14:paraId="7AE5F9E9"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5F2CEAE"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114412</w:t>
            </w:r>
          </w:p>
        </w:tc>
        <w:tc>
          <w:tcPr>
            <w:tcW w:w="2268" w:type="dxa"/>
            <w:tcBorders>
              <w:top w:val="nil"/>
              <w:left w:val="nil"/>
              <w:bottom w:val="single" w:sz="4" w:space="0" w:color="000000"/>
              <w:right w:val="single" w:sz="4" w:space="0" w:color="000000"/>
            </w:tcBorders>
            <w:shd w:val="clear" w:color="auto" w:fill="auto"/>
            <w:vAlign w:val="center"/>
          </w:tcPr>
          <w:p w14:paraId="3EEFAA79" w14:textId="23730A6A"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0B6BC5D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-1.332,51</w:t>
            </w:r>
          </w:p>
        </w:tc>
        <w:tc>
          <w:tcPr>
            <w:tcW w:w="944" w:type="dxa"/>
            <w:tcBorders>
              <w:top w:val="nil"/>
              <w:left w:val="nil"/>
              <w:bottom w:val="single" w:sz="4" w:space="0" w:color="000000"/>
              <w:right w:val="single" w:sz="4" w:space="0" w:color="000000"/>
            </w:tcBorders>
            <w:shd w:val="clear" w:color="auto" w:fill="auto"/>
            <w:vAlign w:val="center"/>
            <w:hideMark/>
          </w:tcPr>
          <w:p w14:paraId="40909EF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905,37</w:t>
            </w:r>
          </w:p>
        </w:tc>
        <w:tc>
          <w:tcPr>
            <w:tcW w:w="1064" w:type="dxa"/>
            <w:tcBorders>
              <w:top w:val="nil"/>
              <w:left w:val="nil"/>
              <w:bottom w:val="single" w:sz="4" w:space="0" w:color="000000"/>
              <w:right w:val="single" w:sz="4" w:space="0" w:color="000000"/>
            </w:tcBorders>
            <w:shd w:val="clear" w:color="auto" w:fill="auto"/>
            <w:vAlign w:val="center"/>
            <w:hideMark/>
          </w:tcPr>
          <w:p w14:paraId="072E705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4.841,47</w:t>
            </w:r>
          </w:p>
        </w:tc>
        <w:tc>
          <w:tcPr>
            <w:tcW w:w="862" w:type="dxa"/>
            <w:tcBorders>
              <w:top w:val="nil"/>
              <w:left w:val="nil"/>
              <w:bottom w:val="single" w:sz="4" w:space="0" w:color="000000"/>
              <w:right w:val="single" w:sz="4" w:space="0" w:color="000000"/>
            </w:tcBorders>
            <w:shd w:val="clear" w:color="auto" w:fill="auto"/>
            <w:vAlign w:val="center"/>
            <w:hideMark/>
          </w:tcPr>
          <w:p w14:paraId="1B98D64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28,95</w:t>
            </w:r>
          </w:p>
        </w:tc>
        <w:tc>
          <w:tcPr>
            <w:tcW w:w="1064" w:type="dxa"/>
            <w:tcBorders>
              <w:top w:val="nil"/>
              <w:left w:val="nil"/>
              <w:bottom w:val="single" w:sz="4" w:space="0" w:color="000000"/>
              <w:right w:val="single" w:sz="4" w:space="0" w:color="000000"/>
            </w:tcBorders>
            <w:shd w:val="clear" w:color="auto" w:fill="auto"/>
            <w:vAlign w:val="center"/>
            <w:hideMark/>
          </w:tcPr>
          <w:p w14:paraId="51615AB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4.880,18</w:t>
            </w:r>
          </w:p>
        </w:tc>
        <w:tc>
          <w:tcPr>
            <w:tcW w:w="1028" w:type="dxa"/>
            <w:tcBorders>
              <w:top w:val="nil"/>
              <w:left w:val="nil"/>
              <w:bottom w:val="single" w:sz="4" w:space="0" w:color="000000"/>
              <w:right w:val="single" w:sz="4" w:space="0" w:color="000000"/>
            </w:tcBorders>
            <w:shd w:val="clear" w:color="auto" w:fill="auto"/>
            <w:vAlign w:val="center"/>
            <w:hideMark/>
          </w:tcPr>
          <w:p w14:paraId="1EE271D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-1.342,89</w:t>
            </w:r>
          </w:p>
        </w:tc>
        <w:tc>
          <w:tcPr>
            <w:tcW w:w="944" w:type="dxa"/>
            <w:tcBorders>
              <w:top w:val="nil"/>
              <w:left w:val="nil"/>
              <w:bottom w:val="single" w:sz="4" w:space="0" w:color="000000"/>
              <w:right w:val="single" w:sz="8" w:space="0" w:color="000000"/>
            </w:tcBorders>
            <w:shd w:val="clear" w:color="auto" w:fill="auto"/>
            <w:vAlign w:val="center"/>
            <w:hideMark/>
          </w:tcPr>
          <w:p w14:paraId="7036A1B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893,73</w:t>
            </w:r>
          </w:p>
        </w:tc>
      </w:tr>
      <w:tr w:rsidR="00EF4BC3" w:rsidRPr="009E5B39" w14:paraId="64FF330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3B14E2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114412</w:t>
            </w:r>
          </w:p>
        </w:tc>
        <w:tc>
          <w:tcPr>
            <w:tcW w:w="2268" w:type="dxa"/>
            <w:tcBorders>
              <w:top w:val="nil"/>
              <w:left w:val="nil"/>
              <w:bottom w:val="single" w:sz="4" w:space="0" w:color="000000"/>
              <w:right w:val="single" w:sz="4" w:space="0" w:color="000000"/>
            </w:tcBorders>
            <w:shd w:val="clear" w:color="auto" w:fill="auto"/>
            <w:vAlign w:val="center"/>
          </w:tcPr>
          <w:p w14:paraId="2410781A" w14:textId="0F635283"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6DC44E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-1.082,94</w:t>
            </w:r>
          </w:p>
        </w:tc>
        <w:tc>
          <w:tcPr>
            <w:tcW w:w="944" w:type="dxa"/>
            <w:tcBorders>
              <w:top w:val="nil"/>
              <w:left w:val="nil"/>
              <w:bottom w:val="single" w:sz="4" w:space="0" w:color="000000"/>
              <w:right w:val="single" w:sz="4" w:space="0" w:color="000000"/>
            </w:tcBorders>
            <w:shd w:val="clear" w:color="auto" w:fill="auto"/>
            <w:vAlign w:val="center"/>
            <w:hideMark/>
          </w:tcPr>
          <w:p w14:paraId="6B4D1CE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1.078,26</w:t>
            </w:r>
          </w:p>
        </w:tc>
        <w:tc>
          <w:tcPr>
            <w:tcW w:w="1064" w:type="dxa"/>
            <w:tcBorders>
              <w:top w:val="nil"/>
              <w:left w:val="nil"/>
              <w:bottom w:val="single" w:sz="4" w:space="0" w:color="000000"/>
              <w:right w:val="single" w:sz="4" w:space="0" w:color="000000"/>
            </w:tcBorders>
            <w:shd w:val="clear" w:color="auto" w:fill="auto"/>
            <w:vAlign w:val="center"/>
            <w:hideMark/>
          </w:tcPr>
          <w:p w14:paraId="0859A2F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5.301,41</w:t>
            </w:r>
          </w:p>
        </w:tc>
        <w:tc>
          <w:tcPr>
            <w:tcW w:w="862" w:type="dxa"/>
            <w:tcBorders>
              <w:top w:val="nil"/>
              <w:left w:val="nil"/>
              <w:bottom w:val="single" w:sz="4" w:space="0" w:color="000000"/>
              <w:right w:val="single" w:sz="4" w:space="0" w:color="000000"/>
            </w:tcBorders>
            <w:shd w:val="clear" w:color="auto" w:fill="auto"/>
            <w:vAlign w:val="center"/>
            <w:hideMark/>
          </w:tcPr>
          <w:p w14:paraId="71CE365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52,99</w:t>
            </w:r>
          </w:p>
        </w:tc>
        <w:tc>
          <w:tcPr>
            <w:tcW w:w="1064" w:type="dxa"/>
            <w:tcBorders>
              <w:top w:val="nil"/>
              <w:left w:val="nil"/>
              <w:bottom w:val="single" w:sz="4" w:space="0" w:color="000000"/>
              <w:right w:val="single" w:sz="4" w:space="0" w:color="000000"/>
            </w:tcBorders>
            <w:shd w:val="clear" w:color="auto" w:fill="auto"/>
            <w:vAlign w:val="center"/>
            <w:hideMark/>
          </w:tcPr>
          <w:p w14:paraId="0F07D2E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5.139,12</w:t>
            </w:r>
          </w:p>
        </w:tc>
        <w:tc>
          <w:tcPr>
            <w:tcW w:w="1028" w:type="dxa"/>
            <w:tcBorders>
              <w:top w:val="nil"/>
              <w:left w:val="nil"/>
              <w:bottom w:val="single" w:sz="4" w:space="0" w:color="000000"/>
              <w:right w:val="single" w:sz="4" w:space="0" w:color="000000"/>
            </w:tcBorders>
            <w:shd w:val="clear" w:color="auto" w:fill="auto"/>
            <w:vAlign w:val="center"/>
            <w:hideMark/>
          </w:tcPr>
          <w:p w14:paraId="3A3257A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-1.250,37</w:t>
            </w:r>
          </w:p>
        </w:tc>
        <w:tc>
          <w:tcPr>
            <w:tcW w:w="944" w:type="dxa"/>
            <w:tcBorders>
              <w:top w:val="nil"/>
              <w:left w:val="nil"/>
              <w:bottom w:val="single" w:sz="4" w:space="0" w:color="000000"/>
              <w:right w:val="single" w:sz="8" w:space="0" w:color="000000"/>
            </w:tcBorders>
            <w:shd w:val="clear" w:color="auto" w:fill="auto"/>
            <w:vAlign w:val="center"/>
            <w:hideMark/>
          </w:tcPr>
          <w:p w14:paraId="3859B84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1.103,14</w:t>
            </w:r>
          </w:p>
        </w:tc>
      </w:tr>
      <w:tr w:rsidR="00EF4BC3" w:rsidRPr="009E5B39" w14:paraId="70543F9D"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D54F54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114413</w:t>
            </w:r>
          </w:p>
        </w:tc>
        <w:tc>
          <w:tcPr>
            <w:tcW w:w="2268" w:type="dxa"/>
            <w:tcBorders>
              <w:top w:val="nil"/>
              <w:left w:val="nil"/>
              <w:bottom w:val="single" w:sz="4" w:space="0" w:color="000000"/>
              <w:right w:val="single" w:sz="4" w:space="0" w:color="000000"/>
            </w:tcBorders>
            <w:shd w:val="clear" w:color="auto" w:fill="auto"/>
            <w:vAlign w:val="center"/>
            <w:hideMark/>
          </w:tcPr>
          <w:p w14:paraId="2F52499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prestarea serviciilor de transport auto de călători pe teritoriul municipiilor. orașelor și satelor (comunelor) (11539)</w:t>
            </w:r>
          </w:p>
        </w:tc>
        <w:tc>
          <w:tcPr>
            <w:tcW w:w="992" w:type="dxa"/>
            <w:tcBorders>
              <w:top w:val="nil"/>
              <w:left w:val="nil"/>
              <w:bottom w:val="single" w:sz="4" w:space="0" w:color="000000"/>
              <w:right w:val="single" w:sz="4" w:space="0" w:color="000000"/>
            </w:tcBorders>
            <w:shd w:val="clear" w:color="auto" w:fill="auto"/>
            <w:vAlign w:val="center"/>
            <w:hideMark/>
          </w:tcPr>
          <w:p w14:paraId="02DDBA1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-383,75</w:t>
            </w:r>
          </w:p>
        </w:tc>
        <w:tc>
          <w:tcPr>
            <w:tcW w:w="944" w:type="dxa"/>
            <w:tcBorders>
              <w:top w:val="nil"/>
              <w:left w:val="nil"/>
              <w:bottom w:val="single" w:sz="4" w:space="0" w:color="000000"/>
              <w:right w:val="single" w:sz="4" w:space="0" w:color="000000"/>
            </w:tcBorders>
            <w:shd w:val="clear" w:color="auto" w:fill="auto"/>
            <w:vAlign w:val="center"/>
            <w:hideMark/>
          </w:tcPr>
          <w:p w14:paraId="0F38B97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989,70</w:t>
            </w:r>
          </w:p>
        </w:tc>
        <w:tc>
          <w:tcPr>
            <w:tcW w:w="1064" w:type="dxa"/>
            <w:tcBorders>
              <w:top w:val="nil"/>
              <w:left w:val="nil"/>
              <w:bottom w:val="single" w:sz="4" w:space="0" w:color="000000"/>
              <w:right w:val="single" w:sz="4" w:space="0" w:color="000000"/>
            </w:tcBorders>
            <w:shd w:val="clear" w:color="auto" w:fill="auto"/>
            <w:vAlign w:val="center"/>
            <w:hideMark/>
          </w:tcPr>
          <w:p w14:paraId="0E30753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6.141,83</w:t>
            </w:r>
          </w:p>
        </w:tc>
        <w:tc>
          <w:tcPr>
            <w:tcW w:w="862" w:type="dxa"/>
            <w:tcBorders>
              <w:top w:val="nil"/>
              <w:left w:val="nil"/>
              <w:bottom w:val="single" w:sz="4" w:space="0" w:color="000000"/>
              <w:right w:val="single" w:sz="4" w:space="0" w:color="000000"/>
            </w:tcBorders>
            <w:shd w:val="clear" w:color="auto" w:fill="auto"/>
            <w:vAlign w:val="center"/>
            <w:hideMark/>
          </w:tcPr>
          <w:p w14:paraId="740D54B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70,08</w:t>
            </w:r>
          </w:p>
        </w:tc>
        <w:tc>
          <w:tcPr>
            <w:tcW w:w="1064" w:type="dxa"/>
            <w:tcBorders>
              <w:top w:val="nil"/>
              <w:left w:val="nil"/>
              <w:bottom w:val="single" w:sz="4" w:space="0" w:color="000000"/>
              <w:right w:val="single" w:sz="4" w:space="0" w:color="000000"/>
            </w:tcBorders>
            <w:shd w:val="clear" w:color="auto" w:fill="auto"/>
            <w:vAlign w:val="center"/>
            <w:hideMark/>
          </w:tcPr>
          <w:p w14:paraId="3E77978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5.764,04</w:t>
            </w:r>
          </w:p>
        </w:tc>
        <w:tc>
          <w:tcPr>
            <w:tcW w:w="1028" w:type="dxa"/>
            <w:tcBorders>
              <w:top w:val="nil"/>
              <w:left w:val="nil"/>
              <w:bottom w:val="single" w:sz="4" w:space="0" w:color="000000"/>
              <w:right w:val="single" w:sz="4" w:space="0" w:color="000000"/>
            </w:tcBorders>
            <w:shd w:val="clear" w:color="auto" w:fill="auto"/>
            <w:vAlign w:val="center"/>
            <w:hideMark/>
          </w:tcPr>
          <w:p w14:paraId="0CFC953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-307,22</w:t>
            </w:r>
          </w:p>
        </w:tc>
        <w:tc>
          <w:tcPr>
            <w:tcW w:w="944" w:type="dxa"/>
            <w:tcBorders>
              <w:top w:val="nil"/>
              <w:left w:val="nil"/>
              <w:bottom w:val="single" w:sz="4" w:space="0" w:color="000000"/>
              <w:right w:val="single" w:sz="8" w:space="0" w:color="000000"/>
            </w:tcBorders>
            <w:shd w:val="clear" w:color="auto" w:fill="auto"/>
            <w:vAlign w:val="center"/>
            <w:hideMark/>
          </w:tcPr>
          <w:p w14:paraId="50F55F4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763,26</w:t>
            </w:r>
          </w:p>
        </w:tc>
      </w:tr>
      <w:tr w:rsidR="00EF4BC3" w:rsidRPr="009E5B39" w14:paraId="54642BF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B1965AA"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114413</w:t>
            </w:r>
          </w:p>
        </w:tc>
        <w:tc>
          <w:tcPr>
            <w:tcW w:w="2268" w:type="dxa"/>
            <w:tcBorders>
              <w:top w:val="nil"/>
              <w:left w:val="nil"/>
              <w:bottom w:val="single" w:sz="4" w:space="0" w:color="000000"/>
              <w:right w:val="single" w:sz="4" w:space="0" w:color="000000"/>
            </w:tcBorders>
            <w:shd w:val="clear" w:color="auto" w:fill="auto"/>
            <w:vAlign w:val="center"/>
          </w:tcPr>
          <w:p w14:paraId="485E1FDF" w14:textId="7061226F"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DF9844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-102,64</w:t>
            </w:r>
          </w:p>
        </w:tc>
        <w:tc>
          <w:tcPr>
            <w:tcW w:w="944" w:type="dxa"/>
            <w:tcBorders>
              <w:top w:val="nil"/>
              <w:left w:val="nil"/>
              <w:bottom w:val="single" w:sz="4" w:space="0" w:color="000000"/>
              <w:right w:val="single" w:sz="4" w:space="0" w:color="000000"/>
            </w:tcBorders>
            <w:shd w:val="clear" w:color="auto" w:fill="auto"/>
            <w:vAlign w:val="center"/>
            <w:hideMark/>
          </w:tcPr>
          <w:p w14:paraId="48538E1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389,86</w:t>
            </w:r>
          </w:p>
        </w:tc>
        <w:tc>
          <w:tcPr>
            <w:tcW w:w="1064" w:type="dxa"/>
            <w:tcBorders>
              <w:top w:val="nil"/>
              <w:left w:val="nil"/>
              <w:bottom w:val="single" w:sz="4" w:space="0" w:color="000000"/>
              <w:right w:val="single" w:sz="4" w:space="0" w:color="000000"/>
            </w:tcBorders>
            <w:shd w:val="clear" w:color="auto" w:fill="auto"/>
            <w:vAlign w:val="center"/>
            <w:hideMark/>
          </w:tcPr>
          <w:p w14:paraId="487E4E4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1.263,74</w:t>
            </w:r>
          </w:p>
        </w:tc>
        <w:tc>
          <w:tcPr>
            <w:tcW w:w="862" w:type="dxa"/>
            <w:tcBorders>
              <w:top w:val="nil"/>
              <w:left w:val="nil"/>
              <w:bottom w:val="single" w:sz="4" w:space="0" w:color="000000"/>
              <w:right w:val="single" w:sz="4" w:space="0" w:color="000000"/>
            </w:tcBorders>
            <w:shd w:val="clear" w:color="auto" w:fill="auto"/>
            <w:vAlign w:val="center"/>
            <w:hideMark/>
          </w:tcPr>
          <w:p w14:paraId="308E292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-2,03</w:t>
            </w:r>
          </w:p>
        </w:tc>
        <w:tc>
          <w:tcPr>
            <w:tcW w:w="1064" w:type="dxa"/>
            <w:tcBorders>
              <w:top w:val="nil"/>
              <w:left w:val="nil"/>
              <w:bottom w:val="single" w:sz="4" w:space="0" w:color="000000"/>
              <w:right w:val="single" w:sz="4" w:space="0" w:color="000000"/>
            </w:tcBorders>
            <w:shd w:val="clear" w:color="auto" w:fill="auto"/>
            <w:vAlign w:val="center"/>
            <w:hideMark/>
          </w:tcPr>
          <w:p w14:paraId="58CC8BF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883,18</w:t>
            </w:r>
          </w:p>
        </w:tc>
        <w:tc>
          <w:tcPr>
            <w:tcW w:w="1028" w:type="dxa"/>
            <w:tcBorders>
              <w:top w:val="nil"/>
              <w:left w:val="nil"/>
              <w:bottom w:val="single" w:sz="4" w:space="0" w:color="000000"/>
              <w:right w:val="single" w:sz="4" w:space="0" w:color="000000"/>
            </w:tcBorders>
            <w:shd w:val="clear" w:color="auto" w:fill="auto"/>
            <w:vAlign w:val="center"/>
            <w:hideMark/>
          </w:tcPr>
          <w:p w14:paraId="3A22465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-244,16</w:t>
            </w:r>
          </w:p>
        </w:tc>
        <w:tc>
          <w:tcPr>
            <w:tcW w:w="944" w:type="dxa"/>
            <w:tcBorders>
              <w:top w:val="nil"/>
              <w:left w:val="nil"/>
              <w:bottom w:val="single" w:sz="4" w:space="0" w:color="000000"/>
              <w:right w:val="single" w:sz="8" w:space="0" w:color="000000"/>
            </w:tcBorders>
            <w:shd w:val="clear" w:color="auto" w:fill="auto"/>
            <w:vAlign w:val="center"/>
            <w:hideMark/>
          </w:tcPr>
          <w:p w14:paraId="4FF0651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46,79</w:t>
            </w:r>
          </w:p>
        </w:tc>
      </w:tr>
      <w:tr w:rsidR="00EF4BC3" w:rsidRPr="009E5B39" w14:paraId="4CCB942A"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1F80E3B"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114413</w:t>
            </w:r>
          </w:p>
        </w:tc>
        <w:tc>
          <w:tcPr>
            <w:tcW w:w="2268" w:type="dxa"/>
            <w:tcBorders>
              <w:top w:val="nil"/>
              <w:left w:val="nil"/>
              <w:bottom w:val="single" w:sz="4" w:space="0" w:color="000000"/>
              <w:right w:val="single" w:sz="4" w:space="0" w:color="000000"/>
            </w:tcBorders>
            <w:shd w:val="clear" w:color="auto" w:fill="auto"/>
            <w:vAlign w:val="center"/>
          </w:tcPr>
          <w:p w14:paraId="4446C34D" w14:textId="2B151B61"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9BF40F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-238,07</w:t>
            </w:r>
          </w:p>
        </w:tc>
        <w:tc>
          <w:tcPr>
            <w:tcW w:w="944" w:type="dxa"/>
            <w:tcBorders>
              <w:top w:val="nil"/>
              <w:left w:val="nil"/>
              <w:bottom w:val="single" w:sz="4" w:space="0" w:color="000000"/>
              <w:right w:val="single" w:sz="4" w:space="0" w:color="000000"/>
            </w:tcBorders>
            <w:shd w:val="clear" w:color="auto" w:fill="auto"/>
            <w:vAlign w:val="center"/>
            <w:hideMark/>
          </w:tcPr>
          <w:p w14:paraId="692BC4A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355,83</w:t>
            </w:r>
          </w:p>
        </w:tc>
        <w:tc>
          <w:tcPr>
            <w:tcW w:w="1064" w:type="dxa"/>
            <w:tcBorders>
              <w:top w:val="nil"/>
              <w:left w:val="nil"/>
              <w:bottom w:val="single" w:sz="4" w:space="0" w:color="000000"/>
              <w:right w:val="single" w:sz="4" w:space="0" w:color="000000"/>
            </w:tcBorders>
            <w:shd w:val="clear" w:color="auto" w:fill="auto"/>
            <w:vAlign w:val="center"/>
            <w:hideMark/>
          </w:tcPr>
          <w:p w14:paraId="4F23353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1.139,54</w:t>
            </w:r>
          </w:p>
        </w:tc>
        <w:tc>
          <w:tcPr>
            <w:tcW w:w="862" w:type="dxa"/>
            <w:tcBorders>
              <w:top w:val="nil"/>
              <w:left w:val="nil"/>
              <w:bottom w:val="single" w:sz="4" w:space="0" w:color="000000"/>
              <w:right w:val="single" w:sz="4" w:space="0" w:color="000000"/>
            </w:tcBorders>
            <w:shd w:val="clear" w:color="auto" w:fill="auto"/>
            <w:vAlign w:val="center"/>
            <w:hideMark/>
          </w:tcPr>
          <w:p w14:paraId="14BD924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134,79</w:t>
            </w:r>
          </w:p>
        </w:tc>
        <w:tc>
          <w:tcPr>
            <w:tcW w:w="1064" w:type="dxa"/>
            <w:tcBorders>
              <w:top w:val="nil"/>
              <w:left w:val="nil"/>
              <w:bottom w:val="single" w:sz="4" w:space="0" w:color="000000"/>
              <w:right w:val="single" w:sz="4" w:space="0" w:color="000000"/>
            </w:tcBorders>
            <w:shd w:val="clear" w:color="auto" w:fill="auto"/>
            <w:vAlign w:val="center"/>
            <w:hideMark/>
          </w:tcPr>
          <w:p w14:paraId="47A1FEC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750,67</w:t>
            </w:r>
          </w:p>
        </w:tc>
        <w:tc>
          <w:tcPr>
            <w:tcW w:w="1028" w:type="dxa"/>
            <w:tcBorders>
              <w:top w:val="nil"/>
              <w:left w:val="nil"/>
              <w:bottom w:val="single" w:sz="4" w:space="0" w:color="000000"/>
              <w:right w:val="single" w:sz="4" w:space="0" w:color="000000"/>
            </w:tcBorders>
            <w:shd w:val="clear" w:color="auto" w:fill="auto"/>
            <w:vAlign w:val="center"/>
            <w:hideMark/>
          </w:tcPr>
          <w:p w14:paraId="2CB795E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-482,95</w:t>
            </w:r>
          </w:p>
        </w:tc>
        <w:tc>
          <w:tcPr>
            <w:tcW w:w="944" w:type="dxa"/>
            <w:tcBorders>
              <w:top w:val="nil"/>
              <w:left w:val="nil"/>
              <w:bottom w:val="single" w:sz="4" w:space="0" w:color="000000"/>
              <w:right w:val="single" w:sz="8" w:space="0" w:color="000000"/>
            </w:tcBorders>
            <w:shd w:val="clear" w:color="auto" w:fill="auto"/>
            <w:vAlign w:val="center"/>
            <w:hideMark/>
          </w:tcPr>
          <w:p w14:paraId="19FE533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51,1</w:t>
            </w:r>
          </w:p>
        </w:tc>
      </w:tr>
      <w:tr w:rsidR="00EF4BC3" w:rsidRPr="009E5B39" w14:paraId="2D92ECC7"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8FFDCA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114413</w:t>
            </w:r>
          </w:p>
        </w:tc>
        <w:tc>
          <w:tcPr>
            <w:tcW w:w="2268" w:type="dxa"/>
            <w:tcBorders>
              <w:top w:val="nil"/>
              <w:left w:val="nil"/>
              <w:bottom w:val="single" w:sz="4" w:space="0" w:color="000000"/>
              <w:right w:val="single" w:sz="4" w:space="0" w:color="000000"/>
            </w:tcBorders>
            <w:shd w:val="clear" w:color="auto" w:fill="auto"/>
            <w:vAlign w:val="center"/>
          </w:tcPr>
          <w:p w14:paraId="4AC10B39" w14:textId="0E4AC813"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AD85CA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-200,0</w:t>
            </w:r>
          </w:p>
        </w:tc>
        <w:tc>
          <w:tcPr>
            <w:tcW w:w="944" w:type="dxa"/>
            <w:tcBorders>
              <w:top w:val="nil"/>
              <w:left w:val="nil"/>
              <w:bottom w:val="single" w:sz="4" w:space="0" w:color="000000"/>
              <w:right w:val="single" w:sz="4" w:space="0" w:color="000000"/>
            </w:tcBorders>
            <w:shd w:val="clear" w:color="auto" w:fill="auto"/>
            <w:vAlign w:val="center"/>
            <w:hideMark/>
          </w:tcPr>
          <w:p w14:paraId="09674F6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80,09</w:t>
            </w:r>
          </w:p>
        </w:tc>
        <w:tc>
          <w:tcPr>
            <w:tcW w:w="1064" w:type="dxa"/>
            <w:tcBorders>
              <w:top w:val="nil"/>
              <w:left w:val="nil"/>
              <w:bottom w:val="single" w:sz="4" w:space="0" w:color="000000"/>
              <w:right w:val="single" w:sz="4" w:space="0" w:color="000000"/>
            </w:tcBorders>
            <w:shd w:val="clear" w:color="auto" w:fill="auto"/>
            <w:vAlign w:val="center"/>
            <w:hideMark/>
          </w:tcPr>
          <w:p w14:paraId="5B5F040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1.969,87</w:t>
            </w:r>
          </w:p>
        </w:tc>
        <w:tc>
          <w:tcPr>
            <w:tcW w:w="862" w:type="dxa"/>
            <w:tcBorders>
              <w:top w:val="nil"/>
              <w:left w:val="nil"/>
              <w:bottom w:val="single" w:sz="4" w:space="0" w:color="000000"/>
              <w:right w:val="single" w:sz="4" w:space="0" w:color="000000"/>
            </w:tcBorders>
            <w:shd w:val="clear" w:color="auto" w:fill="auto"/>
            <w:vAlign w:val="center"/>
            <w:hideMark/>
          </w:tcPr>
          <w:p w14:paraId="67297A6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-32,12</w:t>
            </w:r>
          </w:p>
        </w:tc>
        <w:tc>
          <w:tcPr>
            <w:tcW w:w="1064" w:type="dxa"/>
            <w:tcBorders>
              <w:top w:val="nil"/>
              <w:left w:val="nil"/>
              <w:bottom w:val="single" w:sz="4" w:space="0" w:color="000000"/>
              <w:right w:val="single" w:sz="4" w:space="0" w:color="000000"/>
            </w:tcBorders>
            <w:shd w:val="clear" w:color="auto" w:fill="auto"/>
            <w:vAlign w:val="center"/>
            <w:hideMark/>
          </w:tcPr>
          <w:p w14:paraId="3D4A55D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1.243,44</w:t>
            </w:r>
          </w:p>
        </w:tc>
        <w:tc>
          <w:tcPr>
            <w:tcW w:w="1028" w:type="dxa"/>
            <w:tcBorders>
              <w:top w:val="nil"/>
              <w:left w:val="nil"/>
              <w:bottom w:val="single" w:sz="4" w:space="0" w:color="000000"/>
              <w:right w:val="single" w:sz="4" w:space="0" w:color="000000"/>
            </w:tcBorders>
            <w:shd w:val="clear" w:color="auto" w:fill="auto"/>
            <w:vAlign w:val="center"/>
            <w:hideMark/>
          </w:tcPr>
          <w:p w14:paraId="67CB82A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-892,08</w:t>
            </w:r>
          </w:p>
        </w:tc>
        <w:tc>
          <w:tcPr>
            <w:tcW w:w="944" w:type="dxa"/>
            <w:tcBorders>
              <w:top w:val="nil"/>
              <w:left w:val="nil"/>
              <w:bottom w:val="single" w:sz="4" w:space="0" w:color="000000"/>
              <w:right w:val="single" w:sz="8" w:space="0" w:color="000000"/>
            </w:tcBorders>
            <w:shd w:val="clear" w:color="auto" w:fill="auto"/>
            <w:vAlign w:val="center"/>
            <w:hideMark/>
          </w:tcPr>
          <w:p w14:paraId="055F217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46,19</w:t>
            </w:r>
          </w:p>
        </w:tc>
      </w:tr>
      <w:tr w:rsidR="00EF4BC3" w:rsidRPr="009E5B39" w14:paraId="5427538A"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8926A6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114414</w:t>
            </w:r>
          </w:p>
        </w:tc>
        <w:tc>
          <w:tcPr>
            <w:tcW w:w="2268" w:type="dxa"/>
            <w:tcBorders>
              <w:top w:val="nil"/>
              <w:left w:val="nil"/>
              <w:bottom w:val="single" w:sz="4" w:space="0" w:color="000000"/>
              <w:right w:val="single" w:sz="4" w:space="0" w:color="000000"/>
            </w:tcBorders>
            <w:shd w:val="clear" w:color="auto" w:fill="auto"/>
            <w:vAlign w:val="center"/>
            <w:hideMark/>
          </w:tcPr>
          <w:p w14:paraId="2407EE2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de plasare (amplasare) a publicității (reclamei) (11541)</w:t>
            </w:r>
          </w:p>
        </w:tc>
        <w:tc>
          <w:tcPr>
            <w:tcW w:w="992" w:type="dxa"/>
            <w:tcBorders>
              <w:top w:val="nil"/>
              <w:left w:val="nil"/>
              <w:bottom w:val="single" w:sz="4" w:space="0" w:color="000000"/>
              <w:right w:val="single" w:sz="4" w:space="0" w:color="000000"/>
            </w:tcBorders>
            <w:shd w:val="clear" w:color="auto" w:fill="auto"/>
            <w:vAlign w:val="center"/>
            <w:hideMark/>
          </w:tcPr>
          <w:p w14:paraId="5F47D24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-78,74</w:t>
            </w:r>
          </w:p>
        </w:tc>
        <w:tc>
          <w:tcPr>
            <w:tcW w:w="944" w:type="dxa"/>
            <w:tcBorders>
              <w:top w:val="nil"/>
              <w:left w:val="nil"/>
              <w:bottom w:val="single" w:sz="4" w:space="0" w:color="000000"/>
              <w:right w:val="single" w:sz="4" w:space="0" w:color="000000"/>
            </w:tcBorders>
            <w:shd w:val="clear" w:color="auto" w:fill="auto"/>
            <w:vAlign w:val="center"/>
            <w:hideMark/>
          </w:tcPr>
          <w:p w14:paraId="615B3A5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25,85</w:t>
            </w:r>
          </w:p>
        </w:tc>
        <w:tc>
          <w:tcPr>
            <w:tcW w:w="1064" w:type="dxa"/>
            <w:tcBorders>
              <w:top w:val="nil"/>
              <w:left w:val="nil"/>
              <w:bottom w:val="single" w:sz="4" w:space="0" w:color="000000"/>
              <w:right w:val="single" w:sz="4" w:space="0" w:color="000000"/>
            </w:tcBorders>
            <w:shd w:val="clear" w:color="auto" w:fill="auto"/>
            <w:vAlign w:val="center"/>
            <w:hideMark/>
          </w:tcPr>
          <w:p w14:paraId="03DA3D8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87,92</w:t>
            </w:r>
          </w:p>
        </w:tc>
        <w:tc>
          <w:tcPr>
            <w:tcW w:w="862" w:type="dxa"/>
            <w:tcBorders>
              <w:top w:val="nil"/>
              <w:left w:val="nil"/>
              <w:bottom w:val="single" w:sz="4" w:space="0" w:color="000000"/>
              <w:right w:val="single" w:sz="4" w:space="0" w:color="000000"/>
            </w:tcBorders>
            <w:shd w:val="clear" w:color="auto" w:fill="auto"/>
            <w:vAlign w:val="center"/>
            <w:hideMark/>
          </w:tcPr>
          <w:p w14:paraId="66772BA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-0,83</w:t>
            </w:r>
          </w:p>
        </w:tc>
        <w:tc>
          <w:tcPr>
            <w:tcW w:w="1064" w:type="dxa"/>
            <w:tcBorders>
              <w:top w:val="nil"/>
              <w:left w:val="nil"/>
              <w:bottom w:val="single" w:sz="4" w:space="0" w:color="000000"/>
              <w:right w:val="single" w:sz="4" w:space="0" w:color="000000"/>
            </w:tcBorders>
            <w:shd w:val="clear" w:color="auto" w:fill="auto"/>
            <w:vAlign w:val="center"/>
            <w:hideMark/>
          </w:tcPr>
          <w:p w14:paraId="04D3583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128,85</w:t>
            </w:r>
          </w:p>
        </w:tc>
        <w:tc>
          <w:tcPr>
            <w:tcW w:w="1028" w:type="dxa"/>
            <w:tcBorders>
              <w:top w:val="nil"/>
              <w:left w:val="nil"/>
              <w:bottom w:val="single" w:sz="4" w:space="0" w:color="000000"/>
              <w:right w:val="single" w:sz="4" w:space="0" w:color="000000"/>
            </w:tcBorders>
            <w:shd w:val="clear" w:color="auto" w:fill="auto"/>
            <w:vAlign w:val="center"/>
            <w:hideMark/>
          </w:tcPr>
          <w:p w14:paraId="3AEB79E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-79,43</w:t>
            </w:r>
          </w:p>
        </w:tc>
        <w:tc>
          <w:tcPr>
            <w:tcW w:w="944" w:type="dxa"/>
            <w:tcBorders>
              <w:top w:val="nil"/>
              <w:left w:val="nil"/>
              <w:bottom w:val="single" w:sz="4" w:space="0" w:color="000000"/>
              <w:right w:val="single" w:sz="8" w:space="0" w:color="000000"/>
            </w:tcBorders>
            <w:shd w:val="clear" w:color="auto" w:fill="auto"/>
            <w:vAlign w:val="center"/>
            <w:hideMark/>
          </w:tcPr>
          <w:p w14:paraId="76AFDFB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27,02</w:t>
            </w:r>
          </w:p>
        </w:tc>
      </w:tr>
      <w:tr w:rsidR="00EF4BC3" w:rsidRPr="009E5B39" w14:paraId="31C1855A"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3BCB4F8"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114414</w:t>
            </w:r>
          </w:p>
        </w:tc>
        <w:tc>
          <w:tcPr>
            <w:tcW w:w="2268" w:type="dxa"/>
            <w:tcBorders>
              <w:top w:val="nil"/>
              <w:left w:val="nil"/>
              <w:bottom w:val="single" w:sz="4" w:space="0" w:color="000000"/>
              <w:right w:val="single" w:sz="4" w:space="0" w:color="000000"/>
            </w:tcBorders>
            <w:shd w:val="clear" w:color="auto" w:fill="auto"/>
            <w:vAlign w:val="center"/>
          </w:tcPr>
          <w:p w14:paraId="79774DC8" w14:textId="65EA46BC"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0EFDAA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-75,42</w:t>
            </w:r>
          </w:p>
        </w:tc>
        <w:tc>
          <w:tcPr>
            <w:tcW w:w="944" w:type="dxa"/>
            <w:tcBorders>
              <w:top w:val="nil"/>
              <w:left w:val="nil"/>
              <w:bottom w:val="single" w:sz="4" w:space="0" w:color="000000"/>
              <w:right w:val="single" w:sz="4" w:space="0" w:color="000000"/>
            </w:tcBorders>
            <w:shd w:val="clear" w:color="auto" w:fill="auto"/>
            <w:vAlign w:val="center"/>
            <w:hideMark/>
          </w:tcPr>
          <w:p w14:paraId="3CA33EC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40,44</w:t>
            </w:r>
          </w:p>
        </w:tc>
        <w:tc>
          <w:tcPr>
            <w:tcW w:w="1064" w:type="dxa"/>
            <w:tcBorders>
              <w:top w:val="nil"/>
              <w:left w:val="nil"/>
              <w:bottom w:val="single" w:sz="4" w:space="0" w:color="000000"/>
              <w:right w:val="single" w:sz="4" w:space="0" w:color="000000"/>
            </w:tcBorders>
            <w:shd w:val="clear" w:color="auto" w:fill="auto"/>
            <w:vAlign w:val="center"/>
            <w:hideMark/>
          </w:tcPr>
          <w:p w14:paraId="5DAB847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75,38</w:t>
            </w:r>
          </w:p>
        </w:tc>
        <w:tc>
          <w:tcPr>
            <w:tcW w:w="862" w:type="dxa"/>
            <w:tcBorders>
              <w:top w:val="nil"/>
              <w:left w:val="nil"/>
              <w:bottom w:val="single" w:sz="4" w:space="0" w:color="000000"/>
              <w:right w:val="single" w:sz="4" w:space="0" w:color="000000"/>
            </w:tcBorders>
            <w:shd w:val="clear" w:color="auto" w:fill="auto"/>
            <w:vAlign w:val="center"/>
            <w:hideMark/>
          </w:tcPr>
          <w:p w14:paraId="1804FFC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-10,75</w:t>
            </w:r>
          </w:p>
        </w:tc>
        <w:tc>
          <w:tcPr>
            <w:tcW w:w="1064" w:type="dxa"/>
            <w:tcBorders>
              <w:top w:val="nil"/>
              <w:left w:val="nil"/>
              <w:bottom w:val="single" w:sz="4" w:space="0" w:color="000000"/>
              <w:right w:val="single" w:sz="4" w:space="0" w:color="000000"/>
            </w:tcBorders>
            <w:shd w:val="clear" w:color="auto" w:fill="auto"/>
            <w:vAlign w:val="center"/>
            <w:hideMark/>
          </w:tcPr>
          <w:p w14:paraId="12D6350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34,08</w:t>
            </w:r>
          </w:p>
        </w:tc>
        <w:tc>
          <w:tcPr>
            <w:tcW w:w="1028" w:type="dxa"/>
            <w:tcBorders>
              <w:top w:val="nil"/>
              <w:left w:val="nil"/>
              <w:bottom w:val="single" w:sz="4" w:space="0" w:color="000000"/>
              <w:right w:val="single" w:sz="4" w:space="0" w:color="000000"/>
            </w:tcBorders>
            <w:shd w:val="clear" w:color="auto" w:fill="auto"/>
            <w:vAlign w:val="center"/>
            <w:hideMark/>
          </w:tcPr>
          <w:p w14:paraId="3EBC904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-87,22</w:t>
            </w:r>
          </w:p>
        </w:tc>
        <w:tc>
          <w:tcPr>
            <w:tcW w:w="944" w:type="dxa"/>
            <w:tcBorders>
              <w:top w:val="nil"/>
              <w:left w:val="nil"/>
              <w:bottom w:val="single" w:sz="4" w:space="0" w:color="000000"/>
              <w:right w:val="single" w:sz="8" w:space="0" w:color="000000"/>
            </w:tcBorders>
            <w:shd w:val="clear" w:color="auto" w:fill="auto"/>
            <w:vAlign w:val="center"/>
            <w:hideMark/>
          </w:tcPr>
          <w:p w14:paraId="62F6D11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15,67</w:t>
            </w:r>
          </w:p>
        </w:tc>
      </w:tr>
      <w:tr w:rsidR="00EF4BC3" w:rsidRPr="009E5B39" w14:paraId="3E9D7A92"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825A788"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114414</w:t>
            </w:r>
          </w:p>
        </w:tc>
        <w:tc>
          <w:tcPr>
            <w:tcW w:w="2268" w:type="dxa"/>
            <w:tcBorders>
              <w:top w:val="nil"/>
              <w:left w:val="nil"/>
              <w:bottom w:val="single" w:sz="4" w:space="0" w:color="000000"/>
              <w:right w:val="single" w:sz="4" w:space="0" w:color="000000"/>
            </w:tcBorders>
            <w:shd w:val="clear" w:color="auto" w:fill="auto"/>
            <w:vAlign w:val="center"/>
          </w:tcPr>
          <w:p w14:paraId="07990472" w14:textId="67A87F39"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144C3C7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-3,42</w:t>
            </w:r>
          </w:p>
        </w:tc>
        <w:tc>
          <w:tcPr>
            <w:tcW w:w="944" w:type="dxa"/>
            <w:tcBorders>
              <w:top w:val="nil"/>
              <w:left w:val="nil"/>
              <w:bottom w:val="single" w:sz="4" w:space="0" w:color="000000"/>
              <w:right w:val="single" w:sz="4" w:space="0" w:color="000000"/>
            </w:tcBorders>
            <w:shd w:val="clear" w:color="auto" w:fill="auto"/>
            <w:vAlign w:val="center"/>
            <w:hideMark/>
          </w:tcPr>
          <w:p w14:paraId="4BB7894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44,51</w:t>
            </w:r>
          </w:p>
        </w:tc>
        <w:tc>
          <w:tcPr>
            <w:tcW w:w="1064" w:type="dxa"/>
            <w:tcBorders>
              <w:top w:val="nil"/>
              <w:left w:val="nil"/>
              <w:bottom w:val="single" w:sz="4" w:space="0" w:color="000000"/>
              <w:right w:val="single" w:sz="4" w:space="0" w:color="000000"/>
            </w:tcBorders>
            <w:shd w:val="clear" w:color="auto" w:fill="auto"/>
            <w:vAlign w:val="center"/>
            <w:hideMark/>
          </w:tcPr>
          <w:p w14:paraId="5B1A348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443,24</w:t>
            </w:r>
          </w:p>
        </w:tc>
        <w:tc>
          <w:tcPr>
            <w:tcW w:w="862" w:type="dxa"/>
            <w:tcBorders>
              <w:top w:val="nil"/>
              <w:left w:val="nil"/>
              <w:bottom w:val="single" w:sz="4" w:space="0" w:color="000000"/>
              <w:right w:val="single" w:sz="4" w:space="0" w:color="000000"/>
            </w:tcBorders>
            <w:shd w:val="clear" w:color="auto" w:fill="auto"/>
            <w:vAlign w:val="center"/>
            <w:hideMark/>
          </w:tcPr>
          <w:p w14:paraId="175EAAD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0,003</w:t>
            </w:r>
          </w:p>
        </w:tc>
        <w:tc>
          <w:tcPr>
            <w:tcW w:w="1064" w:type="dxa"/>
            <w:tcBorders>
              <w:top w:val="nil"/>
              <w:left w:val="nil"/>
              <w:bottom w:val="single" w:sz="4" w:space="0" w:color="000000"/>
              <w:right w:val="single" w:sz="4" w:space="0" w:color="000000"/>
            </w:tcBorders>
            <w:shd w:val="clear" w:color="auto" w:fill="auto"/>
            <w:vAlign w:val="center"/>
            <w:hideMark/>
          </w:tcPr>
          <w:p w14:paraId="25CCB4A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374,45</w:t>
            </w:r>
          </w:p>
        </w:tc>
        <w:tc>
          <w:tcPr>
            <w:tcW w:w="1028" w:type="dxa"/>
            <w:tcBorders>
              <w:top w:val="nil"/>
              <w:left w:val="nil"/>
              <w:bottom w:val="single" w:sz="4" w:space="0" w:color="000000"/>
              <w:right w:val="single" w:sz="4" w:space="0" w:color="000000"/>
            </w:tcBorders>
            <w:shd w:val="clear" w:color="auto" w:fill="auto"/>
            <w:vAlign w:val="center"/>
            <w:hideMark/>
          </w:tcPr>
          <w:p w14:paraId="393A32A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-44,78</w:t>
            </w:r>
          </w:p>
        </w:tc>
        <w:tc>
          <w:tcPr>
            <w:tcW w:w="944" w:type="dxa"/>
            <w:tcBorders>
              <w:top w:val="nil"/>
              <w:left w:val="nil"/>
              <w:bottom w:val="single" w:sz="4" w:space="0" w:color="000000"/>
              <w:right w:val="single" w:sz="8" w:space="0" w:color="000000"/>
            </w:tcBorders>
            <w:shd w:val="clear" w:color="auto" w:fill="auto"/>
            <w:vAlign w:val="center"/>
            <w:hideMark/>
          </w:tcPr>
          <w:p w14:paraId="08B5B99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16,99</w:t>
            </w:r>
          </w:p>
        </w:tc>
      </w:tr>
      <w:tr w:rsidR="00EF4BC3" w:rsidRPr="009E5B39" w14:paraId="3790CF7E"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A740D0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114414</w:t>
            </w:r>
          </w:p>
        </w:tc>
        <w:tc>
          <w:tcPr>
            <w:tcW w:w="2268" w:type="dxa"/>
            <w:tcBorders>
              <w:top w:val="nil"/>
              <w:left w:val="nil"/>
              <w:bottom w:val="single" w:sz="4" w:space="0" w:color="000000"/>
              <w:right w:val="single" w:sz="4" w:space="0" w:color="000000"/>
            </w:tcBorders>
            <w:shd w:val="clear" w:color="auto" w:fill="auto"/>
            <w:vAlign w:val="center"/>
          </w:tcPr>
          <w:p w14:paraId="1124A528" w14:textId="4625A13F"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5E09A5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-40,98</w:t>
            </w:r>
          </w:p>
        </w:tc>
        <w:tc>
          <w:tcPr>
            <w:tcW w:w="944" w:type="dxa"/>
            <w:tcBorders>
              <w:top w:val="nil"/>
              <w:left w:val="nil"/>
              <w:bottom w:val="single" w:sz="4" w:space="0" w:color="000000"/>
              <w:right w:val="single" w:sz="4" w:space="0" w:color="000000"/>
            </w:tcBorders>
            <w:shd w:val="clear" w:color="auto" w:fill="auto"/>
            <w:vAlign w:val="center"/>
            <w:hideMark/>
          </w:tcPr>
          <w:p w14:paraId="548CE46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120,26</w:t>
            </w:r>
          </w:p>
        </w:tc>
        <w:tc>
          <w:tcPr>
            <w:tcW w:w="1064" w:type="dxa"/>
            <w:tcBorders>
              <w:top w:val="nil"/>
              <w:left w:val="nil"/>
              <w:bottom w:val="single" w:sz="4" w:space="0" w:color="000000"/>
              <w:right w:val="single" w:sz="4" w:space="0" w:color="000000"/>
            </w:tcBorders>
            <w:shd w:val="clear" w:color="auto" w:fill="auto"/>
            <w:vAlign w:val="center"/>
            <w:hideMark/>
          </w:tcPr>
          <w:p w14:paraId="3C23082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450,49</w:t>
            </w:r>
          </w:p>
        </w:tc>
        <w:tc>
          <w:tcPr>
            <w:tcW w:w="862" w:type="dxa"/>
            <w:tcBorders>
              <w:top w:val="nil"/>
              <w:left w:val="nil"/>
              <w:bottom w:val="single" w:sz="4" w:space="0" w:color="000000"/>
              <w:right w:val="single" w:sz="4" w:space="0" w:color="000000"/>
            </w:tcBorders>
            <w:shd w:val="clear" w:color="auto" w:fill="auto"/>
            <w:vAlign w:val="center"/>
            <w:hideMark/>
          </w:tcPr>
          <w:p w14:paraId="26FBA31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0,02</w:t>
            </w:r>
          </w:p>
        </w:tc>
        <w:tc>
          <w:tcPr>
            <w:tcW w:w="1064" w:type="dxa"/>
            <w:tcBorders>
              <w:top w:val="nil"/>
              <w:left w:val="nil"/>
              <w:bottom w:val="single" w:sz="4" w:space="0" w:color="000000"/>
              <w:right w:val="single" w:sz="4" w:space="0" w:color="000000"/>
            </w:tcBorders>
            <w:shd w:val="clear" w:color="auto" w:fill="auto"/>
            <w:vAlign w:val="center"/>
            <w:hideMark/>
          </w:tcPr>
          <w:p w14:paraId="1EAD9A8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311,64</w:t>
            </w:r>
          </w:p>
        </w:tc>
        <w:tc>
          <w:tcPr>
            <w:tcW w:w="1028" w:type="dxa"/>
            <w:tcBorders>
              <w:top w:val="nil"/>
              <w:left w:val="nil"/>
              <w:bottom w:val="single" w:sz="4" w:space="0" w:color="000000"/>
              <w:right w:val="single" w:sz="4" w:space="0" w:color="000000"/>
            </w:tcBorders>
            <w:shd w:val="clear" w:color="auto" w:fill="auto"/>
            <w:vAlign w:val="center"/>
            <w:hideMark/>
          </w:tcPr>
          <w:p w14:paraId="050E04B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-44,39</w:t>
            </w:r>
          </w:p>
        </w:tc>
        <w:tc>
          <w:tcPr>
            <w:tcW w:w="944" w:type="dxa"/>
            <w:tcBorders>
              <w:top w:val="nil"/>
              <w:left w:val="nil"/>
              <w:bottom w:val="single" w:sz="4" w:space="0" w:color="000000"/>
              <w:right w:val="single" w:sz="8" w:space="0" w:color="000000"/>
            </w:tcBorders>
            <w:shd w:val="clear" w:color="auto" w:fill="auto"/>
            <w:vAlign w:val="center"/>
            <w:hideMark/>
          </w:tcPr>
          <w:p w14:paraId="05D7818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52,33</w:t>
            </w:r>
          </w:p>
        </w:tc>
      </w:tr>
      <w:tr w:rsidR="00EF4BC3" w:rsidRPr="009E5B39" w14:paraId="0E15DA9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974D82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114415</w:t>
            </w:r>
          </w:p>
        </w:tc>
        <w:tc>
          <w:tcPr>
            <w:tcW w:w="2268" w:type="dxa"/>
            <w:tcBorders>
              <w:top w:val="nil"/>
              <w:left w:val="nil"/>
              <w:bottom w:val="single" w:sz="4" w:space="0" w:color="000000"/>
              <w:right w:val="single" w:sz="4" w:space="0" w:color="000000"/>
            </w:tcBorders>
            <w:shd w:val="clear" w:color="auto" w:fill="auto"/>
            <w:vAlign w:val="center"/>
            <w:hideMark/>
          </w:tcPr>
          <w:p w14:paraId="2294758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dispozitivele publicitare (12269)</w:t>
            </w:r>
          </w:p>
        </w:tc>
        <w:tc>
          <w:tcPr>
            <w:tcW w:w="992" w:type="dxa"/>
            <w:tcBorders>
              <w:top w:val="nil"/>
              <w:left w:val="nil"/>
              <w:bottom w:val="single" w:sz="4" w:space="0" w:color="000000"/>
              <w:right w:val="single" w:sz="4" w:space="0" w:color="000000"/>
            </w:tcBorders>
            <w:shd w:val="clear" w:color="auto" w:fill="auto"/>
            <w:vAlign w:val="center"/>
            <w:hideMark/>
          </w:tcPr>
          <w:p w14:paraId="346CB7F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-36,76</w:t>
            </w:r>
          </w:p>
        </w:tc>
        <w:tc>
          <w:tcPr>
            <w:tcW w:w="944" w:type="dxa"/>
            <w:tcBorders>
              <w:top w:val="nil"/>
              <w:left w:val="nil"/>
              <w:bottom w:val="single" w:sz="4" w:space="0" w:color="000000"/>
              <w:right w:val="single" w:sz="4" w:space="0" w:color="000000"/>
            </w:tcBorders>
            <w:shd w:val="clear" w:color="auto" w:fill="auto"/>
            <w:vAlign w:val="center"/>
            <w:hideMark/>
          </w:tcPr>
          <w:p w14:paraId="49D98FD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405,16</w:t>
            </w:r>
          </w:p>
        </w:tc>
        <w:tc>
          <w:tcPr>
            <w:tcW w:w="1064" w:type="dxa"/>
            <w:tcBorders>
              <w:top w:val="nil"/>
              <w:left w:val="nil"/>
              <w:bottom w:val="single" w:sz="4" w:space="0" w:color="000000"/>
              <w:right w:val="single" w:sz="4" w:space="0" w:color="000000"/>
            </w:tcBorders>
            <w:shd w:val="clear" w:color="auto" w:fill="auto"/>
            <w:vAlign w:val="center"/>
            <w:hideMark/>
          </w:tcPr>
          <w:p w14:paraId="3A6FE52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5.988,70</w:t>
            </w:r>
          </w:p>
        </w:tc>
        <w:tc>
          <w:tcPr>
            <w:tcW w:w="862" w:type="dxa"/>
            <w:tcBorders>
              <w:top w:val="nil"/>
              <w:left w:val="nil"/>
              <w:bottom w:val="single" w:sz="4" w:space="0" w:color="000000"/>
              <w:right w:val="single" w:sz="4" w:space="0" w:color="000000"/>
            </w:tcBorders>
            <w:shd w:val="clear" w:color="auto" w:fill="auto"/>
            <w:vAlign w:val="center"/>
            <w:hideMark/>
          </w:tcPr>
          <w:p w14:paraId="71B7C06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6,36</w:t>
            </w:r>
          </w:p>
        </w:tc>
        <w:tc>
          <w:tcPr>
            <w:tcW w:w="1064" w:type="dxa"/>
            <w:tcBorders>
              <w:top w:val="nil"/>
              <w:left w:val="nil"/>
              <w:bottom w:val="single" w:sz="4" w:space="0" w:color="000000"/>
              <w:right w:val="single" w:sz="4" w:space="0" w:color="000000"/>
            </w:tcBorders>
            <w:shd w:val="clear" w:color="auto" w:fill="auto"/>
            <w:vAlign w:val="center"/>
            <w:hideMark/>
          </w:tcPr>
          <w:p w14:paraId="315DB73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6.645,85</w:t>
            </w:r>
          </w:p>
        </w:tc>
        <w:tc>
          <w:tcPr>
            <w:tcW w:w="1028" w:type="dxa"/>
            <w:tcBorders>
              <w:top w:val="nil"/>
              <w:left w:val="nil"/>
              <w:bottom w:val="single" w:sz="4" w:space="0" w:color="000000"/>
              <w:right w:val="single" w:sz="4" w:space="0" w:color="000000"/>
            </w:tcBorders>
            <w:shd w:val="clear" w:color="auto" w:fill="auto"/>
            <w:vAlign w:val="center"/>
            <w:hideMark/>
          </w:tcPr>
          <w:p w14:paraId="734B8E6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-62,72</w:t>
            </w:r>
          </w:p>
        </w:tc>
        <w:tc>
          <w:tcPr>
            <w:tcW w:w="944" w:type="dxa"/>
            <w:tcBorders>
              <w:top w:val="nil"/>
              <w:left w:val="nil"/>
              <w:bottom w:val="single" w:sz="4" w:space="0" w:color="000000"/>
              <w:right w:val="single" w:sz="8" w:space="0" w:color="000000"/>
            </w:tcBorders>
            <w:shd w:val="clear" w:color="auto" w:fill="auto"/>
            <w:vAlign w:val="center"/>
            <w:hideMark/>
          </w:tcPr>
          <w:p w14:paraId="34A3E1B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309,93</w:t>
            </w:r>
          </w:p>
        </w:tc>
      </w:tr>
      <w:tr w:rsidR="00EF4BC3" w:rsidRPr="009E5B39" w14:paraId="7BB15A11"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770329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114415</w:t>
            </w:r>
          </w:p>
        </w:tc>
        <w:tc>
          <w:tcPr>
            <w:tcW w:w="2268" w:type="dxa"/>
            <w:tcBorders>
              <w:top w:val="nil"/>
              <w:left w:val="nil"/>
              <w:bottom w:val="single" w:sz="4" w:space="0" w:color="000000"/>
              <w:right w:val="single" w:sz="4" w:space="0" w:color="000000"/>
            </w:tcBorders>
            <w:shd w:val="clear" w:color="auto" w:fill="auto"/>
            <w:vAlign w:val="center"/>
          </w:tcPr>
          <w:p w14:paraId="2651B33C" w14:textId="2CA7CB2D"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755B95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-4,37</w:t>
            </w:r>
          </w:p>
        </w:tc>
        <w:tc>
          <w:tcPr>
            <w:tcW w:w="944" w:type="dxa"/>
            <w:tcBorders>
              <w:top w:val="nil"/>
              <w:left w:val="nil"/>
              <w:bottom w:val="single" w:sz="4" w:space="0" w:color="000000"/>
              <w:right w:val="single" w:sz="4" w:space="0" w:color="000000"/>
            </w:tcBorders>
            <w:shd w:val="clear" w:color="auto" w:fill="auto"/>
            <w:vAlign w:val="center"/>
            <w:hideMark/>
          </w:tcPr>
          <w:p w14:paraId="1EB3654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958,67</w:t>
            </w:r>
          </w:p>
        </w:tc>
        <w:tc>
          <w:tcPr>
            <w:tcW w:w="1064" w:type="dxa"/>
            <w:tcBorders>
              <w:top w:val="nil"/>
              <w:left w:val="nil"/>
              <w:bottom w:val="single" w:sz="4" w:space="0" w:color="000000"/>
              <w:right w:val="single" w:sz="4" w:space="0" w:color="000000"/>
            </w:tcBorders>
            <w:shd w:val="clear" w:color="auto" w:fill="auto"/>
            <w:vAlign w:val="center"/>
            <w:hideMark/>
          </w:tcPr>
          <w:p w14:paraId="6341B44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8.123,48</w:t>
            </w:r>
          </w:p>
        </w:tc>
        <w:tc>
          <w:tcPr>
            <w:tcW w:w="862" w:type="dxa"/>
            <w:tcBorders>
              <w:top w:val="nil"/>
              <w:left w:val="nil"/>
              <w:bottom w:val="single" w:sz="4" w:space="0" w:color="000000"/>
              <w:right w:val="single" w:sz="4" w:space="0" w:color="000000"/>
            </w:tcBorders>
            <w:shd w:val="clear" w:color="auto" w:fill="auto"/>
            <w:vAlign w:val="center"/>
            <w:hideMark/>
          </w:tcPr>
          <w:p w14:paraId="6AAEE7C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-1,97</w:t>
            </w:r>
          </w:p>
        </w:tc>
        <w:tc>
          <w:tcPr>
            <w:tcW w:w="1064" w:type="dxa"/>
            <w:tcBorders>
              <w:top w:val="nil"/>
              <w:left w:val="nil"/>
              <w:bottom w:val="single" w:sz="4" w:space="0" w:color="000000"/>
              <w:right w:val="single" w:sz="4" w:space="0" w:color="000000"/>
            </w:tcBorders>
            <w:shd w:val="clear" w:color="auto" w:fill="auto"/>
            <w:vAlign w:val="center"/>
            <w:hideMark/>
          </w:tcPr>
          <w:p w14:paraId="52FFB10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8.570,55</w:t>
            </w:r>
          </w:p>
        </w:tc>
        <w:tc>
          <w:tcPr>
            <w:tcW w:w="1028" w:type="dxa"/>
            <w:tcBorders>
              <w:top w:val="nil"/>
              <w:left w:val="nil"/>
              <w:bottom w:val="single" w:sz="4" w:space="0" w:color="000000"/>
              <w:right w:val="single" w:sz="4" w:space="0" w:color="000000"/>
            </w:tcBorders>
            <w:shd w:val="clear" w:color="auto" w:fill="auto"/>
            <w:vAlign w:val="center"/>
            <w:hideMark/>
          </w:tcPr>
          <w:p w14:paraId="36369E8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-63,81</w:t>
            </w:r>
          </w:p>
        </w:tc>
        <w:tc>
          <w:tcPr>
            <w:tcW w:w="944" w:type="dxa"/>
            <w:tcBorders>
              <w:top w:val="nil"/>
              <w:left w:val="nil"/>
              <w:bottom w:val="single" w:sz="4" w:space="0" w:color="000000"/>
              <w:right w:val="single" w:sz="8" w:space="0" w:color="000000"/>
            </w:tcBorders>
            <w:shd w:val="clear" w:color="auto" w:fill="auto"/>
            <w:vAlign w:val="center"/>
            <w:hideMark/>
          </w:tcPr>
          <w:p w14:paraId="686B693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813,99</w:t>
            </w:r>
          </w:p>
        </w:tc>
      </w:tr>
      <w:tr w:rsidR="00EF4BC3" w:rsidRPr="009E5B39" w14:paraId="71B35A0D"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DD9499E"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114415</w:t>
            </w:r>
          </w:p>
        </w:tc>
        <w:tc>
          <w:tcPr>
            <w:tcW w:w="2268" w:type="dxa"/>
            <w:tcBorders>
              <w:top w:val="nil"/>
              <w:left w:val="nil"/>
              <w:bottom w:val="single" w:sz="4" w:space="0" w:color="000000"/>
              <w:right w:val="single" w:sz="4" w:space="0" w:color="000000"/>
            </w:tcBorders>
            <w:shd w:val="clear" w:color="auto" w:fill="auto"/>
            <w:vAlign w:val="center"/>
          </w:tcPr>
          <w:p w14:paraId="73EA0D95" w14:textId="3A71B6E2"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5180F8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-1.084,72</w:t>
            </w:r>
          </w:p>
        </w:tc>
        <w:tc>
          <w:tcPr>
            <w:tcW w:w="944" w:type="dxa"/>
            <w:tcBorders>
              <w:top w:val="nil"/>
              <w:left w:val="nil"/>
              <w:bottom w:val="single" w:sz="4" w:space="0" w:color="000000"/>
              <w:right w:val="single" w:sz="4" w:space="0" w:color="000000"/>
            </w:tcBorders>
            <w:shd w:val="clear" w:color="auto" w:fill="auto"/>
            <w:vAlign w:val="center"/>
            <w:hideMark/>
          </w:tcPr>
          <w:p w14:paraId="3717A3C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750,74</w:t>
            </w:r>
          </w:p>
        </w:tc>
        <w:tc>
          <w:tcPr>
            <w:tcW w:w="1064" w:type="dxa"/>
            <w:tcBorders>
              <w:top w:val="nil"/>
              <w:left w:val="nil"/>
              <w:bottom w:val="single" w:sz="4" w:space="0" w:color="000000"/>
              <w:right w:val="single" w:sz="4" w:space="0" w:color="000000"/>
            </w:tcBorders>
            <w:shd w:val="clear" w:color="auto" w:fill="auto"/>
            <w:vAlign w:val="center"/>
            <w:hideMark/>
          </w:tcPr>
          <w:p w14:paraId="20F3C48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5.823,39</w:t>
            </w:r>
          </w:p>
        </w:tc>
        <w:tc>
          <w:tcPr>
            <w:tcW w:w="862" w:type="dxa"/>
            <w:tcBorders>
              <w:top w:val="nil"/>
              <w:left w:val="nil"/>
              <w:bottom w:val="single" w:sz="4" w:space="0" w:color="000000"/>
              <w:right w:val="single" w:sz="4" w:space="0" w:color="000000"/>
            </w:tcBorders>
            <w:shd w:val="clear" w:color="auto" w:fill="auto"/>
            <w:vAlign w:val="center"/>
            <w:hideMark/>
          </w:tcPr>
          <w:p w14:paraId="42C6DC0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-1,59</w:t>
            </w:r>
          </w:p>
        </w:tc>
        <w:tc>
          <w:tcPr>
            <w:tcW w:w="1064" w:type="dxa"/>
            <w:tcBorders>
              <w:top w:val="nil"/>
              <w:left w:val="nil"/>
              <w:bottom w:val="single" w:sz="4" w:space="0" w:color="000000"/>
              <w:right w:val="single" w:sz="4" w:space="0" w:color="000000"/>
            </w:tcBorders>
            <w:shd w:val="clear" w:color="auto" w:fill="auto"/>
            <w:vAlign w:val="center"/>
            <w:hideMark/>
          </w:tcPr>
          <w:p w14:paraId="61F333A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5.319,48</w:t>
            </w:r>
          </w:p>
        </w:tc>
        <w:tc>
          <w:tcPr>
            <w:tcW w:w="1028" w:type="dxa"/>
            <w:tcBorders>
              <w:top w:val="nil"/>
              <w:left w:val="nil"/>
              <w:bottom w:val="single" w:sz="4" w:space="0" w:color="000000"/>
              <w:right w:val="single" w:sz="4" w:space="0" w:color="000000"/>
            </w:tcBorders>
            <w:shd w:val="clear" w:color="auto" w:fill="auto"/>
            <w:vAlign w:val="center"/>
            <w:hideMark/>
          </w:tcPr>
          <w:p w14:paraId="4A129D2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-1.069,41</w:t>
            </w:r>
          </w:p>
        </w:tc>
        <w:tc>
          <w:tcPr>
            <w:tcW w:w="944" w:type="dxa"/>
            <w:tcBorders>
              <w:top w:val="nil"/>
              <w:left w:val="nil"/>
              <w:bottom w:val="single" w:sz="4" w:space="0" w:color="000000"/>
              <w:right w:val="single" w:sz="8" w:space="0" w:color="000000"/>
            </w:tcBorders>
            <w:shd w:val="clear" w:color="auto" w:fill="auto"/>
            <w:vAlign w:val="center"/>
            <w:hideMark/>
          </w:tcPr>
          <w:p w14:paraId="4725016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215,69</w:t>
            </w:r>
          </w:p>
        </w:tc>
      </w:tr>
      <w:tr w:rsidR="00EF4BC3" w:rsidRPr="009E5B39" w14:paraId="17BA8ABD"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892A72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114415</w:t>
            </w:r>
          </w:p>
        </w:tc>
        <w:tc>
          <w:tcPr>
            <w:tcW w:w="2268" w:type="dxa"/>
            <w:tcBorders>
              <w:top w:val="nil"/>
              <w:left w:val="nil"/>
              <w:bottom w:val="single" w:sz="4" w:space="0" w:color="000000"/>
              <w:right w:val="single" w:sz="4" w:space="0" w:color="000000"/>
            </w:tcBorders>
            <w:shd w:val="clear" w:color="auto" w:fill="auto"/>
            <w:vAlign w:val="center"/>
          </w:tcPr>
          <w:p w14:paraId="7D2425F6" w14:textId="3781DB90"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ED14C8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-47,89</w:t>
            </w:r>
          </w:p>
        </w:tc>
        <w:tc>
          <w:tcPr>
            <w:tcW w:w="944" w:type="dxa"/>
            <w:tcBorders>
              <w:top w:val="nil"/>
              <w:left w:val="nil"/>
              <w:bottom w:val="single" w:sz="4" w:space="0" w:color="000000"/>
              <w:right w:val="single" w:sz="4" w:space="0" w:color="000000"/>
            </w:tcBorders>
            <w:shd w:val="clear" w:color="auto" w:fill="auto"/>
            <w:vAlign w:val="center"/>
            <w:hideMark/>
          </w:tcPr>
          <w:p w14:paraId="6E726C3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364,56</w:t>
            </w:r>
          </w:p>
        </w:tc>
        <w:tc>
          <w:tcPr>
            <w:tcW w:w="1064" w:type="dxa"/>
            <w:tcBorders>
              <w:top w:val="nil"/>
              <w:left w:val="nil"/>
              <w:bottom w:val="single" w:sz="4" w:space="0" w:color="000000"/>
              <w:right w:val="single" w:sz="4" w:space="0" w:color="000000"/>
            </w:tcBorders>
            <w:shd w:val="clear" w:color="auto" w:fill="auto"/>
            <w:vAlign w:val="center"/>
            <w:hideMark/>
          </w:tcPr>
          <w:p w14:paraId="36ADDC8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4.841,15</w:t>
            </w:r>
          </w:p>
        </w:tc>
        <w:tc>
          <w:tcPr>
            <w:tcW w:w="862" w:type="dxa"/>
            <w:tcBorders>
              <w:top w:val="nil"/>
              <w:left w:val="nil"/>
              <w:bottom w:val="single" w:sz="4" w:space="0" w:color="000000"/>
              <w:right w:val="single" w:sz="4" w:space="0" w:color="000000"/>
            </w:tcBorders>
            <w:shd w:val="clear" w:color="auto" w:fill="auto"/>
            <w:vAlign w:val="center"/>
            <w:hideMark/>
          </w:tcPr>
          <w:p w14:paraId="46F23EE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-90,76</w:t>
            </w:r>
          </w:p>
        </w:tc>
        <w:tc>
          <w:tcPr>
            <w:tcW w:w="1064" w:type="dxa"/>
            <w:tcBorders>
              <w:top w:val="nil"/>
              <w:left w:val="nil"/>
              <w:bottom w:val="single" w:sz="4" w:space="0" w:color="000000"/>
              <w:right w:val="single" w:sz="4" w:space="0" w:color="000000"/>
            </w:tcBorders>
            <w:shd w:val="clear" w:color="auto" w:fill="auto"/>
            <w:vAlign w:val="center"/>
            <w:hideMark/>
          </w:tcPr>
          <w:p w14:paraId="5664C4B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4.595,98</w:t>
            </w:r>
          </w:p>
        </w:tc>
        <w:tc>
          <w:tcPr>
            <w:tcW w:w="1028" w:type="dxa"/>
            <w:tcBorders>
              <w:top w:val="nil"/>
              <w:left w:val="nil"/>
              <w:bottom w:val="single" w:sz="4" w:space="0" w:color="000000"/>
              <w:right w:val="single" w:sz="4" w:space="0" w:color="000000"/>
            </w:tcBorders>
            <w:shd w:val="clear" w:color="auto" w:fill="auto"/>
            <w:vAlign w:val="center"/>
            <w:hideMark/>
          </w:tcPr>
          <w:p w14:paraId="72DA95C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-66,99</w:t>
            </w:r>
          </w:p>
        </w:tc>
        <w:tc>
          <w:tcPr>
            <w:tcW w:w="944" w:type="dxa"/>
            <w:tcBorders>
              <w:top w:val="nil"/>
              <w:left w:val="nil"/>
              <w:bottom w:val="single" w:sz="4" w:space="0" w:color="000000"/>
              <w:right w:val="single" w:sz="8" w:space="0" w:color="000000"/>
            </w:tcBorders>
            <w:shd w:val="clear" w:color="auto" w:fill="auto"/>
            <w:vAlign w:val="center"/>
            <w:hideMark/>
          </w:tcPr>
          <w:p w14:paraId="46B137E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176,07</w:t>
            </w:r>
          </w:p>
        </w:tc>
      </w:tr>
      <w:tr w:rsidR="00EF4BC3" w:rsidRPr="009E5B39" w14:paraId="15124F8F"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A6924C3"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114416</w:t>
            </w:r>
          </w:p>
        </w:tc>
        <w:tc>
          <w:tcPr>
            <w:tcW w:w="2268" w:type="dxa"/>
            <w:tcBorders>
              <w:top w:val="nil"/>
              <w:left w:val="nil"/>
              <w:bottom w:val="single" w:sz="4" w:space="0" w:color="000000"/>
              <w:right w:val="single" w:sz="4" w:space="0" w:color="000000"/>
            </w:tcBorders>
            <w:shd w:val="clear" w:color="auto" w:fill="auto"/>
            <w:vAlign w:val="center"/>
            <w:hideMark/>
          </w:tcPr>
          <w:p w14:paraId="5EB43E3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parcare (12234)</w:t>
            </w:r>
          </w:p>
        </w:tc>
        <w:tc>
          <w:tcPr>
            <w:tcW w:w="992" w:type="dxa"/>
            <w:tcBorders>
              <w:top w:val="nil"/>
              <w:left w:val="nil"/>
              <w:bottom w:val="single" w:sz="4" w:space="0" w:color="000000"/>
              <w:right w:val="single" w:sz="4" w:space="0" w:color="000000"/>
            </w:tcBorders>
            <w:shd w:val="clear" w:color="auto" w:fill="auto"/>
            <w:vAlign w:val="center"/>
            <w:hideMark/>
          </w:tcPr>
          <w:p w14:paraId="43C34A4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-12,01</w:t>
            </w:r>
          </w:p>
        </w:tc>
        <w:tc>
          <w:tcPr>
            <w:tcW w:w="944" w:type="dxa"/>
            <w:tcBorders>
              <w:top w:val="nil"/>
              <w:left w:val="nil"/>
              <w:bottom w:val="single" w:sz="4" w:space="0" w:color="000000"/>
              <w:right w:val="single" w:sz="4" w:space="0" w:color="000000"/>
            </w:tcBorders>
            <w:shd w:val="clear" w:color="auto" w:fill="auto"/>
            <w:vAlign w:val="center"/>
            <w:hideMark/>
          </w:tcPr>
          <w:p w14:paraId="3605432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304,50</w:t>
            </w:r>
          </w:p>
        </w:tc>
        <w:tc>
          <w:tcPr>
            <w:tcW w:w="1064" w:type="dxa"/>
            <w:tcBorders>
              <w:top w:val="nil"/>
              <w:left w:val="nil"/>
              <w:bottom w:val="single" w:sz="4" w:space="0" w:color="000000"/>
              <w:right w:val="single" w:sz="4" w:space="0" w:color="000000"/>
            </w:tcBorders>
            <w:shd w:val="clear" w:color="auto" w:fill="auto"/>
            <w:vAlign w:val="center"/>
            <w:hideMark/>
          </w:tcPr>
          <w:p w14:paraId="02EE4CA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1.831,9</w:t>
            </w:r>
          </w:p>
        </w:tc>
        <w:tc>
          <w:tcPr>
            <w:tcW w:w="862" w:type="dxa"/>
            <w:tcBorders>
              <w:top w:val="nil"/>
              <w:left w:val="nil"/>
              <w:bottom w:val="single" w:sz="4" w:space="0" w:color="000000"/>
              <w:right w:val="single" w:sz="4" w:space="0" w:color="000000"/>
            </w:tcBorders>
            <w:shd w:val="clear" w:color="auto" w:fill="auto"/>
            <w:vAlign w:val="center"/>
            <w:hideMark/>
          </w:tcPr>
          <w:p w14:paraId="0B000E9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3,62</w:t>
            </w:r>
          </w:p>
        </w:tc>
        <w:tc>
          <w:tcPr>
            <w:tcW w:w="1064" w:type="dxa"/>
            <w:tcBorders>
              <w:top w:val="nil"/>
              <w:left w:val="nil"/>
              <w:bottom w:val="single" w:sz="4" w:space="0" w:color="000000"/>
              <w:right w:val="single" w:sz="4" w:space="0" w:color="000000"/>
            </w:tcBorders>
            <w:shd w:val="clear" w:color="auto" w:fill="auto"/>
            <w:vAlign w:val="center"/>
            <w:hideMark/>
          </w:tcPr>
          <w:p w14:paraId="1C3D9CB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1.830,06</w:t>
            </w:r>
          </w:p>
        </w:tc>
        <w:tc>
          <w:tcPr>
            <w:tcW w:w="1028" w:type="dxa"/>
            <w:tcBorders>
              <w:top w:val="nil"/>
              <w:left w:val="nil"/>
              <w:bottom w:val="single" w:sz="4" w:space="0" w:color="000000"/>
              <w:right w:val="single" w:sz="4" w:space="0" w:color="000000"/>
            </w:tcBorders>
            <w:shd w:val="clear" w:color="auto" w:fill="auto"/>
            <w:vAlign w:val="center"/>
            <w:hideMark/>
          </w:tcPr>
          <w:p w14:paraId="02B1F6B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-15,13</w:t>
            </w:r>
          </w:p>
        </w:tc>
        <w:tc>
          <w:tcPr>
            <w:tcW w:w="944" w:type="dxa"/>
            <w:tcBorders>
              <w:top w:val="nil"/>
              <w:left w:val="nil"/>
              <w:bottom w:val="single" w:sz="4" w:space="0" w:color="000000"/>
              <w:right w:val="single" w:sz="8" w:space="0" w:color="000000"/>
            </w:tcBorders>
            <w:shd w:val="clear" w:color="auto" w:fill="auto"/>
            <w:vAlign w:val="center"/>
            <w:hideMark/>
          </w:tcPr>
          <w:p w14:paraId="005341D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312,25</w:t>
            </w:r>
          </w:p>
        </w:tc>
      </w:tr>
      <w:tr w:rsidR="00EF4BC3" w:rsidRPr="009E5B39" w14:paraId="32B6D97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A82DD5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114416</w:t>
            </w:r>
          </w:p>
        </w:tc>
        <w:tc>
          <w:tcPr>
            <w:tcW w:w="2268" w:type="dxa"/>
            <w:tcBorders>
              <w:top w:val="nil"/>
              <w:left w:val="nil"/>
              <w:bottom w:val="single" w:sz="4" w:space="0" w:color="000000"/>
              <w:right w:val="single" w:sz="4" w:space="0" w:color="000000"/>
            </w:tcBorders>
            <w:shd w:val="clear" w:color="auto" w:fill="auto"/>
            <w:vAlign w:val="center"/>
          </w:tcPr>
          <w:p w14:paraId="09737532" w14:textId="0BD0E687"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D63BBC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-41,64</w:t>
            </w:r>
          </w:p>
        </w:tc>
        <w:tc>
          <w:tcPr>
            <w:tcW w:w="944" w:type="dxa"/>
            <w:tcBorders>
              <w:top w:val="nil"/>
              <w:left w:val="nil"/>
              <w:bottom w:val="single" w:sz="4" w:space="0" w:color="000000"/>
              <w:right w:val="single" w:sz="4" w:space="0" w:color="000000"/>
            </w:tcBorders>
            <w:shd w:val="clear" w:color="auto" w:fill="auto"/>
            <w:vAlign w:val="center"/>
            <w:hideMark/>
          </w:tcPr>
          <w:p w14:paraId="6627BF7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107,0</w:t>
            </w:r>
          </w:p>
        </w:tc>
        <w:tc>
          <w:tcPr>
            <w:tcW w:w="1064" w:type="dxa"/>
            <w:tcBorders>
              <w:top w:val="nil"/>
              <w:left w:val="nil"/>
              <w:bottom w:val="single" w:sz="4" w:space="0" w:color="000000"/>
              <w:right w:val="single" w:sz="4" w:space="0" w:color="000000"/>
            </w:tcBorders>
            <w:shd w:val="clear" w:color="auto" w:fill="auto"/>
            <w:vAlign w:val="center"/>
            <w:hideMark/>
          </w:tcPr>
          <w:p w14:paraId="1DE95A4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1.259,85</w:t>
            </w:r>
          </w:p>
        </w:tc>
        <w:tc>
          <w:tcPr>
            <w:tcW w:w="862" w:type="dxa"/>
            <w:tcBorders>
              <w:top w:val="nil"/>
              <w:left w:val="nil"/>
              <w:bottom w:val="single" w:sz="4" w:space="0" w:color="000000"/>
              <w:right w:val="single" w:sz="4" w:space="0" w:color="000000"/>
            </w:tcBorders>
            <w:shd w:val="clear" w:color="auto" w:fill="auto"/>
            <w:vAlign w:val="center"/>
            <w:hideMark/>
          </w:tcPr>
          <w:p w14:paraId="1C3A118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2,52</w:t>
            </w:r>
          </w:p>
        </w:tc>
        <w:tc>
          <w:tcPr>
            <w:tcW w:w="1064" w:type="dxa"/>
            <w:tcBorders>
              <w:top w:val="nil"/>
              <w:left w:val="nil"/>
              <w:bottom w:val="single" w:sz="4" w:space="0" w:color="000000"/>
              <w:right w:val="single" w:sz="4" w:space="0" w:color="000000"/>
            </w:tcBorders>
            <w:shd w:val="clear" w:color="auto" w:fill="auto"/>
            <w:vAlign w:val="center"/>
            <w:hideMark/>
          </w:tcPr>
          <w:p w14:paraId="7ABFC59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1.278,55</w:t>
            </w:r>
          </w:p>
        </w:tc>
        <w:tc>
          <w:tcPr>
            <w:tcW w:w="1028" w:type="dxa"/>
            <w:tcBorders>
              <w:top w:val="nil"/>
              <w:left w:val="nil"/>
              <w:bottom w:val="single" w:sz="4" w:space="0" w:color="000000"/>
              <w:right w:val="single" w:sz="4" w:space="0" w:color="000000"/>
            </w:tcBorders>
            <w:shd w:val="clear" w:color="auto" w:fill="auto"/>
            <w:vAlign w:val="center"/>
            <w:hideMark/>
          </w:tcPr>
          <w:p w14:paraId="2A0CA96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-53,40</w:t>
            </w:r>
          </w:p>
        </w:tc>
        <w:tc>
          <w:tcPr>
            <w:tcW w:w="944" w:type="dxa"/>
            <w:tcBorders>
              <w:top w:val="nil"/>
              <w:left w:val="nil"/>
              <w:bottom w:val="single" w:sz="4" w:space="0" w:color="000000"/>
              <w:right w:val="single" w:sz="8" w:space="0" w:color="000000"/>
            </w:tcBorders>
            <w:shd w:val="clear" w:color="auto" w:fill="auto"/>
            <w:vAlign w:val="center"/>
            <w:hideMark/>
          </w:tcPr>
          <w:p w14:paraId="42CC4D1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102,58</w:t>
            </w:r>
          </w:p>
        </w:tc>
      </w:tr>
      <w:tr w:rsidR="00EF4BC3" w:rsidRPr="009E5B39" w14:paraId="78FB9B6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BC200E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114416</w:t>
            </w:r>
          </w:p>
        </w:tc>
        <w:tc>
          <w:tcPr>
            <w:tcW w:w="2268" w:type="dxa"/>
            <w:tcBorders>
              <w:top w:val="nil"/>
              <w:left w:val="nil"/>
              <w:bottom w:val="single" w:sz="4" w:space="0" w:color="000000"/>
              <w:right w:val="single" w:sz="4" w:space="0" w:color="000000"/>
            </w:tcBorders>
            <w:shd w:val="clear" w:color="auto" w:fill="auto"/>
            <w:vAlign w:val="center"/>
          </w:tcPr>
          <w:p w14:paraId="4CA960C1" w14:textId="682879E5"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18F1A6D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-100,66</w:t>
            </w:r>
          </w:p>
        </w:tc>
        <w:tc>
          <w:tcPr>
            <w:tcW w:w="944" w:type="dxa"/>
            <w:tcBorders>
              <w:top w:val="nil"/>
              <w:left w:val="nil"/>
              <w:bottom w:val="single" w:sz="4" w:space="0" w:color="000000"/>
              <w:right w:val="single" w:sz="4" w:space="0" w:color="000000"/>
            </w:tcBorders>
            <w:shd w:val="clear" w:color="auto" w:fill="auto"/>
            <w:vAlign w:val="center"/>
            <w:hideMark/>
          </w:tcPr>
          <w:p w14:paraId="099AD1C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117,71</w:t>
            </w:r>
          </w:p>
        </w:tc>
        <w:tc>
          <w:tcPr>
            <w:tcW w:w="1064" w:type="dxa"/>
            <w:tcBorders>
              <w:top w:val="nil"/>
              <w:left w:val="nil"/>
              <w:bottom w:val="single" w:sz="4" w:space="0" w:color="000000"/>
              <w:right w:val="single" w:sz="4" w:space="0" w:color="000000"/>
            </w:tcBorders>
            <w:shd w:val="clear" w:color="auto" w:fill="auto"/>
            <w:vAlign w:val="center"/>
            <w:hideMark/>
          </w:tcPr>
          <w:p w14:paraId="136DF42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611,25</w:t>
            </w:r>
          </w:p>
        </w:tc>
        <w:tc>
          <w:tcPr>
            <w:tcW w:w="862" w:type="dxa"/>
            <w:tcBorders>
              <w:top w:val="nil"/>
              <w:left w:val="nil"/>
              <w:bottom w:val="single" w:sz="4" w:space="0" w:color="000000"/>
              <w:right w:val="single" w:sz="4" w:space="0" w:color="000000"/>
            </w:tcBorders>
            <w:shd w:val="clear" w:color="auto" w:fill="auto"/>
            <w:vAlign w:val="center"/>
            <w:hideMark/>
          </w:tcPr>
          <w:p w14:paraId="7C3BDBC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F6C0F5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581,47</w:t>
            </w:r>
          </w:p>
        </w:tc>
        <w:tc>
          <w:tcPr>
            <w:tcW w:w="1028" w:type="dxa"/>
            <w:tcBorders>
              <w:top w:val="nil"/>
              <w:left w:val="nil"/>
              <w:bottom w:val="single" w:sz="4" w:space="0" w:color="000000"/>
              <w:right w:val="single" w:sz="4" w:space="0" w:color="000000"/>
            </w:tcBorders>
            <w:shd w:val="clear" w:color="auto" w:fill="auto"/>
            <w:vAlign w:val="center"/>
            <w:hideMark/>
          </w:tcPr>
          <w:p w14:paraId="0F94EAD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-132,35</w:t>
            </w:r>
          </w:p>
        </w:tc>
        <w:tc>
          <w:tcPr>
            <w:tcW w:w="944" w:type="dxa"/>
            <w:tcBorders>
              <w:top w:val="nil"/>
              <w:left w:val="nil"/>
              <w:bottom w:val="single" w:sz="4" w:space="0" w:color="000000"/>
              <w:right w:val="single" w:sz="8" w:space="0" w:color="000000"/>
            </w:tcBorders>
            <w:shd w:val="clear" w:color="auto" w:fill="auto"/>
            <w:vAlign w:val="center"/>
            <w:hideMark/>
          </w:tcPr>
          <w:p w14:paraId="5F025EC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115,13</w:t>
            </w:r>
          </w:p>
        </w:tc>
      </w:tr>
      <w:tr w:rsidR="00EF4BC3" w:rsidRPr="009E5B39" w14:paraId="66131FBC"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78518A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114416</w:t>
            </w:r>
          </w:p>
        </w:tc>
        <w:tc>
          <w:tcPr>
            <w:tcW w:w="2268" w:type="dxa"/>
            <w:tcBorders>
              <w:top w:val="nil"/>
              <w:left w:val="nil"/>
              <w:bottom w:val="single" w:sz="4" w:space="0" w:color="000000"/>
              <w:right w:val="single" w:sz="4" w:space="0" w:color="000000"/>
            </w:tcBorders>
            <w:shd w:val="clear" w:color="auto" w:fill="auto"/>
            <w:vAlign w:val="center"/>
          </w:tcPr>
          <w:p w14:paraId="780FA9E3" w14:textId="73D93083"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0BF566E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-146,93</w:t>
            </w:r>
          </w:p>
        </w:tc>
        <w:tc>
          <w:tcPr>
            <w:tcW w:w="944" w:type="dxa"/>
            <w:tcBorders>
              <w:top w:val="nil"/>
              <w:left w:val="nil"/>
              <w:bottom w:val="single" w:sz="4" w:space="0" w:color="000000"/>
              <w:right w:val="single" w:sz="4" w:space="0" w:color="000000"/>
            </w:tcBorders>
            <w:shd w:val="clear" w:color="auto" w:fill="auto"/>
            <w:vAlign w:val="center"/>
            <w:hideMark/>
          </w:tcPr>
          <w:p w14:paraId="60793BB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66,31</w:t>
            </w:r>
          </w:p>
        </w:tc>
        <w:tc>
          <w:tcPr>
            <w:tcW w:w="1064" w:type="dxa"/>
            <w:tcBorders>
              <w:top w:val="nil"/>
              <w:left w:val="nil"/>
              <w:bottom w:val="single" w:sz="4" w:space="0" w:color="000000"/>
              <w:right w:val="single" w:sz="4" w:space="0" w:color="000000"/>
            </w:tcBorders>
            <w:shd w:val="clear" w:color="auto" w:fill="auto"/>
            <w:vAlign w:val="center"/>
            <w:hideMark/>
          </w:tcPr>
          <w:p w14:paraId="25F534E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935,11</w:t>
            </w:r>
          </w:p>
        </w:tc>
        <w:tc>
          <w:tcPr>
            <w:tcW w:w="862" w:type="dxa"/>
            <w:tcBorders>
              <w:top w:val="nil"/>
              <w:left w:val="nil"/>
              <w:bottom w:val="single" w:sz="4" w:space="0" w:color="000000"/>
              <w:right w:val="single" w:sz="4" w:space="0" w:color="000000"/>
            </w:tcBorders>
            <w:shd w:val="clear" w:color="auto" w:fill="auto"/>
            <w:vAlign w:val="center"/>
            <w:hideMark/>
          </w:tcPr>
          <w:p w14:paraId="4AFC203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0,04</w:t>
            </w:r>
          </w:p>
        </w:tc>
        <w:tc>
          <w:tcPr>
            <w:tcW w:w="1064" w:type="dxa"/>
            <w:tcBorders>
              <w:top w:val="nil"/>
              <w:left w:val="nil"/>
              <w:bottom w:val="single" w:sz="4" w:space="0" w:color="000000"/>
              <w:right w:val="single" w:sz="4" w:space="0" w:color="000000"/>
            </w:tcBorders>
            <w:shd w:val="clear" w:color="auto" w:fill="auto"/>
            <w:vAlign w:val="center"/>
            <w:hideMark/>
          </w:tcPr>
          <w:p w14:paraId="456CE00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915,49</w:t>
            </w:r>
          </w:p>
        </w:tc>
        <w:tc>
          <w:tcPr>
            <w:tcW w:w="1028" w:type="dxa"/>
            <w:tcBorders>
              <w:top w:val="nil"/>
              <w:left w:val="nil"/>
              <w:bottom w:val="single" w:sz="4" w:space="0" w:color="000000"/>
              <w:right w:val="single" w:sz="4" w:space="0" w:color="000000"/>
            </w:tcBorders>
            <w:shd w:val="clear" w:color="auto" w:fill="auto"/>
            <w:vAlign w:val="center"/>
            <w:hideMark/>
          </w:tcPr>
          <w:p w14:paraId="7CDC5F8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-154,23</w:t>
            </w:r>
          </w:p>
        </w:tc>
        <w:tc>
          <w:tcPr>
            <w:tcW w:w="944" w:type="dxa"/>
            <w:tcBorders>
              <w:top w:val="nil"/>
              <w:left w:val="nil"/>
              <w:bottom w:val="single" w:sz="4" w:space="0" w:color="000000"/>
              <w:right w:val="single" w:sz="8" w:space="0" w:color="000000"/>
            </w:tcBorders>
            <w:shd w:val="clear" w:color="auto" w:fill="auto"/>
            <w:vAlign w:val="center"/>
            <w:hideMark/>
          </w:tcPr>
          <w:p w14:paraId="2D490A0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54,02</w:t>
            </w:r>
          </w:p>
        </w:tc>
      </w:tr>
      <w:tr w:rsidR="00EF4BC3" w:rsidRPr="009E5B39" w14:paraId="2B0C9171"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6B5640A"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114417</w:t>
            </w:r>
          </w:p>
        </w:tc>
        <w:tc>
          <w:tcPr>
            <w:tcW w:w="2268" w:type="dxa"/>
            <w:tcBorders>
              <w:top w:val="nil"/>
              <w:left w:val="nil"/>
              <w:bottom w:val="single" w:sz="4" w:space="0" w:color="000000"/>
              <w:right w:val="single" w:sz="4" w:space="0" w:color="000000"/>
            </w:tcBorders>
            <w:shd w:val="clear" w:color="auto" w:fill="auto"/>
            <w:vAlign w:val="center"/>
            <w:hideMark/>
          </w:tcPr>
          <w:p w14:paraId="77CB86F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parcaj (12266)</w:t>
            </w:r>
          </w:p>
        </w:tc>
        <w:tc>
          <w:tcPr>
            <w:tcW w:w="992" w:type="dxa"/>
            <w:tcBorders>
              <w:top w:val="nil"/>
              <w:left w:val="nil"/>
              <w:bottom w:val="single" w:sz="4" w:space="0" w:color="000000"/>
              <w:right w:val="single" w:sz="4" w:space="0" w:color="000000"/>
            </w:tcBorders>
            <w:shd w:val="clear" w:color="auto" w:fill="auto"/>
            <w:vAlign w:val="center"/>
            <w:hideMark/>
          </w:tcPr>
          <w:p w14:paraId="56054F1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24B87A1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4301EB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551831D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C3C141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47DC79A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70348CD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63FB6F2A"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C34547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114417</w:t>
            </w:r>
          </w:p>
        </w:tc>
        <w:tc>
          <w:tcPr>
            <w:tcW w:w="2268" w:type="dxa"/>
            <w:tcBorders>
              <w:top w:val="nil"/>
              <w:left w:val="nil"/>
              <w:bottom w:val="single" w:sz="4" w:space="0" w:color="000000"/>
              <w:right w:val="single" w:sz="4" w:space="0" w:color="000000"/>
            </w:tcBorders>
            <w:shd w:val="clear" w:color="auto" w:fill="auto"/>
            <w:vAlign w:val="center"/>
            <w:hideMark/>
          </w:tcPr>
          <w:p w14:paraId="1E99772F" w14:textId="6E270820"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007DF5A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7B45EE9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0,11</w:t>
            </w:r>
          </w:p>
        </w:tc>
        <w:tc>
          <w:tcPr>
            <w:tcW w:w="1064" w:type="dxa"/>
            <w:tcBorders>
              <w:top w:val="nil"/>
              <w:left w:val="nil"/>
              <w:bottom w:val="single" w:sz="4" w:space="0" w:color="000000"/>
              <w:right w:val="single" w:sz="4" w:space="0" w:color="000000"/>
            </w:tcBorders>
            <w:shd w:val="clear" w:color="auto" w:fill="auto"/>
            <w:vAlign w:val="center"/>
            <w:hideMark/>
          </w:tcPr>
          <w:p w14:paraId="44E0134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6350046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FC6929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-0,11</w:t>
            </w:r>
          </w:p>
        </w:tc>
        <w:tc>
          <w:tcPr>
            <w:tcW w:w="1028" w:type="dxa"/>
            <w:tcBorders>
              <w:top w:val="nil"/>
              <w:left w:val="nil"/>
              <w:bottom w:val="single" w:sz="4" w:space="0" w:color="000000"/>
              <w:right w:val="single" w:sz="4" w:space="0" w:color="000000"/>
            </w:tcBorders>
            <w:shd w:val="clear" w:color="auto" w:fill="auto"/>
            <w:vAlign w:val="center"/>
            <w:hideMark/>
          </w:tcPr>
          <w:p w14:paraId="4FF20E7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14217E6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6F518AF8"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FE4831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114418</w:t>
            </w:r>
          </w:p>
        </w:tc>
        <w:tc>
          <w:tcPr>
            <w:tcW w:w="2268" w:type="dxa"/>
            <w:tcBorders>
              <w:top w:val="nil"/>
              <w:left w:val="nil"/>
              <w:bottom w:val="single" w:sz="4" w:space="0" w:color="000000"/>
              <w:right w:val="single" w:sz="4" w:space="0" w:color="000000"/>
            </w:tcBorders>
            <w:shd w:val="clear" w:color="auto" w:fill="auto"/>
            <w:vAlign w:val="center"/>
            <w:hideMark/>
          </w:tcPr>
          <w:p w14:paraId="3C86B5BE"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unitățile comerciale și/sau de prestări servicii (12230)</w:t>
            </w:r>
          </w:p>
        </w:tc>
        <w:tc>
          <w:tcPr>
            <w:tcW w:w="992" w:type="dxa"/>
            <w:tcBorders>
              <w:top w:val="nil"/>
              <w:left w:val="nil"/>
              <w:bottom w:val="single" w:sz="4" w:space="0" w:color="000000"/>
              <w:right w:val="single" w:sz="4" w:space="0" w:color="000000"/>
            </w:tcBorders>
            <w:shd w:val="clear" w:color="auto" w:fill="auto"/>
            <w:vAlign w:val="center"/>
            <w:hideMark/>
          </w:tcPr>
          <w:p w14:paraId="16F71B6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-4.611,17</w:t>
            </w:r>
          </w:p>
        </w:tc>
        <w:tc>
          <w:tcPr>
            <w:tcW w:w="944" w:type="dxa"/>
            <w:tcBorders>
              <w:top w:val="nil"/>
              <w:left w:val="nil"/>
              <w:bottom w:val="single" w:sz="4" w:space="0" w:color="000000"/>
              <w:right w:val="single" w:sz="4" w:space="0" w:color="000000"/>
            </w:tcBorders>
            <w:shd w:val="clear" w:color="auto" w:fill="auto"/>
            <w:vAlign w:val="center"/>
            <w:hideMark/>
          </w:tcPr>
          <w:p w14:paraId="20E429E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6.596,62</w:t>
            </w:r>
          </w:p>
        </w:tc>
        <w:tc>
          <w:tcPr>
            <w:tcW w:w="1064" w:type="dxa"/>
            <w:tcBorders>
              <w:top w:val="nil"/>
              <w:left w:val="nil"/>
              <w:bottom w:val="single" w:sz="4" w:space="0" w:color="000000"/>
              <w:right w:val="single" w:sz="4" w:space="0" w:color="000000"/>
            </w:tcBorders>
            <w:shd w:val="clear" w:color="auto" w:fill="auto"/>
            <w:vAlign w:val="center"/>
            <w:hideMark/>
          </w:tcPr>
          <w:p w14:paraId="6C28155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50.775,2</w:t>
            </w:r>
          </w:p>
        </w:tc>
        <w:tc>
          <w:tcPr>
            <w:tcW w:w="862" w:type="dxa"/>
            <w:tcBorders>
              <w:top w:val="nil"/>
              <w:left w:val="nil"/>
              <w:bottom w:val="single" w:sz="4" w:space="0" w:color="000000"/>
              <w:right w:val="single" w:sz="4" w:space="0" w:color="000000"/>
            </w:tcBorders>
            <w:shd w:val="clear" w:color="auto" w:fill="auto"/>
            <w:vAlign w:val="center"/>
            <w:hideMark/>
          </w:tcPr>
          <w:p w14:paraId="58C7EB6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470,48</w:t>
            </w:r>
          </w:p>
        </w:tc>
        <w:tc>
          <w:tcPr>
            <w:tcW w:w="1064" w:type="dxa"/>
            <w:tcBorders>
              <w:top w:val="nil"/>
              <w:left w:val="nil"/>
              <w:bottom w:val="single" w:sz="4" w:space="0" w:color="000000"/>
              <w:right w:val="single" w:sz="4" w:space="0" w:color="000000"/>
            </w:tcBorders>
            <w:shd w:val="clear" w:color="auto" w:fill="auto"/>
            <w:vAlign w:val="center"/>
            <w:hideMark/>
          </w:tcPr>
          <w:p w14:paraId="089E697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50.361,62</w:t>
            </w:r>
          </w:p>
        </w:tc>
        <w:tc>
          <w:tcPr>
            <w:tcW w:w="1028" w:type="dxa"/>
            <w:tcBorders>
              <w:top w:val="nil"/>
              <w:left w:val="nil"/>
              <w:bottom w:val="single" w:sz="4" w:space="0" w:color="000000"/>
              <w:right w:val="single" w:sz="4" w:space="0" w:color="000000"/>
            </w:tcBorders>
            <w:shd w:val="clear" w:color="auto" w:fill="auto"/>
            <w:vAlign w:val="center"/>
            <w:hideMark/>
          </w:tcPr>
          <w:p w14:paraId="4040EA0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-5.787,24</w:t>
            </w:r>
          </w:p>
        </w:tc>
        <w:tc>
          <w:tcPr>
            <w:tcW w:w="944" w:type="dxa"/>
            <w:tcBorders>
              <w:top w:val="nil"/>
              <w:left w:val="nil"/>
              <w:bottom w:val="single" w:sz="4" w:space="0" w:color="000000"/>
              <w:right w:val="single" w:sz="8" w:space="0" w:color="000000"/>
            </w:tcBorders>
            <w:shd w:val="clear" w:color="auto" w:fill="auto"/>
            <w:vAlign w:val="center"/>
            <w:hideMark/>
          </w:tcPr>
          <w:p w14:paraId="155EC25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6.527,6</w:t>
            </w:r>
          </w:p>
        </w:tc>
      </w:tr>
      <w:tr w:rsidR="00EF4BC3" w:rsidRPr="009E5B39" w14:paraId="344E1715"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64D3B5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114418</w:t>
            </w:r>
          </w:p>
        </w:tc>
        <w:tc>
          <w:tcPr>
            <w:tcW w:w="2268" w:type="dxa"/>
            <w:tcBorders>
              <w:top w:val="nil"/>
              <w:left w:val="nil"/>
              <w:bottom w:val="single" w:sz="4" w:space="0" w:color="000000"/>
              <w:right w:val="single" w:sz="4" w:space="0" w:color="000000"/>
            </w:tcBorders>
            <w:shd w:val="clear" w:color="auto" w:fill="auto"/>
            <w:vAlign w:val="center"/>
          </w:tcPr>
          <w:p w14:paraId="7BEB2E95" w14:textId="6A6F9B40"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0866F52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-2.654,42</w:t>
            </w:r>
          </w:p>
        </w:tc>
        <w:tc>
          <w:tcPr>
            <w:tcW w:w="944" w:type="dxa"/>
            <w:tcBorders>
              <w:top w:val="nil"/>
              <w:left w:val="nil"/>
              <w:bottom w:val="single" w:sz="4" w:space="0" w:color="000000"/>
              <w:right w:val="single" w:sz="4" w:space="0" w:color="000000"/>
            </w:tcBorders>
            <w:shd w:val="clear" w:color="auto" w:fill="auto"/>
            <w:vAlign w:val="center"/>
            <w:hideMark/>
          </w:tcPr>
          <w:p w14:paraId="70D6B52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3.272,9</w:t>
            </w:r>
          </w:p>
        </w:tc>
        <w:tc>
          <w:tcPr>
            <w:tcW w:w="1064" w:type="dxa"/>
            <w:tcBorders>
              <w:top w:val="nil"/>
              <w:left w:val="nil"/>
              <w:bottom w:val="single" w:sz="4" w:space="0" w:color="000000"/>
              <w:right w:val="single" w:sz="4" w:space="0" w:color="000000"/>
            </w:tcBorders>
            <w:shd w:val="clear" w:color="auto" w:fill="auto"/>
            <w:vAlign w:val="center"/>
            <w:hideMark/>
          </w:tcPr>
          <w:p w14:paraId="77F05B8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27.225,46</w:t>
            </w:r>
          </w:p>
        </w:tc>
        <w:tc>
          <w:tcPr>
            <w:tcW w:w="862" w:type="dxa"/>
            <w:tcBorders>
              <w:top w:val="nil"/>
              <w:left w:val="nil"/>
              <w:bottom w:val="single" w:sz="4" w:space="0" w:color="000000"/>
              <w:right w:val="single" w:sz="4" w:space="0" w:color="000000"/>
            </w:tcBorders>
            <w:shd w:val="clear" w:color="auto" w:fill="auto"/>
            <w:vAlign w:val="center"/>
            <w:hideMark/>
          </w:tcPr>
          <w:p w14:paraId="5AF52E0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105,46</w:t>
            </w:r>
          </w:p>
        </w:tc>
        <w:tc>
          <w:tcPr>
            <w:tcW w:w="1064" w:type="dxa"/>
            <w:tcBorders>
              <w:top w:val="nil"/>
              <w:left w:val="nil"/>
              <w:bottom w:val="single" w:sz="4" w:space="0" w:color="000000"/>
              <w:right w:val="single" w:sz="4" w:space="0" w:color="000000"/>
            </w:tcBorders>
            <w:shd w:val="clear" w:color="auto" w:fill="auto"/>
            <w:vAlign w:val="center"/>
            <w:hideMark/>
          </w:tcPr>
          <w:p w14:paraId="0AF39B7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26.429,73</w:t>
            </w:r>
          </w:p>
        </w:tc>
        <w:tc>
          <w:tcPr>
            <w:tcW w:w="1028" w:type="dxa"/>
            <w:tcBorders>
              <w:top w:val="nil"/>
              <w:left w:val="nil"/>
              <w:bottom w:val="single" w:sz="4" w:space="0" w:color="000000"/>
              <w:right w:val="single" w:sz="4" w:space="0" w:color="000000"/>
            </w:tcBorders>
            <w:shd w:val="clear" w:color="auto" w:fill="auto"/>
            <w:vAlign w:val="center"/>
            <w:hideMark/>
          </w:tcPr>
          <w:p w14:paraId="3EA0AED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-3.119,13</w:t>
            </w:r>
          </w:p>
        </w:tc>
        <w:tc>
          <w:tcPr>
            <w:tcW w:w="944" w:type="dxa"/>
            <w:tcBorders>
              <w:top w:val="nil"/>
              <w:left w:val="nil"/>
              <w:bottom w:val="single" w:sz="4" w:space="0" w:color="000000"/>
              <w:right w:val="single" w:sz="8" w:space="0" w:color="000000"/>
            </w:tcBorders>
            <w:shd w:val="clear" w:color="auto" w:fill="auto"/>
            <w:vAlign w:val="center"/>
            <w:hideMark/>
          </w:tcPr>
          <w:p w14:paraId="355FB92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3.123,15</w:t>
            </w:r>
          </w:p>
        </w:tc>
      </w:tr>
      <w:tr w:rsidR="00EF4BC3" w:rsidRPr="009E5B39" w14:paraId="6675C104"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2D8504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114418</w:t>
            </w:r>
          </w:p>
        </w:tc>
        <w:tc>
          <w:tcPr>
            <w:tcW w:w="2268" w:type="dxa"/>
            <w:tcBorders>
              <w:top w:val="nil"/>
              <w:left w:val="nil"/>
              <w:bottom w:val="single" w:sz="4" w:space="0" w:color="000000"/>
              <w:right w:val="single" w:sz="4" w:space="0" w:color="000000"/>
            </w:tcBorders>
            <w:shd w:val="clear" w:color="auto" w:fill="auto"/>
            <w:vAlign w:val="center"/>
          </w:tcPr>
          <w:p w14:paraId="2F8C90DB" w14:textId="56A3C82E"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3E9DEBF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-1.720,43</w:t>
            </w:r>
          </w:p>
        </w:tc>
        <w:tc>
          <w:tcPr>
            <w:tcW w:w="944" w:type="dxa"/>
            <w:tcBorders>
              <w:top w:val="nil"/>
              <w:left w:val="nil"/>
              <w:bottom w:val="single" w:sz="4" w:space="0" w:color="000000"/>
              <w:right w:val="single" w:sz="4" w:space="0" w:color="000000"/>
            </w:tcBorders>
            <w:shd w:val="clear" w:color="auto" w:fill="auto"/>
            <w:vAlign w:val="center"/>
            <w:hideMark/>
          </w:tcPr>
          <w:p w14:paraId="4B72245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3.241,27</w:t>
            </w:r>
          </w:p>
        </w:tc>
        <w:tc>
          <w:tcPr>
            <w:tcW w:w="1064" w:type="dxa"/>
            <w:tcBorders>
              <w:top w:val="nil"/>
              <w:left w:val="nil"/>
              <w:bottom w:val="single" w:sz="4" w:space="0" w:color="000000"/>
              <w:right w:val="single" w:sz="4" w:space="0" w:color="000000"/>
            </w:tcBorders>
            <w:shd w:val="clear" w:color="auto" w:fill="auto"/>
            <w:vAlign w:val="center"/>
            <w:hideMark/>
          </w:tcPr>
          <w:p w14:paraId="74EA087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31.852,56</w:t>
            </w:r>
          </w:p>
        </w:tc>
        <w:tc>
          <w:tcPr>
            <w:tcW w:w="862" w:type="dxa"/>
            <w:tcBorders>
              <w:top w:val="nil"/>
              <w:left w:val="nil"/>
              <w:bottom w:val="single" w:sz="4" w:space="0" w:color="000000"/>
              <w:right w:val="single" w:sz="4" w:space="0" w:color="000000"/>
            </w:tcBorders>
            <w:shd w:val="clear" w:color="auto" w:fill="auto"/>
            <w:vAlign w:val="center"/>
            <w:hideMark/>
          </w:tcPr>
          <w:p w14:paraId="51544AD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7,04</w:t>
            </w:r>
          </w:p>
        </w:tc>
        <w:tc>
          <w:tcPr>
            <w:tcW w:w="1064" w:type="dxa"/>
            <w:tcBorders>
              <w:top w:val="nil"/>
              <w:left w:val="nil"/>
              <w:bottom w:val="single" w:sz="4" w:space="0" w:color="000000"/>
              <w:right w:val="single" w:sz="4" w:space="0" w:color="000000"/>
            </w:tcBorders>
            <w:shd w:val="clear" w:color="auto" w:fill="auto"/>
            <w:vAlign w:val="center"/>
            <w:hideMark/>
          </w:tcPr>
          <w:p w14:paraId="29C7491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32.709,09</w:t>
            </w:r>
          </w:p>
        </w:tc>
        <w:tc>
          <w:tcPr>
            <w:tcW w:w="1028" w:type="dxa"/>
            <w:tcBorders>
              <w:top w:val="nil"/>
              <w:left w:val="nil"/>
              <w:bottom w:val="single" w:sz="4" w:space="0" w:color="000000"/>
              <w:right w:val="single" w:sz="4" w:space="0" w:color="000000"/>
            </w:tcBorders>
            <w:shd w:val="clear" w:color="auto" w:fill="auto"/>
            <w:vAlign w:val="center"/>
            <w:hideMark/>
          </w:tcPr>
          <w:p w14:paraId="5D4C837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-2.073,34</w:t>
            </w:r>
          </w:p>
        </w:tc>
        <w:tc>
          <w:tcPr>
            <w:tcW w:w="944" w:type="dxa"/>
            <w:tcBorders>
              <w:top w:val="nil"/>
              <w:left w:val="nil"/>
              <w:bottom w:val="single" w:sz="4" w:space="0" w:color="000000"/>
              <w:right w:val="single" w:sz="8" w:space="0" w:color="000000"/>
            </w:tcBorders>
            <w:shd w:val="clear" w:color="auto" w:fill="auto"/>
            <w:vAlign w:val="center"/>
            <w:hideMark/>
          </w:tcPr>
          <w:p w14:paraId="5B5BA92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4.152,88</w:t>
            </w:r>
          </w:p>
        </w:tc>
      </w:tr>
      <w:tr w:rsidR="00EF4BC3" w:rsidRPr="009E5B39" w14:paraId="10CC8F0F"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E7AB3F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114418</w:t>
            </w:r>
          </w:p>
        </w:tc>
        <w:tc>
          <w:tcPr>
            <w:tcW w:w="2268" w:type="dxa"/>
            <w:tcBorders>
              <w:top w:val="nil"/>
              <w:left w:val="nil"/>
              <w:bottom w:val="single" w:sz="4" w:space="0" w:color="000000"/>
              <w:right w:val="single" w:sz="4" w:space="0" w:color="000000"/>
            </w:tcBorders>
            <w:shd w:val="clear" w:color="auto" w:fill="auto"/>
            <w:vAlign w:val="center"/>
          </w:tcPr>
          <w:p w14:paraId="5456A15C" w14:textId="6443760F"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1A791AB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-2.224,11</w:t>
            </w:r>
          </w:p>
        </w:tc>
        <w:tc>
          <w:tcPr>
            <w:tcW w:w="944" w:type="dxa"/>
            <w:tcBorders>
              <w:top w:val="nil"/>
              <w:left w:val="nil"/>
              <w:bottom w:val="single" w:sz="4" w:space="0" w:color="000000"/>
              <w:right w:val="single" w:sz="4" w:space="0" w:color="000000"/>
            </w:tcBorders>
            <w:shd w:val="clear" w:color="auto" w:fill="auto"/>
            <w:vAlign w:val="center"/>
            <w:hideMark/>
          </w:tcPr>
          <w:p w14:paraId="3302C59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3.213,18</w:t>
            </w:r>
          </w:p>
        </w:tc>
        <w:tc>
          <w:tcPr>
            <w:tcW w:w="1064" w:type="dxa"/>
            <w:tcBorders>
              <w:top w:val="nil"/>
              <w:left w:val="nil"/>
              <w:bottom w:val="single" w:sz="4" w:space="0" w:color="000000"/>
              <w:right w:val="single" w:sz="4" w:space="0" w:color="000000"/>
            </w:tcBorders>
            <w:shd w:val="clear" w:color="auto" w:fill="auto"/>
            <w:vAlign w:val="center"/>
            <w:hideMark/>
          </w:tcPr>
          <w:p w14:paraId="0C62BC9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32.648,35</w:t>
            </w:r>
          </w:p>
        </w:tc>
        <w:tc>
          <w:tcPr>
            <w:tcW w:w="862" w:type="dxa"/>
            <w:tcBorders>
              <w:top w:val="nil"/>
              <w:left w:val="nil"/>
              <w:bottom w:val="single" w:sz="4" w:space="0" w:color="000000"/>
              <w:right w:val="single" w:sz="4" w:space="0" w:color="000000"/>
            </w:tcBorders>
            <w:shd w:val="clear" w:color="auto" w:fill="auto"/>
            <w:vAlign w:val="center"/>
            <w:hideMark/>
          </w:tcPr>
          <w:p w14:paraId="42E905E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451,35</w:t>
            </w:r>
          </w:p>
        </w:tc>
        <w:tc>
          <w:tcPr>
            <w:tcW w:w="1064" w:type="dxa"/>
            <w:tcBorders>
              <w:top w:val="nil"/>
              <w:left w:val="nil"/>
              <w:bottom w:val="single" w:sz="4" w:space="0" w:color="000000"/>
              <w:right w:val="single" w:sz="4" w:space="0" w:color="000000"/>
            </w:tcBorders>
            <w:shd w:val="clear" w:color="auto" w:fill="auto"/>
            <w:vAlign w:val="center"/>
            <w:hideMark/>
          </w:tcPr>
          <w:p w14:paraId="0094591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32.254,91</w:t>
            </w:r>
          </w:p>
        </w:tc>
        <w:tc>
          <w:tcPr>
            <w:tcW w:w="1028" w:type="dxa"/>
            <w:tcBorders>
              <w:top w:val="nil"/>
              <w:left w:val="nil"/>
              <w:bottom w:val="single" w:sz="4" w:space="0" w:color="000000"/>
              <w:right w:val="single" w:sz="4" w:space="0" w:color="000000"/>
            </w:tcBorders>
            <w:shd w:val="clear" w:color="auto" w:fill="auto"/>
            <w:vAlign w:val="center"/>
            <w:hideMark/>
          </w:tcPr>
          <w:p w14:paraId="562AAFF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-2.818,59</w:t>
            </w:r>
          </w:p>
        </w:tc>
        <w:tc>
          <w:tcPr>
            <w:tcW w:w="944" w:type="dxa"/>
            <w:tcBorders>
              <w:top w:val="nil"/>
              <w:left w:val="nil"/>
              <w:bottom w:val="single" w:sz="4" w:space="0" w:color="000000"/>
              <w:right w:val="single" w:sz="8" w:space="0" w:color="000000"/>
            </w:tcBorders>
            <w:shd w:val="clear" w:color="auto" w:fill="auto"/>
            <w:vAlign w:val="center"/>
            <w:hideMark/>
          </w:tcPr>
          <w:p w14:paraId="3EAD135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3.188,01</w:t>
            </w:r>
          </w:p>
        </w:tc>
      </w:tr>
      <w:tr w:rsidR="00EF4BC3" w:rsidRPr="009E5B39" w14:paraId="1B353C1A"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298F5B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114421</w:t>
            </w:r>
          </w:p>
        </w:tc>
        <w:tc>
          <w:tcPr>
            <w:tcW w:w="2268" w:type="dxa"/>
            <w:tcBorders>
              <w:top w:val="nil"/>
              <w:left w:val="nil"/>
              <w:bottom w:val="single" w:sz="4" w:space="0" w:color="000000"/>
              <w:right w:val="single" w:sz="4" w:space="0" w:color="000000"/>
            </w:tcBorders>
            <w:shd w:val="clear" w:color="auto" w:fill="auto"/>
            <w:vAlign w:val="center"/>
            <w:hideMark/>
          </w:tcPr>
          <w:p w14:paraId="11180B7C"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cazare (12229)</w:t>
            </w:r>
          </w:p>
        </w:tc>
        <w:tc>
          <w:tcPr>
            <w:tcW w:w="992" w:type="dxa"/>
            <w:tcBorders>
              <w:top w:val="nil"/>
              <w:left w:val="nil"/>
              <w:bottom w:val="single" w:sz="4" w:space="0" w:color="000000"/>
              <w:right w:val="single" w:sz="4" w:space="0" w:color="000000"/>
            </w:tcBorders>
            <w:shd w:val="clear" w:color="auto" w:fill="auto"/>
            <w:vAlign w:val="center"/>
            <w:hideMark/>
          </w:tcPr>
          <w:p w14:paraId="627D53E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-4,76</w:t>
            </w:r>
          </w:p>
        </w:tc>
        <w:tc>
          <w:tcPr>
            <w:tcW w:w="944" w:type="dxa"/>
            <w:tcBorders>
              <w:top w:val="nil"/>
              <w:left w:val="nil"/>
              <w:bottom w:val="single" w:sz="4" w:space="0" w:color="000000"/>
              <w:right w:val="single" w:sz="4" w:space="0" w:color="000000"/>
            </w:tcBorders>
            <w:shd w:val="clear" w:color="auto" w:fill="auto"/>
            <w:vAlign w:val="center"/>
            <w:hideMark/>
          </w:tcPr>
          <w:p w14:paraId="7D07FC0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378,04</w:t>
            </w:r>
          </w:p>
        </w:tc>
        <w:tc>
          <w:tcPr>
            <w:tcW w:w="1064" w:type="dxa"/>
            <w:tcBorders>
              <w:top w:val="nil"/>
              <w:left w:val="nil"/>
              <w:bottom w:val="single" w:sz="4" w:space="0" w:color="000000"/>
              <w:right w:val="single" w:sz="4" w:space="0" w:color="000000"/>
            </w:tcBorders>
            <w:shd w:val="clear" w:color="auto" w:fill="auto"/>
            <w:vAlign w:val="center"/>
            <w:hideMark/>
          </w:tcPr>
          <w:p w14:paraId="365BE30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1.144,57</w:t>
            </w:r>
          </w:p>
        </w:tc>
        <w:tc>
          <w:tcPr>
            <w:tcW w:w="862" w:type="dxa"/>
            <w:tcBorders>
              <w:top w:val="nil"/>
              <w:left w:val="nil"/>
              <w:bottom w:val="single" w:sz="4" w:space="0" w:color="000000"/>
              <w:right w:val="single" w:sz="4" w:space="0" w:color="000000"/>
            </w:tcBorders>
            <w:shd w:val="clear" w:color="auto" w:fill="auto"/>
            <w:vAlign w:val="center"/>
            <w:hideMark/>
          </w:tcPr>
          <w:p w14:paraId="7E2202D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59,54</w:t>
            </w:r>
          </w:p>
        </w:tc>
        <w:tc>
          <w:tcPr>
            <w:tcW w:w="1064" w:type="dxa"/>
            <w:tcBorders>
              <w:top w:val="nil"/>
              <w:left w:val="nil"/>
              <w:bottom w:val="single" w:sz="4" w:space="0" w:color="000000"/>
              <w:right w:val="single" w:sz="4" w:space="0" w:color="000000"/>
            </w:tcBorders>
            <w:shd w:val="clear" w:color="auto" w:fill="auto"/>
            <w:vAlign w:val="center"/>
            <w:hideMark/>
          </w:tcPr>
          <w:p w14:paraId="79D32CB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749,64</w:t>
            </w:r>
          </w:p>
        </w:tc>
        <w:tc>
          <w:tcPr>
            <w:tcW w:w="1028" w:type="dxa"/>
            <w:tcBorders>
              <w:top w:val="nil"/>
              <w:left w:val="nil"/>
              <w:bottom w:val="single" w:sz="4" w:space="0" w:color="000000"/>
              <w:right w:val="single" w:sz="4" w:space="0" w:color="000000"/>
            </w:tcBorders>
            <w:shd w:val="clear" w:color="auto" w:fill="auto"/>
            <w:vAlign w:val="center"/>
            <w:hideMark/>
          </w:tcPr>
          <w:p w14:paraId="3567878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-54,57</w:t>
            </w:r>
          </w:p>
        </w:tc>
        <w:tc>
          <w:tcPr>
            <w:tcW w:w="944" w:type="dxa"/>
            <w:tcBorders>
              <w:top w:val="nil"/>
              <w:left w:val="nil"/>
              <w:bottom w:val="single" w:sz="4" w:space="0" w:color="000000"/>
              <w:right w:val="single" w:sz="8" w:space="0" w:color="000000"/>
            </w:tcBorders>
            <w:shd w:val="clear" w:color="auto" w:fill="auto"/>
            <w:vAlign w:val="center"/>
            <w:hideMark/>
          </w:tcPr>
          <w:p w14:paraId="5FC81E0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91,43</w:t>
            </w:r>
          </w:p>
        </w:tc>
      </w:tr>
      <w:tr w:rsidR="00EF4BC3" w:rsidRPr="009E5B39" w14:paraId="5B9148EE"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44F7C7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114421</w:t>
            </w:r>
          </w:p>
        </w:tc>
        <w:tc>
          <w:tcPr>
            <w:tcW w:w="2268" w:type="dxa"/>
            <w:tcBorders>
              <w:top w:val="nil"/>
              <w:left w:val="nil"/>
              <w:bottom w:val="single" w:sz="4" w:space="0" w:color="000000"/>
              <w:right w:val="single" w:sz="4" w:space="0" w:color="000000"/>
            </w:tcBorders>
            <w:shd w:val="clear" w:color="auto" w:fill="auto"/>
            <w:vAlign w:val="center"/>
          </w:tcPr>
          <w:p w14:paraId="58661ACC" w14:textId="0B150621"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01EE7D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-16,81</w:t>
            </w:r>
          </w:p>
        </w:tc>
        <w:tc>
          <w:tcPr>
            <w:tcW w:w="944" w:type="dxa"/>
            <w:tcBorders>
              <w:top w:val="nil"/>
              <w:left w:val="nil"/>
              <w:bottom w:val="single" w:sz="4" w:space="0" w:color="000000"/>
              <w:right w:val="single" w:sz="4" w:space="0" w:color="000000"/>
            </w:tcBorders>
            <w:shd w:val="clear" w:color="auto" w:fill="auto"/>
            <w:vAlign w:val="center"/>
            <w:hideMark/>
          </w:tcPr>
          <w:p w14:paraId="1CB0F3E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222,80</w:t>
            </w:r>
          </w:p>
        </w:tc>
        <w:tc>
          <w:tcPr>
            <w:tcW w:w="1064" w:type="dxa"/>
            <w:tcBorders>
              <w:top w:val="nil"/>
              <w:left w:val="nil"/>
              <w:bottom w:val="single" w:sz="4" w:space="0" w:color="000000"/>
              <w:right w:val="single" w:sz="4" w:space="0" w:color="000000"/>
            </w:tcBorders>
            <w:shd w:val="clear" w:color="auto" w:fill="auto"/>
            <w:vAlign w:val="center"/>
            <w:hideMark/>
          </w:tcPr>
          <w:p w14:paraId="4B88D13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4.670,67</w:t>
            </w:r>
          </w:p>
        </w:tc>
        <w:tc>
          <w:tcPr>
            <w:tcW w:w="862" w:type="dxa"/>
            <w:tcBorders>
              <w:top w:val="nil"/>
              <w:left w:val="nil"/>
              <w:bottom w:val="single" w:sz="4" w:space="0" w:color="000000"/>
              <w:right w:val="single" w:sz="4" w:space="0" w:color="000000"/>
            </w:tcBorders>
            <w:shd w:val="clear" w:color="auto" w:fill="auto"/>
            <w:vAlign w:val="center"/>
            <w:hideMark/>
          </w:tcPr>
          <w:p w14:paraId="5ACFC41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-205,7</w:t>
            </w:r>
          </w:p>
        </w:tc>
        <w:tc>
          <w:tcPr>
            <w:tcW w:w="1064" w:type="dxa"/>
            <w:tcBorders>
              <w:top w:val="nil"/>
              <w:left w:val="nil"/>
              <w:bottom w:val="single" w:sz="4" w:space="0" w:color="000000"/>
              <w:right w:val="single" w:sz="4" w:space="0" w:color="000000"/>
            </w:tcBorders>
            <w:shd w:val="clear" w:color="auto" w:fill="auto"/>
            <w:vAlign w:val="center"/>
            <w:hideMark/>
          </w:tcPr>
          <w:p w14:paraId="6FA353C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4.536,28</w:t>
            </w:r>
          </w:p>
        </w:tc>
        <w:tc>
          <w:tcPr>
            <w:tcW w:w="1028" w:type="dxa"/>
            <w:tcBorders>
              <w:top w:val="nil"/>
              <w:left w:val="nil"/>
              <w:bottom w:val="single" w:sz="4" w:space="0" w:color="000000"/>
              <w:right w:val="single" w:sz="4" w:space="0" w:color="000000"/>
            </w:tcBorders>
            <w:shd w:val="clear" w:color="auto" w:fill="auto"/>
            <w:vAlign w:val="center"/>
            <w:hideMark/>
          </w:tcPr>
          <w:p w14:paraId="67D2629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-84,80</w:t>
            </w:r>
          </w:p>
        </w:tc>
        <w:tc>
          <w:tcPr>
            <w:tcW w:w="944" w:type="dxa"/>
            <w:tcBorders>
              <w:top w:val="nil"/>
              <w:left w:val="nil"/>
              <w:bottom w:val="single" w:sz="4" w:space="0" w:color="000000"/>
              <w:right w:val="single" w:sz="8" w:space="0" w:color="000000"/>
            </w:tcBorders>
            <w:shd w:val="clear" w:color="auto" w:fill="auto"/>
            <w:vAlign w:val="center"/>
            <w:hideMark/>
          </w:tcPr>
          <w:p w14:paraId="0D1E398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163,38</w:t>
            </w:r>
          </w:p>
        </w:tc>
      </w:tr>
      <w:tr w:rsidR="00EF4BC3" w:rsidRPr="009E5B39" w14:paraId="320F42F7"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FA7B35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114421</w:t>
            </w:r>
          </w:p>
        </w:tc>
        <w:tc>
          <w:tcPr>
            <w:tcW w:w="2268" w:type="dxa"/>
            <w:tcBorders>
              <w:top w:val="nil"/>
              <w:left w:val="nil"/>
              <w:bottom w:val="single" w:sz="4" w:space="0" w:color="000000"/>
              <w:right w:val="single" w:sz="4" w:space="0" w:color="000000"/>
            </w:tcBorders>
            <w:shd w:val="clear" w:color="auto" w:fill="auto"/>
            <w:vAlign w:val="center"/>
          </w:tcPr>
          <w:p w14:paraId="0F980B7E" w14:textId="4098C9F3"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6FD900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-462,37</w:t>
            </w:r>
          </w:p>
        </w:tc>
        <w:tc>
          <w:tcPr>
            <w:tcW w:w="944" w:type="dxa"/>
            <w:tcBorders>
              <w:top w:val="nil"/>
              <w:left w:val="nil"/>
              <w:bottom w:val="single" w:sz="4" w:space="0" w:color="000000"/>
              <w:right w:val="single" w:sz="4" w:space="0" w:color="000000"/>
            </w:tcBorders>
            <w:shd w:val="clear" w:color="auto" w:fill="auto"/>
            <w:vAlign w:val="center"/>
            <w:hideMark/>
          </w:tcPr>
          <w:p w14:paraId="588C342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34,95</w:t>
            </w:r>
          </w:p>
        </w:tc>
        <w:tc>
          <w:tcPr>
            <w:tcW w:w="1064" w:type="dxa"/>
            <w:tcBorders>
              <w:top w:val="nil"/>
              <w:left w:val="nil"/>
              <w:bottom w:val="single" w:sz="4" w:space="0" w:color="000000"/>
              <w:right w:val="single" w:sz="4" w:space="0" w:color="000000"/>
            </w:tcBorders>
            <w:shd w:val="clear" w:color="auto" w:fill="auto"/>
            <w:vAlign w:val="center"/>
            <w:hideMark/>
          </w:tcPr>
          <w:p w14:paraId="15BA094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794,14</w:t>
            </w:r>
          </w:p>
        </w:tc>
        <w:tc>
          <w:tcPr>
            <w:tcW w:w="862" w:type="dxa"/>
            <w:tcBorders>
              <w:top w:val="nil"/>
              <w:left w:val="nil"/>
              <w:bottom w:val="single" w:sz="4" w:space="0" w:color="000000"/>
              <w:right w:val="single" w:sz="4" w:space="0" w:color="000000"/>
            </w:tcBorders>
            <w:shd w:val="clear" w:color="auto" w:fill="auto"/>
            <w:vAlign w:val="center"/>
            <w:hideMark/>
          </w:tcPr>
          <w:p w14:paraId="1D01957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0,02</w:t>
            </w:r>
          </w:p>
        </w:tc>
        <w:tc>
          <w:tcPr>
            <w:tcW w:w="1064" w:type="dxa"/>
            <w:tcBorders>
              <w:top w:val="nil"/>
              <w:left w:val="nil"/>
              <w:bottom w:val="single" w:sz="4" w:space="0" w:color="000000"/>
              <w:right w:val="single" w:sz="4" w:space="0" w:color="000000"/>
            </w:tcBorders>
            <w:shd w:val="clear" w:color="auto" w:fill="auto"/>
            <w:vAlign w:val="center"/>
            <w:hideMark/>
          </w:tcPr>
          <w:p w14:paraId="60D0FA4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792,96</w:t>
            </w:r>
          </w:p>
        </w:tc>
        <w:tc>
          <w:tcPr>
            <w:tcW w:w="1028" w:type="dxa"/>
            <w:tcBorders>
              <w:top w:val="nil"/>
              <w:left w:val="nil"/>
              <w:bottom w:val="single" w:sz="4" w:space="0" w:color="000000"/>
              <w:right w:val="single" w:sz="4" w:space="0" w:color="000000"/>
            </w:tcBorders>
            <w:shd w:val="clear" w:color="auto" w:fill="auto"/>
            <w:vAlign w:val="center"/>
            <w:hideMark/>
          </w:tcPr>
          <w:p w14:paraId="4C1E917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-478,22</w:t>
            </w:r>
          </w:p>
        </w:tc>
        <w:tc>
          <w:tcPr>
            <w:tcW w:w="944" w:type="dxa"/>
            <w:tcBorders>
              <w:top w:val="nil"/>
              <w:left w:val="nil"/>
              <w:bottom w:val="single" w:sz="4" w:space="0" w:color="000000"/>
              <w:right w:val="single" w:sz="8" w:space="0" w:color="000000"/>
            </w:tcBorders>
            <w:shd w:val="clear" w:color="auto" w:fill="auto"/>
            <w:vAlign w:val="center"/>
            <w:hideMark/>
          </w:tcPr>
          <w:p w14:paraId="4BC079D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41,87</w:t>
            </w:r>
          </w:p>
        </w:tc>
      </w:tr>
      <w:tr w:rsidR="00EF4BC3" w:rsidRPr="009E5B39" w14:paraId="7456F86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E88BC0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114421</w:t>
            </w:r>
          </w:p>
        </w:tc>
        <w:tc>
          <w:tcPr>
            <w:tcW w:w="2268" w:type="dxa"/>
            <w:tcBorders>
              <w:top w:val="nil"/>
              <w:left w:val="nil"/>
              <w:bottom w:val="single" w:sz="4" w:space="0" w:color="000000"/>
              <w:right w:val="single" w:sz="4" w:space="0" w:color="000000"/>
            </w:tcBorders>
            <w:shd w:val="clear" w:color="auto" w:fill="auto"/>
            <w:vAlign w:val="center"/>
          </w:tcPr>
          <w:p w14:paraId="2EA0FD4E" w14:textId="40883E54"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12260B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-9,86</w:t>
            </w:r>
          </w:p>
        </w:tc>
        <w:tc>
          <w:tcPr>
            <w:tcW w:w="944" w:type="dxa"/>
            <w:tcBorders>
              <w:top w:val="nil"/>
              <w:left w:val="nil"/>
              <w:bottom w:val="single" w:sz="4" w:space="0" w:color="000000"/>
              <w:right w:val="single" w:sz="4" w:space="0" w:color="000000"/>
            </w:tcBorders>
            <w:shd w:val="clear" w:color="auto" w:fill="auto"/>
            <w:vAlign w:val="center"/>
            <w:hideMark/>
          </w:tcPr>
          <w:p w14:paraId="4EE636D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57,24</w:t>
            </w:r>
          </w:p>
        </w:tc>
        <w:tc>
          <w:tcPr>
            <w:tcW w:w="1064" w:type="dxa"/>
            <w:tcBorders>
              <w:top w:val="nil"/>
              <w:left w:val="nil"/>
              <w:bottom w:val="single" w:sz="4" w:space="0" w:color="000000"/>
              <w:right w:val="single" w:sz="4" w:space="0" w:color="000000"/>
            </w:tcBorders>
            <w:shd w:val="clear" w:color="auto" w:fill="auto"/>
            <w:vAlign w:val="center"/>
            <w:hideMark/>
          </w:tcPr>
          <w:p w14:paraId="70D2731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441,32</w:t>
            </w:r>
          </w:p>
        </w:tc>
        <w:tc>
          <w:tcPr>
            <w:tcW w:w="862" w:type="dxa"/>
            <w:tcBorders>
              <w:top w:val="nil"/>
              <w:left w:val="nil"/>
              <w:bottom w:val="single" w:sz="4" w:space="0" w:color="000000"/>
              <w:right w:val="single" w:sz="4" w:space="0" w:color="000000"/>
            </w:tcBorders>
            <w:shd w:val="clear" w:color="auto" w:fill="auto"/>
            <w:vAlign w:val="center"/>
            <w:hideMark/>
          </w:tcPr>
          <w:p w14:paraId="5496919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2F5C7CD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432,78</w:t>
            </w:r>
          </w:p>
        </w:tc>
        <w:tc>
          <w:tcPr>
            <w:tcW w:w="1028" w:type="dxa"/>
            <w:tcBorders>
              <w:top w:val="nil"/>
              <w:left w:val="nil"/>
              <w:bottom w:val="single" w:sz="4" w:space="0" w:color="000000"/>
              <w:right w:val="single" w:sz="4" w:space="0" w:color="000000"/>
            </w:tcBorders>
            <w:shd w:val="clear" w:color="auto" w:fill="auto"/>
            <w:vAlign w:val="center"/>
            <w:hideMark/>
          </w:tcPr>
          <w:p w14:paraId="0A2D166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-1,05</w:t>
            </w:r>
          </w:p>
        </w:tc>
        <w:tc>
          <w:tcPr>
            <w:tcW w:w="944" w:type="dxa"/>
            <w:tcBorders>
              <w:top w:val="nil"/>
              <w:left w:val="nil"/>
              <w:bottom w:val="single" w:sz="4" w:space="0" w:color="000000"/>
              <w:right w:val="single" w:sz="8" w:space="0" w:color="000000"/>
            </w:tcBorders>
            <w:shd w:val="clear" w:color="auto" w:fill="auto"/>
            <w:vAlign w:val="center"/>
            <w:hideMark/>
          </w:tcPr>
          <w:p w14:paraId="7EC2056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39,68</w:t>
            </w:r>
          </w:p>
        </w:tc>
      </w:tr>
      <w:tr w:rsidR="00EF4BC3" w:rsidRPr="009E5B39" w14:paraId="356FCB1E"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785083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114422</w:t>
            </w:r>
          </w:p>
        </w:tc>
        <w:tc>
          <w:tcPr>
            <w:tcW w:w="2268" w:type="dxa"/>
            <w:tcBorders>
              <w:top w:val="nil"/>
              <w:left w:val="nil"/>
              <w:bottom w:val="single" w:sz="4" w:space="0" w:color="000000"/>
              <w:right w:val="single" w:sz="4" w:space="0" w:color="000000"/>
            </w:tcBorders>
            <w:shd w:val="clear" w:color="auto" w:fill="auto"/>
            <w:vAlign w:val="center"/>
            <w:hideMark/>
          </w:tcPr>
          <w:p w14:paraId="5598529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balneară (11542)</w:t>
            </w:r>
          </w:p>
        </w:tc>
        <w:tc>
          <w:tcPr>
            <w:tcW w:w="992" w:type="dxa"/>
            <w:tcBorders>
              <w:top w:val="nil"/>
              <w:left w:val="nil"/>
              <w:bottom w:val="single" w:sz="4" w:space="0" w:color="000000"/>
              <w:right w:val="single" w:sz="4" w:space="0" w:color="000000"/>
            </w:tcBorders>
            <w:shd w:val="clear" w:color="auto" w:fill="auto"/>
            <w:vAlign w:val="center"/>
            <w:hideMark/>
          </w:tcPr>
          <w:p w14:paraId="4FA517F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w:t>
            </w:r>
          </w:p>
        </w:tc>
        <w:tc>
          <w:tcPr>
            <w:tcW w:w="944" w:type="dxa"/>
            <w:tcBorders>
              <w:top w:val="nil"/>
              <w:left w:val="nil"/>
              <w:bottom w:val="single" w:sz="4" w:space="0" w:color="000000"/>
              <w:right w:val="single" w:sz="4" w:space="0" w:color="000000"/>
            </w:tcBorders>
            <w:shd w:val="clear" w:color="auto" w:fill="auto"/>
            <w:vAlign w:val="center"/>
            <w:hideMark/>
          </w:tcPr>
          <w:p w14:paraId="0B951F8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0,03</w:t>
            </w:r>
          </w:p>
        </w:tc>
        <w:tc>
          <w:tcPr>
            <w:tcW w:w="1064" w:type="dxa"/>
            <w:tcBorders>
              <w:top w:val="nil"/>
              <w:left w:val="nil"/>
              <w:bottom w:val="single" w:sz="4" w:space="0" w:color="000000"/>
              <w:right w:val="single" w:sz="4" w:space="0" w:color="000000"/>
            </w:tcBorders>
            <w:shd w:val="clear" w:color="auto" w:fill="auto"/>
            <w:vAlign w:val="center"/>
            <w:hideMark/>
          </w:tcPr>
          <w:p w14:paraId="72E7F5E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1,54</w:t>
            </w:r>
          </w:p>
        </w:tc>
        <w:tc>
          <w:tcPr>
            <w:tcW w:w="862" w:type="dxa"/>
            <w:tcBorders>
              <w:top w:val="nil"/>
              <w:left w:val="nil"/>
              <w:bottom w:val="single" w:sz="4" w:space="0" w:color="000000"/>
              <w:right w:val="single" w:sz="4" w:space="0" w:color="000000"/>
            </w:tcBorders>
            <w:shd w:val="clear" w:color="auto" w:fill="auto"/>
            <w:vAlign w:val="center"/>
            <w:hideMark/>
          </w:tcPr>
          <w:p w14:paraId="47D19A0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F0EC2C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04541E8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-1,64</w:t>
            </w:r>
          </w:p>
        </w:tc>
        <w:tc>
          <w:tcPr>
            <w:tcW w:w="944" w:type="dxa"/>
            <w:tcBorders>
              <w:top w:val="nil"/>
              <w:left w:val="nil"/>
              <w:bottom w:val="single" w:sz="4" w:space="0" w:color="000000"/>
              <w:right w:val="single" w:sz="8" w:space="0" w:color="000000"/>
            </w:tcBorders>
            <w:shd w:val="clear" w:color="auto" w:fill="auto"/>
            <w:vAlign w:val="center"/>
            <w:hideMark/>
          </w:tcPr>
          <w:p w14:paraId="2A23AB4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0,03</w:t>
            </w:r>
          </w:p>
        </w:tc>
      </w:tr>
      <w:tr w:rsidR="00EF4BC3" w:rsidRPr="009E5B39" w14:paraId="0414E824"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CD01A7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114422</w:t>
            </w:r>
          </w:p>
        </w:tc>
        <w:tc>
          <w:tcPr>
            <w:tcW w:w="2268" w:type="dxa"/>
            <w:tcBorders>
              <w:top w:val="nil"/>
              <w:left w:val="nil"/>
              <w:bottom w:val="single" w:sz="4" w:space="0" w:color="000000"/>
              <w:right w:val="single" w:sz="4" w:space="0" w:color="000000"/>
            </w:tcBorders>
            <w:shd w:val="clear" w:color="auto" w:fill="auto"/>
            <w:vAlign w:val="center"/>
          </w:tcPr>
          <w:p w14:paraId="7692FAAC" w14:textId="45CBE831"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FA79D5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-0,096</w:t>
            </w:r>
          </w:p>
        </w:tc>
        <w:tc>
          <w:tcPr>
            <w:tcW w:w="944" w:type="dxa"/>
            <w:tcBorders>
              <w:top w:val="nil"/>
              <w:left w:val="nil"/>
              <w:bottom w:val="single" w:sz="4" w:space="0" w:color="000000"/>
              <w:right w:val="single" w:sz="4" w:space="0" w:color="000000"/>
            </w:tcBorders>
            <w:shd w:val="clear" w:color="auto" w:fill="auto"/>
            <w:vAlign w:val="center"/>
            <w:hideMark/>
          </w:tcPr>
          <w:p w14:paraId="5C4BA1A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C85E43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0,007</w:t>
            </w:r>
          </w:p>
        </w:tc>
        <w:tc>
          <w:tcPr>
            <w:tcW w:w="862" w:type="dxa"/>
            <w:tcBorders>
              <w:top w:val="nil"/>
              <w:left w:val="nil"/>
              <w:bottom w:val="single" w:sz="4" w:space="0" w:color="000000"/>
              <w:right w:val="single" w:sz="4" w:space="0" w:color="000000"/>
            </w:tcBorders>
            <w:shd w:val="clear" w:color="auto" w:fill="auto"/>
            <w:vAlign w:val="center"/>
            <w:hideMark/>
          </w:tcPr>
          <w:p w14:paraId="17916D6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11DA95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29F6EBB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-0,09</w:t>
            </w:r>
          </w:p>
        </w:tc>
        <w:tc>
          <w:tcPr>
            <w:tcW w:w="944" w:type="dxa"/>
            <w:tcBorders>
              <w:top w:val="nil"/>
              <w:left w:val="nil"/>
              <w:bottom w:val="single" w:sz="4" w:space="0" w:color="000000"/>
              <w:right w:val="single" w:sz="8" w:space="0" w:color="000000"/>
            </w:tcBorders>
            <w:shd w:val="clear" w:color="auto" w:fill="auto"/>
            <w:vAlign w:val="center"/>
            <w:hideMark/>
          </w:tcPr>
          <w:p w14:paraId="00BD954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1627E600"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11A5FA8"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114422</w:t>
            </w:r>
          </w:p>
        </w:tc>
        <w:tc>
          <w:tcPr>
            <w:tcW w:w="2268" w:type="dxa"/>
            <w:tcBorders>
              <w:top w:val="nil"/>
              <w:left w:val="nil"/>
              <w:bottom w:val="single" w:sz="4" w:space="0" w:color="000000"/>
              <w:right w:val="single" w:sz="4" w:space="0" w:color="000000"/>
            </w:tcBorders>
            <w:shd w:val="clear" w:color="auto" w:fill="auto"/>
            <w:vAlign w:val="center"/>
          </w:tcPr>
          <w:p w14:paraId="5BD4864E" w14:textId="3A978B2C"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033149D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-0,013</w:t>
            </w:r>
          </w:p>
        </w:tc>
        <w:tc>
          <w:tcPr>
            <w:tcW w:w="944" w:type="dxa"/>
            <w:tcBorders>
              <w:top w:val="nil"/>
              <w:left w:val="nil"/>
              <w:bottom w:val="single" w:sz="4" w:space="0" w:color="000000"/>
              <w:right w:val="single" w:sz="4" w:space="0" w:color="000000"/>
            </w:tcBorders>
            <w:shd w:val="clear" w:color="auto" w:fill="auto"/>
            <w:vAlign w:val="center"/>
            <w:hideMark/>
          </w:tcPr>
          <w:p w14:paraId="14E9D99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A4DBA6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42F4902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B4C063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6E97F73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-0,01</w:t>
            </w:r>
          </w:p>
        </w:tc>
        <w:tc>
          <w:tcPr>
            <w:tcW w:w="944" w:type="dxa"/>
            <w:tcBorders>
              <w:top w:val="nil"/>
              <w:left w:val="nil"/>
              <w:bottom w:val="single" w:sz="4" w:space="0" w:color="000000"/>
              <w:right w:val="single" w:sz="8" w:space="0" w:color="000000"/>
            </w:tcBorders>
            <w:shd w:val="clear" w:color="auto" w:fill="auto"/>
            <w:vAlign w:val="center"/>
            <w:hideMark/>
          </w:tcPr>
          <w:p w14:paraId="56F528B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3DE09E69"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3AF489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114423</w:t>
            </w:r>
          </w:p>
        </w:tc>
        <w:tc>
          <w:tcPr>
            <w:tcW w:w="2268" w:type="dxa"/>
            <w:tcBorders>
              <w:top w:val="nil"/>
              <w:left w:val="nil"/>
              <w:bottom w:val="single" w:sz="4" w:space="0" w:color="000000"/>
              <w:right w:val="single" w:sz="4" w:space="0" w:color="000000"/>
            </w:tcBorders>
            <w:shd w:val="clear" w:color="auto" w:fill="auto"/>
            <w:vAlign w:val="center"/>
            <w:hideMark/>
          </w:tcPr>
          <w:p w14:paraId="4680CAB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aplicarea simbolicii locale (12232)</w:t>
            </w:r>
          </w:p>
        </w:tc>
        <w:tc>
          <w:tcPr>
            <w:tcW w:w="992" w:type="dxa"/>
            <w:tcBorders>
              <w:top w:val="nil"/>
              <w:left w:val="nil"/>
              <w:bottom w:val="single" w:sz="4" w:space="0" w:color="000000"/>
              <w:right w:val="single" w:sz="4" w:space="0" w:color="000000"/>
            </w:tcBorders>
            <w:shd w:val="clear" w:color="auto" w:fill="auto"/>
            <w:vAlign w:val="center"/>
            <w:hideMark/>
          </w:tcPr>
          <w:p w14:paraId="55ED534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-12,45</w:t>
            </w:r>
          </w:p>
        </w:tc>
        <w:tc>
          <w:tcPr>
            <w:tcW w:w="944" w:type="dxa"/>
            <w:tcBorders>
              <w:top w:val="nil"/>
              <w:left w:val="nil"/>
              <w:bottom w:val="single" w:sz="4" w:space="0" w:color="000000"/>
              <w:right w:val="single" w:sz="4" w:space="0" w:color="000000"/>
            </w:tcBorders>
            <w:shd w:val="clear" w:color="auto" w:fill="auto"/>
            <w:vAlign w:val="center"/>
            <w:hideMark/>
          </w:tcPr>
          <w:p w14:paraId="0CA0964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20,03</w:t>
            </w:r>
          </w:p>
        </w:tc>
        <w:tc>
          <w:tcPr>
            <w:tcW w:w="1064" w:type="dxa"/>
            <w:tcBorders>
              <w:top w:val="nil"/>
              <w:left w:val="nil"/>
              <w:bottom w:val="single" w:sz="4" w:space="0" w:color="000000"/>
              <w:right w:val="single" w:sz="4" w:space="0" w:color="000000"/>
            </w:tcBorders>
            <w:shd w:val="clear" w:color="auto" w:fill="auto"/>
            <w:vAlign w:val="center"/>
            <w:hideMark/>
          </w:tcPr>
          <w:p w14:paraId="07B0C55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673,1</w:t>
            </w:r>
          </w:p>
        </w:tc>
        <w:tc>
          <w:tcPr>
            <w:tcW w:w="862" w:type="dxa"/>
            <w:tcBorders>
              <w:top w:val="nil"/>
              <w:left w:val="nil"/>
              <w:bottom w:val="single" w:sz="4" w:space="0" w:color="000000"/>
              <w:right w:val="single" w:sz="4" w:space="0" w:color="000000"/>
            </w:tcBorders>
            <w:shd w:val="clear" w:color="auto" w:fill="auto"/>
            <w:vAlign w:val="center"/>
            <w:hideMark/>
          </w:tcPr>
          <w:p w14:paraId="238FFF1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-2,68</w:t>
            </w:r>
          </w:p>
        </w:tc>
        <w:tc>
          <w:tcPr>
            <w:tcW w:w="1064" w:type="dxa"/>
            <w:tcBorders>
              <w:top w:val="nil"/>
              <w:left w:val="nil"/>
              <w:bottom w:val="single" w:sz="4" w:space="0" w:color="000000"/>
              <w:right w:val="single" w:sz="4" w:space="0" w:color="000000"/>
            </w:tcBorders>
            <w:shd w:val="clear" w:color="auto" w:fill="auto"/>
            <w:vAlign w:val="center"/>
            <w:hideMark/>
          </w:tcPr>
          <w:p w14:paraId="6638DBD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654,56</w:t>
            </w:r>
          </w:p>
        </w:tc>
        <w:tc>
          <w:tcPr>
            <w:tcW w:w="1028" w:type="dxa"/>
            <w:tcBorders>
              <w:top w:val="nil"/>
              <w:left w:val="nil"/>
              <w:bottom w:val="single" w:sz="4" w:space="0" w:color="000000"/>
              <w:right w:val="single" w:sz="4" w:space="0" w:color="000000"/>
            </w:tcBorders>
            <w:shd w:val="clear" w:color="auto" w:fill="auto"/>
            <w:vAlign w:val="center"/>
            <w:hideMark/>
          </w:tcPr>
          <w:p w14:paraId="2E565E1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-20,29</w:t>
            </w:r>
          </w:p>
        </w:tc>
        <w:tc>
          <w:tcPr>
            <w:tcW w:w="944" w:type="dxa"/>
            <w:tcBorders>
              <w:top w:val="nil"/>
              <w:left w:val="nil"/>
              <w:bottom w:val="single" w:sz="4" w:space="0" w:color="000000"/>
              <w:right w:val="single" w:sz="8" w:space="0" w:color="000000"/>
            </w:tcBorders>
            <w:shd w:val="clear" w:color="auto" w:fill="auto"/>
            <w:vAlign w:val="center"/>
            <w:hideMark/>
          </w:tcPr>
          <w:p w14:paraId="426528F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16,98</w:t>
            </w:r>
          </w:p>
        </w:tc>
      </w:tr>
      <w:tr w:rsidR="00EF4BC3" w:rsidRPr="009E5B39" w14:paraId="2E3A346F"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D29FB7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114423</w:t>
            </w:r>
          </w:p>
        </w:tc>
        <w:tc>
          <w:tcPr>
            <w:tcW w:w="2268" w:type="dxa"/>
            <w:tcBorders>
              <w:top w:val="nil"/>
              <w:left w:val="nil"/>
              <w:bottom w:val="single" w:sz="4" w:space="0" w:color="000000"/>
              <w:right w:val="single" w:sz="4" w:space="0" w:color="000000"/>
            </w:tcBorders>
            <w:shd w:val="clear" w:color="auto" w:fill="auto"/>
            <w:vAlign w:val="center"/>
          </w:tcPr>
          <w:p w14:paraId="7EA0A51F" w14:textId="62C2FBFC"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3EB8C9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-3,93</w:t>
            </w:r>
          </w:p>
        </w:tc>
        <w:tc>
          <w:tcPr>
            <w:tcW w:w="944" w:type="dxa"/>
            <w:tcBorders>
              <w:top w:val="nil"/>
              <w:left w:val="nil"/>
              <w:bottom w:val="single" w:sz="4" w:space="0" w:color="000000"/>
              <w:right w:val="single" w:sz="4" w:space="0" w:color="000000"/>
            </w:tcBorders>
            <w:shd w:val="clear" w:color="auto" w:fill="auto"/>
            <w:vAlign w:val="center"/>
            <w:hideMark/>
          </w:tcPr>
          <w:p w14:paraId="2E7CB60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4,40</w:t>
            </w:r>
          </w:p>
        </w:tc>
        <w:tc>
          <w:tcPr>
            <w:tcW w:w="1064" w:type="dxa"/>
            <w:tcBorders>
              <w:top w:val="nil"/>
              <w:left w:val="nil"/>
              <w:bottom w:val="single" w:sz="4" w:space="0" w:color="000000"/>
              <w:right w:val="single" w:sz="4" w:space="0" w:color="000000"/>
            </w:tcBorders>
            <w:shd w:val="clear" w:color="auto" w:fill="auto"/>
            <w:vAlign w:val="center"/>
            <w:hideMark/>
          </w:tcPr>
          <w:p w14:paraId="0160D1B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9,72</w:t>
            </w:r>
          </w:p>
        </w:tc>
        <w:tc>
          <w:tcPr>
            <w:tcW w:w="862" w:type="dxa"/>
            <w:tcBorders>
              <w:top w:val="nil"/>
              <w:left w:val="nil"/>
              <w:bottom w:val="single" w:sz="4" w:space="0" w:color="000000"/>
              <w:right w:val="single" w:sz="4" w:space="0" w:color="000000"/>
            </w:tcBorders>
            <w:shd w:val="clear" w:color="auto" w:fill="auto"/>
            <w:vAlign w:val="center"/>
            <w:hideMark/>
          </w:tcPr>
          <w:p w14:paraId="7A5912E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637B43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19,63</w:t>
            </w:r>
          </w:p>
        </w:tc>
        <w:tc>
          <w:tcPr>
            <w:tcW w:w="1028" w:type="dxa"/>
            <w:tcBorders>
              <w:top w:val="nil"/>
              <w:left w:val="nil"/>
              <w:bottom w:val="single" w:sz="4" w:space="0" w:color="000000"/>
              <w:right w:val="single" w:sz="4" w:space="0" w:color="000000"/>
            </w:tcBorders>
            <w:shd w:val="clear" w:color="auto" w:fill="auto"/>
            <w:vAlign w:val="center"/>
            <w:hideMark/>
          </w:tcPr>
          <w:p w14:paraId="620A58B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-0,45</w:t>
            </w:r>
          </w:p>
        </w:tc>
        <w:tc>
          <w:tcPr>
            <w:tcW w:w="944" w:type="dxa"/>
            <w:tcBorders>
              <w:top w:val="nil"/>
              <w:left w:val="nil"/>
              <w:bottom w:val="single" w:sz="4" w:space="0" w:color="000000"/>
              <w:right w:val="single" w:sz="8" w:space="0" w:color="000000"/>
            </w:tcBorders>
            <w:shd w:val="clear" w:color="auto" w:fill="auto"/>
            <w:vAlign w:val="center"/>
            <w:hideMark/>
          </w:tcPr>
          <w:p w14:paraId="41F9FBB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14,24</w:t>
            </w:r>
          </w:p>
        </w:tc>
      </w:tr>
      <w:tr w:rsidR="00EF4BC3" w:rsidRPr="009E5B39" w14:paraId="7AF72826"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9FA4C7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114423</w:t>
            </w:r>
          </w:p>
        </w:tc>
        <w:tc>
          <w:tcPr>
            <w:tcW w:w="2268" w:type="dxa"/>
            <w:tcBorders>
              <w:top w:val="nil"/>
              <w:left w:val="nil"/>
              <w:bottom w:val="single" w:sz="4" w:space="0" w:color="000000"/>
              <w:right w:val="single" w:sz="4" w:space="0" w:color="000000"/>
            </w:tcBorders>
            <w:shd w:val="clear" w:color="auto" w:fill="auto"/>
            <w:vAlign w:val="center"/>
          </w:tcPr>
          <w:p w14:paraId="6253FEF1" w14:textId="6D49ED0D"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B68469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-0,33</w:t>
            </w:r>
          </w:p>
        </w:tc>
        <w:tc>
          <w:tcPr>
            <w:tcW w:w="944" w:type="dxa"/>
            <w:tcBorders>
              <w:top w:val="nil"/>
              <w:left w:val="nil"/>
              <w:bottom w:val="single" w:sz="4" w:space="0" w:color="000000"/>
              <w:right w:val="single" w:sz="4" w:space="0" w:color="000000"/>
            </w:tcBorders>
            <w:shd w:val="clear" w:color="auto" w:fill="auto"/>
            <w:vAlign w:val="center"/>
            <w:hideMark/>
          </w:tcPr>
          <w:p w14:paraId="7A69871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2,70</w:t>
            </w:r>
          </w:p>
        </w:tc>
        <w:tc>
          <w:tcPr>
            <w:tcW w:w="1064" w:type="dxa"/>
            <w:tcBorders>
              <w:top w:val="nil"/>
              <w:left w:val="nil"/>
              <w:bottom w:val="single" w:sz="4" w:space="0" w:color="000000"/>
              <w:right w:val="single" w:sz="4" w:space="0" w:color="000000"/>
            </w:tcBorders>
            <w:shd w:val="clear" w:color="auto" w:fill="auto"/>
            <w:vAlign w:val="center"/>
            <w:hideMark/>
          </w:tcPr>
          <w:p w14:paraId="3D7074F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62,84</w:t>
            </w:r>
          </w:p>
        </w:tc>
        <w:tc>
          <w:tcPr>
            <w:tcW w:w="862" w:type="dxa"/>
            <w:tcBorders>
              <w:top w:val="nil"/>
              <w:left w:val="nil"/>
              <w:bottom w:val="single" w:sz="4" w:space="0" w:color="000000"/>
              <w:right w:val="single" w:sz="4" w:space="0" w:color="000000"/>
            </w:tcBorders>
            <w:shd w:val="clear" w:color="auto" w:fill="auto"/>
            <w:vAlign w:val="center"/>
            <w:hideMark/>
          </w:tcPr>
          <w:p w14:paraId="1E43177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EE923B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61,87</w:t>
            </w:r>
          </w:p>
        </w:tc>
        <w:tc>
          <w:tcPr>
            <w:tcW w:w="1028" w:type="dxa"/>
            <w:tcBorders>
              <w:top w:val="nil"/>
              <w:left w:val="nil"/>
              <w:bottom w:val="single" w:sz="4" w:space="0" w:color="000000"/>
              <w:right w:val="single" w:sz="4" w:space="0" w:color="000000"/>
            </w:tcBorders>
            <w:shd w:val="clear" w:color="auto" w:fill="auto"/>
            <w:vAlign w:val="center"/>
            <w:hideMark/>
          </w:tcPr>
          <w:p w14:paraId="210C601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-0,03</w:t>
            </w:r>
          </w:p>
        </w:tc>
        <w:tc>
          <w:tcPr>
            <w:tcW w:w="944" w:type="dxa"/>
            <w:tcBorders>
              <w:top w:val="nil"/>
              <w:left w:val="nil"/>
              <w:bottom w:val="single" w:sz="4" w:space="0" w:color="000000"/>
              <w:right w:val="single" w:sz="8" w:space="0" w:color="000000"/>
            </w:tcBorders>
            <w:shd w:val="clear" w:color="auto" w:fill="auto"/>
            <w:vAlign w:val="center"/>
            <w:hideMark/>
          </w:tcPr>
          <w:p w14:paraId="72CE9A0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1,73</w:t>
            </w:r>
          </w:p>
        </w:tc>
      </w:tr>
      <w:tr w:rsidR="00EF4BC3" w:rsidRPr="009E5B39" w14:paraId="0DCBD801"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6CC298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114423</w:t>
            </w:r>
          </w:p>
        </w:tc>
        <w:tc>
          <w:tcPr>
            <w:tcW w:w="2268" w:type="dxa"/>
            <w:tcBorders>
              <w:top w:val="nil"/>
              <w:left w:val="nil"/>
              <w:bottom w:val="single" w:sz="4" w:space="0" w:color="000000"/>
              <w:right w:val="single" w:sz="4" w:space="0" w:color="000000"/>
            </w:tcBorders>
            <w:shd w:val="clear" w:color="auto" w:fill="auto"/>
            <w:vAlign w:val="center"/>
          </w:tcPr>
          <w:p w14:paraId="1161CCEE" w14:textId="48180B40"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FFF727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-3,58</w:t>
            </w:r>
          </w:p>
        </w:tc>
        <w:tc>
          <w:tcPr>
            <w:tcW w:w="944" w:type="dxa"/>
            <w:tcBorders>
              <w:top w:val="nil"/>
              <w:left w:val="nil"/>
              <w:bottom w:val="single" w:sz="4" w:space="0" w:color="000000"/>
              <w:right w:val="single" w:sz="4" w:space="0" w:color="000000"/>
            </w:tcBorders>
            <w:shd w:val="clear" w:color="auto" w:fill="auto"/>
            <w:vAlign w:val="center"/>
            <w:hideMark/>
          </w:tcPr>
          <w:p w14:paraId="35D64AC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3,05</w:t>
            </w:r>
          </w:p>
        </w:tc>
        <w:tc>
          <w:tcPr>
            <w:tcW w:w="1064" w:type="dxa"/>
            <w:tcBorders>
              <w:top w:val="nil"/>
              <w:left w:val="nil"/>
              <w:bottom w:val="single" w:sz="4" w:space="0" w:color="000000"/>
              <w:right w:val="single" w:sz="4" w:space="0" w:color="000000"/>
            </w:tcBorders>
            <w:shd w:val="clear" w:color="auto" w:fill="auto"/>
            <w:vAlign w:val="center"/>
            <w:hideMark/>
          </w:tcPr>
          <w:p w14:paraId="79001D6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0,004</w:t>
            </w:r>
          </w:p>
        </w:tc>
        <w:tc>
          <w:tcPr>
            <w:tcW w:w="862" w:type="dxa"/>
            <w:tcBorders>
              <w:top w:val="nil"/>
              <w:left w:val="nil"/>
              <w:bottom w:val="single" w:sz="4" w:space="0" w:color="000000"/>
              <w:right w:val="single" w:sz="4" w:space="0" w:color="000000"/>
            </w:tcBorders>
            <w:shd w:val="clear" w:color="auto" w:fill="auto"/>
            <w:vAlign w:val="center"/>
            <w:hideMark/>
          </w:tcPr>
          <w:p w14:paraId="147488C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5AF1EA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0,24</w:t>
            </w:r>
          </w:p>
        </w:tc>
        <w:tc>
          <w:tcPr>
            <w:tcW w:w="1028" w:type="dxa"/>
            <w:tcBorders>
              <w:top w:val="nil"/>
              <w:left w:val="nil"/>
              <w:bottom w:val="single" w:sz="4" w:space="0" w:color="000000"/>
              <w:right w:val="single" w:sz="4" w:space="0" w:color="000000"/>
            </w:tcBorders>
            <w:shd w:val="clear" w:color="auto" w:fill="auto"/>
            <w:vAlign w:val="center"/>
            <w:hideMark/>
          </w:tcPr>
          <w:p w14:paraId="3A3855B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-1,61</w:t>
            </w:r>
          </w:p>
        </w:tc>
        <w:tc>
          <w:tcPr>
            <w:tcW w:w="944" w:type="dxa"/>
            <w:tcBorders>
              <w:top w:val="nil"/>
              <w:left w:val="nil"/>
              <w:bottom w:val="single" w:sz="4" w:space="0" w:color="000000"/>
              <w:right w:val="single" w:sz="8" w:space="0" w:color="000000"/>
            </w:tcBorders>
            <w:shd w:val="clear" w:color="auto" w:fill="auto"/>
            <w:vAlign w:val="center"/>
            <w:hideMark/>
          </w:tcPr>
          <w:p w14:paraId="1E3C63C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1,32</w:t>
            </w:r>
          </w:p>
        </w:tc>
      </w:tr>
      <w:tr w:rsidR="00EF4BC3" w:rsidRPr="009E5B39" w14:paraId="4DD7EA22"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02A5FA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114426</w:t>
            </w:r>
          </w:p>
        </w:tc>
        <w:tc>
          <w:tcPr>
            <w:tcW w:w="2268" w:type="dxa"/>
            <w:tcBorders>
              <w:top w:val="nil"/>
              <w:left w:val="nil"/>
              <w:bottom w:val="single" w:sz="4" w:space="0" w:color="000000"/>
              <w:right w:val="single" w:sz="4" w:space="0" w:color="000000"/>
            </w:tcBorders>
            <w:shd w:val="clear" w:color="auto" w:fill="auto"/>
            <w:vAlign w:val="center"/>
            <w:hideMark/>
          </w:tcPr>
          <w:p w14:paraId="54A35EFB"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salubrizare (12268)</w:t>
            </w:r>
          </w:p>
        </w:tc>
        <w:tc>
          <w:tcPr>
            <w:tcW w:w="992" w:type="dxa"/>
            <w:tcBorders>
              <w:top w:val="nil"/>
              <w:left w:val="nil"/>
              <w:bottom w:val="single" w:sz="4" w:space="0" w:color="000000"/>
              <w:right w:val="single" w:sz="4" w:space="0" w:color="000000"/>
            </w:tcBorders>
            <w:shd w:val="clear" w:color="auto" w:fill="auto"/>
            <w:vAlign w:val="center"/>
            <w:hideMark/>
          </w:tcPr>
          <w:p w14:paraId="1A7FA59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2DFF721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BC96C1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0,09</w:t>
            </w:r>
          </w:p>
        </w:tc>
        <w:tc>
          <w:tcPr>
            <w:tcW w:w="862" w:type="dxa"/>
            <w:tcBorders>
              <w:top w:val="nil"/>
              <w:left w:val="nil"/>
              <w:bottom w:val="single" w:sz="4" w:space="0" w:color="000000"/>
              <w:right w:val="single" w:sz="4" w:space="0" w:color="000000"/>
            </w:tcBorders>
            <w:shd w:val="clear" w:color="auto" w:fill="auto"/>
            <w:vAlign w:val="center"/>
            <w:hideMark/>
          </w:tcPr>
          <w:p w14:paraId="3945B3D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0,77</w:t>
            </w:r>
          </w:p>
        </w:tc>
        <w:tc>
          <w:tcPr>
            <w:tcW w:w="1064" w:type="dxa"/>
            <w:tcBorders>
              <w:top w:val="nil"/>
              <w:left w:val="nil"/>
              <w:bottom w:val="single" w:sz="4" w:space="0" w:color="000000"/>
              <w:right w:val="single" w:sz="4" w:space="0" w:color="000000"/>
            </w:tcBorders>
            <w:shd w:val="clear" w:color="auto" w:fill="auto"/>
            <w:vAlign w:val="center"/>
            <w:hideMark/>
          </w:tcPr>
          <w:p w14:paraId="4210D2A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0,02</w:t>
            </w:r>
          </w:p>
        </w:tc>
        <w:tc>
          <w:tcPr>
            <w:tcW w:w="1028" w:type="dxa"/>
            <w:tcBorders>
              <w:top w:val="nil"/>
              <w:left w:val="nil"/>
              <w:bottom w:val="single" w:sz="4" w:space="0" w:color="000000"/>
              <w:right w:val="single" w:sz="4" w:space="0" w:color="000000"/>
            </w:tcBorders>
            <w:shd w:val="clear" w:color="auto" w:fill="auto"/>
            <w:vAlign w:val="center"/>
            <w:hideMark/>
          </w:tcPr>
          <w:p w14:paraId="1A6E86E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-0,87</w:t>
            </w:r>
          </w:p>
        </w:tc>
        <w:tc>
          <w:tcPr>
            <w:tcW w:w="944" w:type="dxa"/>
            <w:tcBorders>
              <w:top w:val="nil"/>
              <w:left w:val="nil"/>
              <w:bottom w:val="single" w:sz="4" w:space="0" w:color="000000"/>
              <w:right w:val="single" w:sz="8" w:space="0" w:color="000000"/>
            </w:tcBorders>
            <w:shd w:val="clear" w:color="auto" w:fill="auto"/>
            <w:vAlign w:val="center"/>
            <w:hideMark/>
          </w:tcPr>
          <w:p w14:paraId="1D39CF7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0,02</w:t>
            </w:r>
          </w:p>
        </w:tc>
      </w:tr>
      <w:tr w:rsidR="00EF4BC3" w:rsidRPr="009E5B39" w14:paraId="0F29A0E6"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F3DEA2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114426</w:t>
            </w:r>
          </w:p>
        </w:tc>
        <w:tc>
          <w:tcPr>
            <w:tcW w:w="2268" w:type="dxa"/>
            <w:tcBorders>
              <w:top w:val="nil"/>
              <w:left w:val="nil"/>
              <w:bottom w:val="single" w:sz="4" w:space="0" w:color="000000"/>
              <w:right w:val="single" w:sz="4" w:space="0" w:color="000000"/>
            </w:tcBorders>
            <w:shd w:val="clear" w:color="auto" w:fill="auto"/>
            <w:vAlign w:val="center"/>
          </w:tcPr>
          <w:p w14:paraId="354C9ECE" w14:textId="5D747615"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77506F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3F9A4D6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D97A64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0,099</w:t>
            </w:r>
          </w:p>
        </w:tc>
        <w:tc>
          <w:tcPr>
            <w:tcW w:w="862" w:type="dxa"/>
            <w:tcBorders>
              <w:top w:val="nil"/>
              <w:left w:val="nil"/>
              <w:bottom w:val="single" w:sz="4" w:space="0" w:color="000000"/>
              <w:right w:val="single" w:sz="4" w:space="0" w:color="000000"/>
            </w:tcBorders>
            <w:shd w:val="clear" w:color="auto" w:fill="auto"/>
            <w:vAlign w:val="center"/>
            <w:hideMark/>
          </w:tcPr>
          <w:p w14:paraId="5DD1FCE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0,72</w:t>
            </w:r>
          </w:p>
        </w:tc>
        <w:tc>
          <w:tcPr>
            <w:tcW w:w="1064" w:type="dxa"/>
            <w:tcBorders>
              <w:top w:val="nil"/>
              <w:left w:val="nil"/>
              <w:bottom w:val="single" w:sz="4" w:space="0" w:color="000000"/>
              <w:right w:val="single" w:sz="4" w:space="0" w:color="000000"/>
            </w:tcBorders>
            <w:shd w:val="clear" w:color="auto" w:fill="auto"/>
            <w:vAlign w:val="center"/>
            <w:hideMark/>
          </w:tcPr>
          <w:p w14:paraId="5BE01C5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0,03</w:t>
            </w:r>
          </w:p>
        </w:tc>
        <w:tc>
          <w:tcPr>
            <w:tcW w:w="1028" w:type="dxa"/>
            <w:tcBorders>
              <w:top w:val="nil"/>
              <w:left w:val="nil"/>
              <w:bottom w:val="single" w:sz="4" w:space="0" w:color="000000"/>
              <w:right w:val="single" w:sz="4" w:space="0" w:color="000000"/>
            </w:tcBorders>
            <w:shd w:val="clear" w:color="auto" w:fill="auto"/>
            <w:vAlign w:val="center"/>
            <w:hideMark/>
          </w:tcPr>
          <w:p w14:paraId="3FABD0B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-0,82</w:t>
            </w:r>
          </w:p>
        </w:tc>
        <w:tc>
          <w:tcPr>
            <w:tcW w:w="944" w:type="dxa"/>
            <w:tcBorders>
              <w:top w:val="nil"/>
              <w:left w:val="nil"/>
              <w:bottom w:val="single" w:sz="4" w:space="0" w:color="000000"/>
              <w:right w:val="single" w:sz="8" w:space="0" w:color="000000"/>
            </w:tcBorders>
            <w:shd w:val="clear" w:color="auto" w:fill="auto"/>
            <w:vAlign w:val="center"/>
            <w:hideMark/>
          </w:tcPr>
          <w:p w14:paraId="3D73665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0,03</w:t>
            </w:r>
          </w:p>
        </w:tc>
      </w:tr>
      <w:tr w:rsidR="00EF4BC3" w:rsidRPr="009E5B39" w14:paraId="6735C3AD"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B0E5F1C"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114426</w:t>
            </w:r>
          </w:p>
        </w:tc>
        <w:tc>
          <w:tcPr>
            <w:tcW w:w="2268" w:type="dxa"/>
            <w:tcBorders>
              <w:top w:val="nil"/>
              <w:left w:val="nil"/>
              <w:bottom w:val="single" w:sz="4" w:space="0" w:color="000000"/>
              <w:right w:val="single" w:sz="4" w:space="0" w:color="000000"/>
            </w:tcBorders>
            <w:shd w:val="clear" w:color="auto" w:fill="auto"/>
            <w:vAlign w:val="center"/>
          </w:tcPr>
          <w:p w14:paraId="0163A0EC" w14:textId="57E2E9AE"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62138D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238EE91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C914A9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0,04</w:t>
            </w:r>
          </w:p>
        </w:tc>
        <w:tc>
          <w:tcPr>
            <w:tcW w:w="862" w:type="dxa"/>
            <w:tcBorders>
              <w:top w:val="nil"/>
              <w:left w:val="nil"/>
              <w:bottom w:val="single" w:sz="4" w:space="0" w:color="000000"/>
              <w:right w:val="single" w:sz="4" w:space="0" w:color="000000"/>
            </w:tcBorders>
            <w:shd w:val="clear" w:color="auto" w:fill="auto"/>
            <w:vAlign w:val="center"/>
            <w:hideMark/>
          </w:tcPr>
          <w:p w14:paraId="2CE7228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0,32</w:t>
            </w:r>
          </w:p>
        </w:tc>
        <w:tc>
          <w:tcPr>
            <w:tcW w:w="1064" w:type="dxa"/>
            <w:tcBorders>
              <w:top w:val="nil"/>
              <w:left w:val="nil"/>
              <w:bottom w:val="single" w:sz="4" w:space="0" w:color="000000"/>
              <w:right w:val="single" w:sz="4" w:space="0" w:color="000000"/>
            </w:tcBorders>
            <w:shd w:val="clear" w:color="auto" w:fill="auto"/>
            <w:vAlign w:val="center"/>
            <w:hideMark/>
          </w:tcPr>
          <w:p w14:paraId="3A254EB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4448C37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-0,37</w:t>
            </w:r>
          </w:p>
        </w:tc>
        <w:tc>
          <w:tcPr>
            <w:tcW w:w="944" w:type="dxa"/>
            <w:tcBorders>
              <w:top w:val="nil"/>
              <w:left w:val="nil"/>
              <w:bottom w:val="single" w:sz="4" w:space="0" w:color="000000"/>
              <w:right w:val="single" w:sz="8" w:space="0" w:color="000000"/>
            </w:tcBorders>
            <w:shd w:val="clear" w:color="auto" w:fill="auto"/>
            <w:vAlign w:val="center"/>
            <w:hideMark/>
          </w:tcPr>
          <w:p w14:paraId="367FFDB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187F41D6"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4A0AE6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114426</w:t>
            </w:r>
          </w:p>
        </w:tc>
        <w:tc>
          <w:tcPr>
            <w:tcW w:w="2268" w:type="dxa"/>
            <w:tcBorders>
              <w:top w:val="nil"/>
              <w:left w:val="nil"/>
              <w:bottom w:val="single" w:sz="4" w:space="0" w:color="000000"/>
              <w:right w:val="single" w:sz="4" w:space="0" w:color="000000"/>
            </w:tcBorders>
            <w:shd w:val="clear" w:color="auto" w:fill="auto"/>
            <w:vAlign w:val="center"/>
          </w:tcPr>
          <w:p w14:paraId="734F3DC4" w14:textId="372BA130"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20189A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500BAD4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B0276A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0,02</w:t>
            </w:r>
          </w:p>
        </w:tc>
        <w:tc>
          <w:tcPr>
            <w:tcW w:w="862" w:type="dxa"/>
            <w:tcBorders>
              <w:top w:val="nil"/>
              <w:left w:val="nil"/>
              <w:bottom w:val="single" w:sz="4" w:space="0" w:color="000000"/>
              <w:right w:val="single" w:sz="4" w:space="0" w:color="000000"/>
            </w:tcBorders>
            <w:shd w:val="clear" w:color="auto" w:fill="auto"/>
            <w:vAlign w:val="center"/>
            <w:hideMark/>
          </w:tcPr>
          <w:p w14:paraId="588F791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0,14</w:t>
            </w:r>
          </w:p>
        </w:tc>
        <w:tc>
          <w:tcPr>
            <w:tcW w:w="1064" w:type="dxa"/>
            <w:tcBorders>
              <w:top w:val="nil"/>
              <w:left w:val="nil"/>
              <w:bottom w:val="single" w:sz="4" w:space="0" w:color="000000"/>
              <w:right w:val="single" w:sz="4" w:space="0" w:color="000000"/>
            </w:tcBorders>
            <w:shd w:val="clear" w:color="auto" w:fill="auto"/>
            <w:vAlign w:val="center"/>
            <w:hideMark/>
          </w:tcPr>
          <w:p w14:paraId="1324D0F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0,06</w:t>
            </w:r>
          </w:p>
        </w:tc>
        <w:tc>
          <w:tcPr>
            <w:tcW w:w="1028" w:type="dxa"/>
            <w:tcBorders>
              <w:top w:val="nil"/>
              <w:left w:val="nil"/>
              <w:bottom w:val="single" w:sz="4" w:space="0" w:color="000000"/>
              <w:right w:val="single" w:sz="4" w:space="0" w:color="000000"/>
            </w:tcBorders>
            <w:shd w:val="clear" w:color="auto" w:fill="auto"/>
            <w:vAlign w:val="center"/>
            <w:hideMark/>
          </w:tcPr>
          <w:p w14:paraId="0670EE9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-0,15</w:t>
            </w:r>
          </w:p>
        </w:tc>
        <w:tc>
          <w:tcPr>
            <w:tcW w:w="944" w:type="dxa"/>
            <w:tcBorders>
              <w:top w:val="nil"/>
              <w:left w:val="nil"/>
              <w:bottom w:val="single" w:sz="4" w:space="0" w:color="000000"/>
              <w:right w:val="single" w:sz="8" w:space="0" w:color="000000"/>
            </w:tcBorders>
            <w:shd w:val="clear" w:color="auto" w:fill="auto"/>
            <w:vAlign w:val="center"/>
            <w:hideMark/>
          </w:tcPr>
          <w:p w14:paraId="357D06E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0,06</w:t>
            </w:r>
          </w:p>
        </w:tc>
      </w:tr>
      <w:tr w:rsidR="00EF4BC3" w:rsidRPr="009E5B39" w14:paraId="2FE9A534"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50D67C3"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114522</w:t>
            </w:r>
          </w:p>
        </w:tc>
        <w:tc>
          <w:tcPr>
            <w:tcW w:w="2268" w:type="dxa"/>
            <w:tcBorders>
              <w:top w:val="nil"/>
              <w:left w:val="nil"/>
              <w:bottom w:val="single" w:sz="4" w:space="0" w:color="000000"/>
              <w:right w:val="single" w:sz="4" w:space="0" w:color="000000"/>
            </w:tcBorders>
            <w:shd w:val="clear" w:color="auto" w:fill="auto"/>
            <w:vAlign w:val="center"/>
            <w:hideMark/>
          </w:tcPr>
          <w:p w14:paraId="4E52867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patenta de întreprinzător (12137)</w:t>
            </w:r>
          </w:p>
        </w:tc>
        <w:tc>
          <w:tcPr>
            <w:tcW w:w="992" w:type="dxa"/>
            <w:tcBorders>
              <w:top w:val="nil"/>
              <w:left w:val="nil"/>
              <w:bottom w:val="single" w:sz="4" w:space="0" w:color="000000"/>
              <w:right w:val="single" w:sz="4" w:space="0" w:color="000000"/>
            </w:tcBorders>
            <w:shd w:val="clear" w:color="auto" w:fill="auto"/>
            <w:vAlign w:val="center"/>
            <w:hideMark/>
          </w:tcPr>
          <w:p w14:paraId="4EFC9EC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4C6315B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04447B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268059E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0,001</w:t>
            </w:r>
          </w:p>
        </w:tc>
        <w:tc>
          <w:tcPr>
            <w:tcW w:w="1064" w:type="dxa"/>
            <w:tcBorders>
              <w:top w:val="nil"/>
              <w:left w:val="nil"/>
              <w:bottom w:val="single" w:sz="4" w:space="0" w:color="000000"/>
              <w:right w:val="single" w:sz="4" w:space="0" w:color="000000"/>
            </w:tcBorders>
            <w:shd w:val="clear" w:color="auto" w:fill="auto"/>
            <w:vAlign w:val="center"/>
            <w:hideMark/>
          </w:tcPr>
          <w:p w14:paraId="2506AB2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3.518,81</w:t>
            </w:r>
          </w:p>
        </w:tc>
        <w:tc>
          <w:tcPr>
            <w:tcW w:w="1028" w:type="dxa"/>
            <w:tcBorders>
              <w:top w:val="nil"/>
              <w:left w:val="nil"/>
              <w:bottom w:val="single" w:sz="4" w:space="0" w:color="000000"/>
              <w:right w:val="single" w:sz="4" w:space="0" w:color="000000"/>
            </w:tcBorders>
            <w:shd w:val="clear" w:color="auto" w:fill="auto"/>
            <w:vAlign w:val="center"/>
            <w:hideMark/>
          </w:tcPr>
          <w:p w14:paraId="0BE0805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3EA736A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6C696B3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1737643"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114522</w:t>
            </w:r>
          </w:p>
        </w:tc>
        <w:tc>
          <w:tcPr>
            <w:tcW w:w="2268" w:type="dxa"/>
            <w:tcBorders>
              <w:top w:val="nil"/>
              <w:left w:val="nil"/>
              <w:bottom w:val="single" w:sz="4" w:space="0" w:color="000000"/>
              <w:right w:val="single" w:sz="4" w:space="0" w:color="000000"/>
            </w:tcBorders>
            <w:shd w:val="clear" w:color="auto" w:fill="auto"/>
            <w:vAlign w:val="center"/>
          </w:tcPr>
          <w:p w14:paraId="358CAEEC" w14:textId="0E206000"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11F719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5E56AB1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DEE726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7FA7226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9E056A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3.624,79</w:t>
            </w:r>
          </w:p>
        </w:tc>
        <w:tc>
          <w:tcPr>
            <w:tcW w:w="1028" w:type="dxa"/>
            <w:tcBorders>
              <w:top w:val="nil"/>
              <w:left w:val="nil"/>
              <w:bottom w:val="single" w:sz="4" w:space="0" w:color="000000"/>
              <w:right w:val="single" w:sz="4" w:space="0" w:color="000000"/>
            </w:tcBorders>
            <w:shd w:val="clear" w:color="auto" w:fill="auto"/>
            <w:vAlign w:val="center"/>
            <w:hideMark/>
          </w:tcPr>
          <w:p w14:paraId="3E68771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48AE93D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24BF11C9"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3427F2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114522</w:t>
            </w:r>
          </w:p>
        </w:tc>
        <w:tc>
          <w:tcPr>
            <w:tcW w:w="2268" w:type="dxa"/>
            <w:tcBorders>
              <w:top w:val="nil"/>
              <w:left w:val="nil"/>
              <w:bottom w:val="single" w:sz="4" w:space="0" w:color="000000"/>
              <w:right w:val="single" w:sz="4" w:space="0" w:color="000000"/>
            </w:tcBorders>
            <w:shd w:val="clear" w:color="auto" w:fill="auto"/>
            <w:vAlign w:val="center"/>
          </w:tcPr>
          <w:p w14:paraId="491516A5" w14:textId="0B0F86D1"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9128E1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67E29DA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7BC7664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2BAAFA9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95B91F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1.492,95</w:t>
            </w:r>
          </w:p>
        </w:tc>
        <w:tc>
          <w:tcPr>
            <w:tcW w:w="1028" w:type="dxa"/>
            <w:tcBorders>
              <w:top w:val="nil"/>
              <w:left w:val="nil"/>
              <w:bottom w:val="single" w:sz="4" w:space="0" w:color="000000"/>
              <w:right w:val="single" w:sz="4" w:space="0" w:color="000000"/>
            </w:tcBorders>
            <w:shd w:val="clear" w:color="auto" w:fill="auto"/>
            <w:vAlign w:val="center"/>
            <w:hideMark/>
          </w:tcPr>
          <w:p w14:paraId="28FBDC9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614B671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4DB1A9B8"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11A0E7B"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114522</w:t>
            </w:r>
          </w:p>
        </w:tc>
        <w:tc>
          <w:tcPr>
            <w:tcW w:w="2268" w:type="dxa"/>
            <w:tcBorders>
              <w:top w:val="nil"/>
              <w:left w:val="nil"/>
              <w:bottom w:val="single" w:sz="4" w:space="0" w:color="000000"/>
              <w:right w:val="single" w:sz="4" w:space="0" w:color="000000"/>
            </w:tcBorders>
            <w:shd w:val="clear" w:color="auto" w:fill="auto"/>
            <w:vAlign w:val="center"/>
          </w:tcPr>
          <w:p w14:paraId="6FAA62F1" w14:textId="6DB3B6D9"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6A2A4B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589619B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165202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6F8E50A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1B804A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1.338,59</w:t>
            </w:r>
          </w:p>
        </w:tc>
        <w:tc>
          <w:tcPr>
            <w:tcW w:w="1028" w:type="dxa"/>
            <w:tcBorders>
              <w:top w:val="nil"/>
              <w:left w:val="nil"/>
              <w:bottom w:val="single" w:sz="4" w:space="0" w:color="000000"/>
              <w:right w:val="single" w:sz="4" w:space="0" w:color="000000"/>
            </w:tcBorders>
            <w:shd w:val="clear" w:color="auto" w:fill="auto"/>
            <w:vAlign w:val="center"/>
            <w:hideMark/>
          </w:tcPr>
          <w:p w14:paraId="4B96941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6ABC1D0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579DD1D4"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3C8E97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114611</w:t>
            </w:r>
          </w:p>
        </w:tc>
        <w:tc>
          <w:tcPr>
            <w:tcW w:w="2268" w:type="dxa"/>
            <w:tcBorders>
              <w:top w:val="nil"/>
              <w:left w:val="nil"/>
              <w:bottom w:val="single" w:sz="4" w:space="0" w:color="000000"/>
              <w:right w:val="single" w:sz="4" w:space="0" w:color="000000"/>
            </w:tcBorders>
            <w:shd w:val="clear" w:color="auto" w:fill="auto"/>
            <w:vAlign w:val="center"/>
            <w:hideMark/>
          </w:tcPr>
          <w:p w14:paraId="3DB02F4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apă (11551)</w:t>
            </w:r>
          </w:p>
        </w:tc>
        <w:tc>
          <w:tcPr>
            <w:tcW w:w="992" w:type="dxa"/>
            <w:tcBorders>
              <w:top w:val="nil"/>
              <w:left w:val="nil"/>
              <w:bottom w:val="single" w:sz="4" w:space="0" w:color="000000"/>
              <w:right w:val="single" w:sz="4" w:space="0" w:color="000000"/>
            </w:tcBorders>
            <w:shd w:val="clear" w:color="auto" w:fill="auto"/>
            <w:vAlign w:val="center"/>
            <w:hideMark/>
          </w:tcPr>
          <w:p w14:paraId="2B11819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-67,18</w:t>
            </w:r>
          </w:p>
        </w:tc>
        <w:tc>
          <w:tcPr>
            <w:tcW w:w="944" w:type="dxa"/>
            <w:tcBorders>
              <w:top w:val="nil"/>
              <w:left w:val="nil"/>
              <w:bottom w:val="single" w:sz="4" w:space="0" w:color="000000"/>
              <w:right w:val="single" w:sz="4" w:space="0" w:color="000000"/>
            </w:tcBorders>
            <w:shd w:val="clear" w:color="auto" w:fill="auto"/>
            <w:vAlign w:val="center"/>
            <w:hideMark/>
          </w:tcPr>
          <w:p w14:paraId="59A65C4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148,96</w:t>
            </w:r>
          </w:p>
        </w:tc>
        <w:tc>
          <w:tcPr>
            <w:tcW w:w="1064" w:type="dxa"/>
            <w:tcBorders>
              <w:top w:val="nil"/>
              <w:left w:val="nil"/>
              <w:bottom w:val="single" w:sz="4" w:space="0" w:color="000000"/>
              <w:right w:val="single" w:sz="4" w:space="0" w:color="000000"/>
            </w:tcBorders>
            <w:shd w:val="clear" w:color="auto" w:fill="auto"/>
            <w:vAlign w:val="center"/>
            <w:hideMark/>
          </w:tcPr>
          <w:p w14:paraId="5E2F978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139,99</w:t>
            </w:r>
          </w:p>
        </w:tc>
        <w:tc>
          <w:tcPr>
            <w:tcW w:w="862" w:type="dxa"/>
            <w:tcBorders>
              <w:top w:val="nil"/>
              <w:left w:val="nil"/>
              <w:bottom w:val="single" w:sz="4" w:space="0" w:color="000000"/>
              <w:right w:val="single" w:sz="4" w:space="0" w:color="000000"/>
            </w:tcBorders>
            <w:shd w:val="clear" w:color="auto" w:fill="auto"/>
            <w:vAlign w:val="center"/>
            <w:hideMark/>
          </w:tcPr>
          <w:p w14:paraId="62D5715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-2,57</w:t>
            </w:r>
          </w:p>
        </w:tc>
        <w:tc>
          <w:tcPr>
            <w:tcW w:w="1064" w:type="dxa"/>
            <w:tcBorders>
              <w:top w:val="nil"/>
              <w:left w:val="nil"/>
              <w:bottom w:val="single" w:sz="4" w:space="0" w:color="000000"/>
              <w:right w:val="single" w:sz="4" w:space="0" w:color="000000"/>
            </w:tcBorders>
            <w:shd w:val="clear" w:color="auto" w:fill="auto"/>
            <w:vAlign w:val="center"/>
            <w:hideMark/>
          </w:tcPr>
          <w:p w14:paraId="316AA34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141,11</w:t>
            </w:r>
          </w:p>
        </w:tc>
        <w:tc>
          <w:tcPr>
            <w:tcW w:w="1028" w:type="dxa"/>
            <w:tcBorders>
              <w:top w:val="nil"/>
              <w:left w:val="nil"/>
              <w:bottom w:val="single" w:sz="4" w:space="0" w:color="000000"/>
              <w:right w:val="single" w:sz="4" w:space="0" w:color="000000"/>
            </w:tcBorders>
            <w:shd w:val="clear" w:color="auto" w:fill="auto"/>
            <w:vAlign w:val="center"/>
            <w:hideMark/>
          </w:tcPr>
          <w:p w14:paraId="6307826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-67,45</w:t>
            </w:r>
          </w:p>
        </w:tc>
        <w:tc>
          <w:tcPr>
            <w:tcW w:w="944" w:type="dxa"/>
            <w:tcBorders>
              <w:top w:val="nil"/>
              <w:left w:val="nil"/>
              <w:bottom w:val="single" w:sz="4" w:space="0" w:color="000000"/>
              <w:right w:val="single" w:sz="8" w:space="0" w:color="000000"/>
            </w:tcBorders>
            <w:shd w:val="clear" w:color="auto" w:fill="auto"/>
            <w:vAlign w:val="center"/>
            <w:hideMark/>
          </w:tcPr>
          <w:p w14:paraId="3221D96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140,97</w:t>
            </w:r>
          </w:p>
        </w:tc>
      </w:tr>
      <w:tr w:rsidR="00EF4BC3" w:rsidRPr="009E5B39" w14:paraId="2A23221F"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C879F8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114611</w:t>
            </w:r>
          </w:p>
        </w:tc>
        <w:tc>
          <w:tcPr>
            <w:tcW w:w="2268" w:type="dxa"/>
            <w:tcBorders>
              <w:top w:val="nil"/>
              <w:left w:val="nil"/>
              <w:bottom w:val="single" w:sz="4" w:space="0" w:color="000000"/>
              <w:right w:val="single" w:sz="4" w:space="0" w:color="000000"/>
            </w:tcBorders>
            <w:shd w:val="clear" w:color="auto" w:fill="auto"/>
            <w:vAlign w:val="center"/>
          </w:tcPr>
          <w:p w14:paraId="5A012037" w14:textId="227A8225"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83DD41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-188,22</w:t>
            </w:r>
          </w:p>
        </w:tc>
        <w:tc>
          <w:tcPr>
            <w:tcW w:w="944" w:type="dxa"/>
            <w:tcBorders>
              <w:top w:val="nil"/>
              <w:left w:val="nil"/>
              <w:bottom w:val="single" w:sz="4" w:space="0" w:color="000000"/>
              <w:right w:val="single" w:sz="4" w:space="0" w:color="000000"/>
            </w:tcBorders>
            <w:shd w:val="clear" w:color="auto" w:fill="auto"/>
            <w:vAlign w:val="center"/>
            <w:hideMark/>
          </w:tcPr>
          <w:p w14:paraId="76FD743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55,82</w:t>
            </w:r>
          </w:p>
        </w:tc>
        <w:tc>
          <w:tcPr>
            <w:tcW w:w="1064" w:type="dxa"/>
            <w:tcBorders>
              <w:top w:val="nil"/>
              <w:left w:val="nil"/>
              <w:bottom w:val="single" w:sz="4" w:space="0" w:color="000000"/>
              <w:right w:val="single" w:sz="4" w:space="0" w:color="000000"/>
            </w:tcBorders>
            <w:shd w:val="clear" w:color="auto" w:fill="auto"/>
            <w:vAlign w:val="center"/>
            <w:hideMark/>
          </w:tcPr>
          <w:p w14:paraId="745FDB9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34,58</w:t>
            </w:r>
          </w:p>
        </w:tc>
        <w:tc>
          <w:tcPr>
            <w:tcW w:w="862" w:type="dxa"/>
            <w:tcBorders>
              <w:top w:val="nil"/>
              <w:left w:val="nil"/>
              <w:bottom w:val="single" w:sz="4" w:space="0" w:color="000000"/>
              <w:right w:val="single" w:sz="4" w:space="0" w:color="000000"/>
            </w:tcBorders>
            <w:shd w:val="clear" w:color="auto" w:fill="auto"/>
            <w:vAlign w:val="center"/>
            <w:hideMark/>
          </w:tcPr>
          <w:p w14:paraId="1C78DF1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33,74</w:t>
            </w:r>
          </w:p>
        </w:tc>
        <w:tc>
          <w:tcPr>
            <w:tcW w:w="1064" w:type="dxa"/>
            <w:tcBorders>
              <w:top w:val="nil"/>
              <w:left w:val="nil"/>
              <w:bottom w:val="single" w:sz="4" w:space="0" w:color="000000"/>
              <w:right w:val="single" w:sz="4" w:space="0" w:color="000000"/>
            </w:tcBorders>
            <w:shd w:val="clear" w:color="auto" w:fill="auto"/>
            <w:vAlign w:val="center"/>
            <w:hideMark/>
          </w:tcPr>
          <w:p w14:paraId="6413531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22,83</w:t>
            </w:r>
          </w:p>
        </w:tc>
        <w:tc>
          <w:tcPr>
            <w:tcW w:w="1028" w:type="dxa"/>
            <w:tcBorders>
              <w:top w:val="nil"/>
              <w:left w:val="nil"/>
              <w:bottom w:val="single" w:sz="4" w:space="0" w:color="000000"/>
              <w:right w:val="single" w:sz="4" w:space="0" w:color="000000"/>
            </w:tcBorders>
            <w:shd w:val="clear" w:color="auto" w:fill="auto"/>
            <w:vAlign w:val="center"/>
            <w:hideMark/>
          </w:tcPr>
          <w:p w14:paraId="54677C1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-148,06</w:t>
            </w:r>
          </w:p>
        </w:tc>
        <w:tc>
          <w:tcPr>
            <w:tcW w:w="944" w:type="dxa"/>
            <w:tcBorders>
              <w:top w:val="nil"/>
              <w:left w:val="nil"/>
              <w:bottom w:val="single" w:sz="4" w:space="0" w:color="000000"/>
              <w:right w:val="single" w:sz="8" w:space="0" w:color="000000"/>
            </w:tcBorders>
            <w:shd w:val="clear" w:color="auto" w:fill="auto"/>
            <w:vAlign w:val="center"/>
            <w:hideMark/>
          </w:tcPr>
          <w:p w14:paraId="2111277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25,09</w:t>
            </w:r>
          </w:p>
        </w:tc>
      </w:tr>
      <w:tr w:rsidR="00EF4BC3" w:rsidRPr="009E5B39" w14:paraId="13B3E42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0E0D3B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114611</w:t>
            </w:r>
          </w:p>
        </w:tc>
        <w:tc>
          <w:tcPr>
            <w:tcW w:w="2268" w:type="dxa"/>
            <w:tcBorders>
              <w:top w:val="nil"/>
              <w:left w:val="nil"/>
              <w:bottom w:val="single" w:sz="4" w:space="0" w:color="000000"/>
              <w:right w:val="single" w:sz="4" w:space="0" w:color="000000"/>
            </w:tcBorders>
            <w:shd w:val="clear" w:color="auto" w:fill="auto"/>
            <w:vAlign w:val="center"/>
          </w:tcPr>
          <w:p w14:paraId="6C26956D" w14:textId="50DF7AB7"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1F3F6C2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-53,68</w:t>
            </w:r>
          </w:p>
        </w:tc>
        <w:tc>
          <w:tcPr>
            <w:tcW w:w="944" w:type="dxa"/>
            <w:tcBorders>
              <w:top w:val="nil"/>
              <w:left w:val="nil"/>
              <w:bottom w:val="single" w:sz="4" w:space="0" w:color="000000"/>
              <w:right w:val="single" w:sz="4" w:space="0" w:color="000000"/>
            </w:tcBorders>
            <w:shd w:val="clear" w:color="auto" w:fill="auto"/>
            <w:vAlign w:val="center"/>
            <w:hideMark/>
          </w:tcPr>
          <w:p w14:paraId="5F253A9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41,92</w:t>
            </w:r>
          </w:p>
        </w:tc>
        <w:tc>
          <w:tcPr>
            <w:tcW w:w="1064" w:type="dxa"/>
            <w:tcBorders>
              <w:top w:val="nil"/>
              <w:left w:val="nil"/>
              <w:bottom w:val="single" w:sz="4" w:space="0" w:color="000000"/>
              <w:right w:val="single" w:sz="4" w:space="0" w:color="000000"/>
            </w:tcBorders>
            <w:shd w:val="clear" w:color="auto" w:fill="auto"/>
            <w:vAlign w:val="center"/>
            <w:hideMark/>
          </w:tcPr>
          <w:p w14:paraId="3245503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46,09</w:t>
            </w:r>
          </w:p>
        </w:tc>
        <w:tc>
          <w:tcPr>
            <w:tcW w:w="862" w:type="dxa"/>
            <w:tcBorders>
              <w:top w:val="nil"/>
              <w:left w:val="nil"/>
              <w:bottom w:val="single" w:sz="4" w:space="0" w:color="000000"/>
              <w:right w:val="single" w:sz="4" w:space="0" w:color="000000"/>
            </w:tcBorders>
            <w:shd w:val="clear" w:color="auto" w:fill="auto"/>
            <w:vAlign w:val="center"/>
            <w:hideMark/>
          </w:tcPr>
          <w:p w14:paraId="2823A2B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-18,24</w:t>
            </w:r>
          </w:p>
        </w:tc>
        <w:tc>
          <w:tcPr>
            <w:tcW w:w="1064" w:type="dxa"/>
            <w:tcBorders>
              <w:top w:val="nil"/>
              <w:left w:val="nil"/>
              <w:bottom w:val="single" w:sz="4" w:space="0" w:color="000000"/>
              <w:right w:val="single" w:sz="4" w:space="0" w:color="000000"/>
            </w:tcBorders>
            <w:shd w:val="clear" w:color="auto" w:fill="auto"/>
            <w:vAlign w:val="center"/>
            <w:hideMark/>
          </w:tcPr>
          <w:p w14:paraId="7A25A0D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42,39</w:t>
            </w:r>
          </w:p>
        </w:tc>
        <w:tc>
          <w:tcPr>
            <w:tcW w:w="1028" w:type="dxa"/>
            <w:tcBorders>
              <w:top w:val="nil"/>
              <w:left w:val="nil"/>
              <w:bottom w:val="single" w:sz="4" w:space="0" w:color="000000"/>
              <w:right w:val="single" w:sz="4" w:space="0" w:color="000000"/>
            </w:tcBorders>
            <w:shd w:val="clear" w:color="auto" w:fill="auto"/>
            <w:vAlign w:val="center"/>
            <w:hideMark/>
          </w:tcPr>
          <w:p w14:paraId="1099377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-51,20</w:t>
            </w:r>
          </w:p>
        </w:tc>
        <w:tc>
          <w:tcPr>
            <w:tcW w:w="944" w:type="dxa"/>
            <w:tcBorders>
              <w:top w:val="nil"/>
              <w:left w:val="nil"/>
              <w:bottom w:val="single" w:sz="4" w:space="0" w:color="000000"/>
              <w:right w:val="single" w:sz="8" w:space="0" w:color="000000"/>
            </w:tcBorders>
            <w:shd w:val="clear" w:color="auto" w:fill="auto"/>
            <w:vAlign w:val="center"/>
            <w:hideMark/>
          </w:tcPr>
          <w:p w14:paraId="60F0DF5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17,53</w:t>
            </w:r>
          </w:p>
        </w:tc>
      </w:tr>
      <w:tr w:rsidR="00EF4BC3" w:rsidRPr="009E5B39" w14:paraId="53702852"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74512DE"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114611</w:t>
            </w:r>
          </w:p>
        </w:tc>
        <w:tc>
          <w:tcPr>
            <w:tcW w:w="2268" w:type="dxa"/>
            <w:tcBorders>
              <w:top w:val="nil"/>
              <w:left w:val="nil"/>
              <w:bottom w:val="single" w:sz="4" w:space="0" w:color="000000"/>
              <w:right w:val="single" w:sz="4" w:space="0" w:color="000000"/>
            </w:tcBorders>
            <w:shd w:val="clear" w:color="auto" w:fill="auto"/>
            <w:vAlign w:val="center"/>
          </w:tcPr>
          <w:p w14:paraId="2FF1D944" w14:textId="767EE9C2"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C28E10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-30,22</w:t>
            </w:r>
          </w:p>
        </w:tc>
        <w:tc>
          <w:tcPr>
            <w:tcW w:w="944" w:type="dxa"/>
            <w:tcBorders>
              <w:top w:val="nil"/>
              <w:left w:val="nil"/>
              <w:bottom w:val="single" w:sz="4" w:space="0" w:color="000000"/>
              <w:right w:val="single" w:sz="4" w:space="0" w:color="000000"/>
            </w:tcBorders>
            <w:shd w:val="clear" w:color="auto" w:fill="auto"/>
            <w:vAlign w:val="center"/>
            <w:hideMark/>
          </w:tcPr>
          <w:p w14:paraId="774E269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18,68</w:t>
            </w:r>
          </w:p>
        </w:tc>
        <w:tc>
          <w:tcPr>
            <w:tcW w:w="1064" w:type="dxa"/>
            <w:tcBorders>
              <w:top w:val="nil"/>
              <w:left w:val="nil"/>
              <w:bottom w:val="single" w:sz="4" w:space="0" w:color="000000"/>
              <w:right w:val="single" w:sz="4" w:space="0" w:color="000000"/>
            </w:tcBorders>
            <w:shd w:val="clear" w:color="auto" w:fill="auto"/>
            <w:vAlign w:val="center"/>
            <w:hideMark/>
          </w:tcPr>
          <w:p w14:paraId="0C2AF5F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99,24</w:t>
            </w:r>
          </w:p>
        </w:tc>
        <w:tc>
          <w:tcPr>
            <w:tcW w:w="862" w:type="dxa"/>
            <w:tcBorders>
              <w:top w:val="nil"/>
              <w:left w:val="nil"/>
              <w:bottom w:val="single" w:sz="4" w:space="0" w:color="000000"/>
              <w:right w:val="single" w:sz="4" w:space="0" w:color="000000"/>
            </w:tcBorders>
            <w:shd w:val="clear" w:color="auto" w:fill="auto"/>
            <w:vAlign w:val="center"/>
            <w:hideMark/>
          </w:tcPr>
          <w:p w14:paraId="672B352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-1,20</w:t>
            </w:r>
          </w:p>
        </w:tc>
        <w:tc>
          <w:tcPr>
            <w:tcW w:w="1064" w:type="dxa"/>
            <w:tcBorders>
              <w:top w:val="nil"/>
              <w:left w:val="nil"/>
              <w:bottom w:val="single" w:sz="4" w:space="0" w:color="000000"/>
              <w:right w:val="single" w:sz="4" w:space="0" w:color="000000"/>
            </w:tcBorders>
            <w:shd w:val="clear" w:color="auto" w:fill="auto"/>
            <w:vAlign w:val="center"/>
            <w:hideMark/>
          </w:tcPr>
          <w:p w14:paraId="7FA4433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99,61</w:t>
            </w:r>
          </w:p>
        </w:tc>
        <w:tc>
          <w:tcPr>
            <w:tcW w:w="1028" w:type="dxa"/>
            <w:tcBorders>
              <w:top w:val="nil"/>
              <w:left w:val="nil"/>
              <w:bottom w:val="single" w:sz="4" w:space="0" w:color="000000"/>
              <w:right w:val="single" w:sz="4" w:space="0" w:color="000000"/>
            </w:tcBorders>
            <w:shd w:val="clear" w:color="auto" w:fill="auto"/>
            <w:vAlign w:val="center"/>
            <w:hideMark/>
          </w:tcPr>
          <w:p w14:paraId="5BB3411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-30,92</w:t>
            </w:r>
          </w:p>
        </w:tc>
        <w:tc>
          <w:tcPr>
            <w:tcW w:w="944" w:type="dxa"/>
            <w:tcBorders>
              <w:top w:val="nil"/>
              <w:left w:val="nil"/>
              <w:bottom w:val="single" w:sz="4" w:space="0" w:color="000000"/>
              <w:right w:val="single" w:sz="8" w:space="0" w:color="000000"/>
            </w:tcBorders>
            <w:shd w:val="clear" w:color="auto" w:fill="auto"/>
            <w:vAlign w:val="center"/>
            <w:hideMark/>
          </w:tcPr>
          <w:p w14:paraId="06D5CEE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19,04</w:t>
            </w:r>
          </w:p>
        </w:tc>
      </w:tr>
      <w:tr w:rsidR="00EF4BC3" w:rsidRPr="009E5B39" w14:paraId="415E8466"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0C7C3E8"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114612</w:t>
            </w:r>
          </w:p>
        </w:tc>
        <w:tc>
          <w:tcPr>
            <w:tcW w:w="2268" w:type="dxa"/>
            <w:tcBorders>
              <w:top w:val="nil"/>
              <w:left w:val="nil"/>
              <w:bottom w:val="single" w:sz="4" w:space="0" w:color="000000"/>
              <w:right w:val="single" w:sz="4" w:space="0" w:color="000000"/>
            </w:tcBorders>
            <w:shd w:val="clear" w:color="auto" w:fill="auto"/>
            <w:vAlign w:val="center"/>
            <w:hideMark/>
          </w:tcPr>
          <w:p w14:paraId="5AB3674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extragerea mineralelor utile (11554)</w:t>
            </w:r>
          </w:p>
        </w:tc>
        <w:tc>
          <w:tcPr>
            <w:tcW w:w="992" w:type="dxa"/>
            <w:tcBorders>
              <w:top w:val="nil"/>
              <w:left w:val="nil"/>
              <w:bottom w:val="single" w:sz="4" w:space="0" w:color="000000"/>
              <w:right w:val="single" w:sz="4" w:space="0" w:color="000000"/>
            </w:tcBorders>
            <w:shd w:val="clear" w:color="auto" w:fill="auto"/>
            <w:vAlign w:val="center"/>
            <w:hideMark/>
          </w:tcPr>
          <w:p w14:paraId="2F8D2FD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-445,64</w:t>
            </w:r>
          </w:p>
        </w:tc>
        <w:tc>
          <w:tcPr>
            <w:tcW w:w="944" w:type="dxa"/>
            <w:tcBorders>
              <w:top w:val="nil"/>
              <w:left w:val="nil"/>
              <w:bottom w:val="single" w:sz="4" w:space="0" w:color="000000"/>
              <w:right w:val="single" w:sz="4" w:space="0" w:color="000000"/>
            </w:tcBorders>
            <w:shd w:val="clear" w:color="auto" w:fill="auto"/>
            <w:vAlign w:val="center"/>
            <w:hideMark/>
          </w:tcPr>
          <w:p w14:paraId="5671DF7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29,38</w:t>
            </w:r>
          </w:p>
        </w:tc>
        <w:tc>
          <w:tcPr>
            <w:tcW w:w="1064" w:type="dxa"/>
            <w:tcBorders>
              <w:top w:val="nil"/>
              <w:left w:val="nil"/>
              <w:bottom w:val="single" w:sz="4" w:space="0" w:color="000000"/>
              <w:right w:val="single" w:sz="4" w:space="0" w:color="000000"/>
            </w:tcBorders>
            <w:shd w:val="clear" w:color="auto" w:fill="auto"/>
            <w:vAlign w:val="center"/>
            <w:hideMark/>
          </w:tcPr>
          <w:p w14:paraId="6995C7B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55,11</w:t>
            </w:r>
          </w:p>
        </w:tc>
        <w:tc>
          <w:tcPr>
            <w:tcW w:w="862" w:type="dxa"/>
            <w:tcBorders>
              <w:top w:val="nil"/>
              <w:left w:val="nil"/>
              <w:bottom w:val="single" w:sz="4" w:space="0" w:color="000000"/>
              <w:right w:val="single" w:sz="4" w:space="0" w:color="000000"/>
            </w:tcBorders>
            <w:shd w:val="clear" w:color="auto" w:fill="auto"/>
            <w:vAlign w:val="center"/>
            <w:hideMark/>
          </w:tcPr>
          <w:p w14:paraId="321AC2B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7ADCD0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-28,01</w:t>
            </w:r>
          </w:p>
        </w:tc>
        <w:tc>
          <w:tcPr>
            <w:tcW w:w="1028" w:type="dxa"/>
            <w:tcBorders>
              <w:top w:val="nil"/>
              <w:left w:val="nil"/>
              <w:bottom w:val="single" w:sz="4" w:space="0" w:color="000000"/>
              <w:right w:val="single" w:sz="4" w:space="0" w:color="000000"/>
            </w:tcBorders>
            <w:shd w:val="clear" w:color="auto" w:fill="auto"/>
            <w:vAlign w:val="center"/>
            <w:hideMark/>
          </w:tcPr>
          <w:p w14:paraId="719ECBB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-500,75</w:t>
            </w:r>
          </w:p>
        </w:tc>
        <w:tc>
          <w:tcPr>
            <w:tcW w:w="944" w:type="dxa"/>
            <w:tcBorders>
              <w:top w:val="nil"/>
              <w:left w:val="nil"/>
              <w:bottom w:val="single" w:sz="4" w:space="0" w:color="000000"/>
              <w:right w:val="single" w:sz="8" w:space="0" w:color="000000"/>
            </w:tcBorders>
            <w:shd w:val="clear" w:color="auto" w:fill="auto"/>
            <w:vAlign w:val="center"/>
            <w:hideMark/>
          </w:tcPr>
          <w:p w14:paraId="73F9632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2,49</w:t>
            </w:r>
          </w:p>
        </w:tc>
      </w:tr>
      <w:tr w:rsidR="00EF4BC3" w:rsidRPr="009E5B39" w14:paraId="59D0511E"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20A08CE"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114612</w:t>
            </w:r>
          </w:p>
        </w:tc>
        <w:tc>
          <w:tcPr>
            <w:tcW w:w="2268" w:type="dxa"/>
            <w:tcBorders>
              <w:top w:val="nil"/>
              <w:left w:val="nil"/>
              <w:bottom w:val="single" w:sz="4" w:space="0" w:color="000000"/>
              <w:right w:val="single" w:sz="4" w:space="0" w:color="000000"/>
            </w:tcBorders>
            <w:shd w:val="clear" w:color="auto" w:fill="auto"/>
            <w:vAlign w:val="center"/>
          </w:tcPr>
          <w:p w14:paraId="3600B92D" w14:textId="7DDAB50E"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4CCD43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-0,002</w:t>
            </w:r>
          </w:p>
        </w:tc>
        <w:tc>
          <w:tcPr>
            <w:tcW w:w="944" w:type="dxa"/>
            <w:tcBorders>
              <w:top w:val="nil"/>
              <w:left w:val="nil"/>
              <w:bottom w:val="single" w:sz="4" w:space="0" w:color="000000"/>
              <w:right w:val="single" w:sz="4" w:space="0" w:color="000000"/>
            </w:tcBorders>
            <w:shd w:val="clear" w:color="auto" w:fill="auto"/>
            <w:vAlign w:val="center"/>
            <w:hideMark/>
          </w:tcPr>
          <w:p w14:paraId="50F6AFF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3,22</w:t>
            </w:r>
          </w:p>
        </w:tc>
        <w:tc>
          <w:tcPr>
            <w:tcW w:w="1064" w:type="dxa"/>
            <w:tcBorders>
              <w:top w:val="nil"/>
              <w:left w:val="nil"/>
              <w:bottom w:val="single" w:sz="4" w:space="0" w:color="000000"/>
              <w:right w:val="single" w:sz="4" w:space="0" w:color="000000"/>
            </w:tcBorders>
            <w:shd w:val="clear" w:color="auto" w:fill="auto"/>
            <w:vAlign w:val="center"/>
            <w:hideMark/>
          </w:tcPr>
          <w:p w14:paraId="22C8F94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54,78</w:t>
            </w:r>
          </w:p>
        </w:tc>
        <w:tc>
          <w:tcPr>
            <w:tcW w:w="862" w:type="dxa"/>
            <w:tcBorders>
              <w:top w:val="nil"/>
              <w:left w:val="nil"/>
              <w:bottom w:val="single" w:sz="4" w:space="0" w:color="000000"/>
              <w:right w:val="single" w:sz="4" w:space="0" w:color="000000"/>
            </w:tcBorders>
            <w:shd w:val="clear" w:color="auto" w:fill="auto"/>
            <w:vAlign w:val="center"/>
            <w:hideMark/>
          </w:tcPr>
          <w:p w14:paraId="1310309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F25379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51,72</w:t>
            </w:r>
          </w:p>
        </w:tc>
        <w:tc>
          <w:tcPr>
            <w:tcW w:w="1028" w:type="dxa"/>
            <w:tcBorders>
              <w:top w:val="nil"/>
              <w:left w:val="nil"/>
              <w:bottom w:val="single" w:sz="4" w:space="0" w:color="000000"/>
              <w:right w:val="single" w:sz="4" w:space="0" w:color="000000"/>
            </w:tcBorders>
            <w:shd w:val="clear" w:color="auto" w:fill="auto"/>
            <w:vAlign w:val="center"/>
            <w:hideMark/>
          </w:tcPr>
          <w:p w14:paraId="01D1BBA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6618A07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498D00DF"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7C4C79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114612</w:t>
            </w:r>
          </w:p>
        </w:tc>
        <w:tc>
          <w:tcPr>
            <w:tcW w:w="2268" w:type="dxa"/>
            <w:tcBorders>
              <w:top w:val="nil"/>
              <w:left w:val="nil"/>
              <w:bottom w:val="single" w:sz="4" w:space="0" w:color="000000"/>
              <w:right w:val="single" w:sz="4" w:space="0" w:color="000000"/>
            </w:tcBorders>
            <w:shd w:val="clear" w:color="auto" w:fill="auto"/>
            <w:vAlign w:val="center"/>
          </w:tcPr>
          <w:p w14:paraId="432A9219" w14:textId="4A60C469"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333AE8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-4,15</w:t>
            </w:r>
          </w:p>
        </w:tc>
        <w:tc>
          <w:tcPr>
            <w:tcW w:w="944" w:type="dxa"/>
            <w:tcBorders>
              <w:top w:val="nil"/>
              <w:left w:val="nil"/>
              <w:bottom w:val="single" w:sz="4" w:space="0" w:color="000000"/>
              <w:right w:val="single" w:sz="4" w:space="0" w:color="000000"/>
            </w:tcBorders>
            <w:shd w:val="clear" w:color="auto" w:fill="auto"/>
            <w:vAlign w:val="center"/>
            <w:hideMark/>
          </w:tcPr>
          <w:p w14:paraId="00BB955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1,38</w:t>
            </w:r>
          </w:p>
        </w:tc>
        <w:tc>
          <w:tcPr>
            <w:tcW w:w="1064" w:type="dxa"/>
            <w:tcBorders>
              <w:top w:val="nil"/>
              <w:left w:val="nil"/>
              <w:bottom w:val="single" w:sz="4" w:space="0" w:color="000000"/>
              <w:right w:val="single" w:sz="4" w:space="0" w:color="000000"/>
            </w:tcBorders>
            <w:shd w:val="clear" w:color="auto" w:fill="auto"/>
            <w:vAlign w:val="center"/>
            <w:hideMark/>
          </w:tcPr>
          <w:p w14:paraId="375DD13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253059A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0,34</w:t>
            </w:r>
          </w:p>
        </w:tc>
        <w:tc>
          <w:tcPr>
            <w:tcW w:w="1064" w:type="dxa"/>
            <w:tcBorders>
              <w:top w:val="nil"/>
              <w:left w:val="nil"/>
              <w:bottom w:val="single" w:sz="4" w:space="0" w:color="000000"/>
              <w:right w:val="single" w:sz="4" w:space="0" w:color="000000"/>
            </w:tcBorders>
            <w:shd w:val="clear" w:color="auto" w:fill="auto"/>
            <w:vAlign w:val="center"/>
            <w:hideMark/>
          </w:tcPr>
          <w:p w14:paraId="4AEBB70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4FD9683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-4,15</w:t>
            </w:r>
          </w:p>
        </w:tc>
        <w:tc>
          <w:tcPr>
            <w:tcW w:w="944" w:type="dxa"/>
            <w:tcBorders>
              <w:top w:val="nil"/>
              <w:left w:val="nil"/>
              <w:bottom w:val="single" w:sz="4" w:space="0" w:color="000000"/>
              <w:right w:val="single" w:sz="8" w:space="0" w:color="000000"/>
            </w:tcBorders>
            <w:shd w:val="clear" w:color="auto" w:fill="auto"/>
            <w:vAlign w:val="center"/>
            <w:hideMark/>
          </w:tcPr>
          <w:p w14:paraId="627F528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1,04</w:t>
            </w:r>
          </w:p>
        </w:tc>
      </w:tr>
      <w:tr w:rsidR="00EF4BC3" w:rsidRPr="009E5B39" w14:paraId="4D8B7839"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16734F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114612</w:t>
            </w:r>
          </w:p>
        </w:tc>
        <w:tc>
          <w:tcPr>
            <w:tcW w:w="2268" w:type="dxa"/>
            <w:tcBorders>
              <w:top w:val="nil"/>
              <w:left w:val="nil"/>
              <w:bottom w:val="single" w:sz="4" w:space="0" w:color="000000"/>
              <w:right w:val="single" w:sz="4" w:space="0" w:color="000000"/>
            </w:tcBorders>
            <w:shd w:val="clear" w:color="auto" w:fill="auto"/>
            <w:vAlign w:val="center"/>
          </w:tcPr>
          <w:p w14:paraId="2F67CC49" w14:textId="7D5BC064"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3C14DD3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-0,32</w:t>
            </w:r>
          </w:p>
        </w:tc>
        <w:tc>
          <w:tcPr>
            <w:tcW w:w="944" w:type="dxa"/>
            <w:tcBorders>
              <w:top w:val="nil"/>
              <w:left w:val="nil"/>
              <w:bottom w:val="single" w:sz="4" w:space="0" w:color="000000"/>
              <w:right w:val="single" w:sz="4" w:space="0" w:color="000000"/>
            </w:tcBorders>
            <w:shd w:val="clear" w:color="auto" w:fill="auto"/>
            <w:vAlign w:val="center"/>
            <w:hideMark/>
          </w:tcPr>
          <w:p w14:paraId="077778E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5,33</w:t>
            </w:r>
          </w:p>
        </w:tc>
        <w:tc>
          <w:tcPr>
            <w:tcW w:w="1064" w:type="dxa"/>
            <w:tcBorders>
              <w:top w:val="nil"/>
              <w:left w:val="nil"/>
              <w:bottom w:val="single" w:sz="4" w:space="0" w:color="000000"/>
              <w:right w:val="single" w:sz="4" w:space="0" w:color="000000"/>
            </w:tcBorders>
            <w:shd w:val="clear" w:color="auto" w:fill="auto"/>
            <w:vAlign w:val="center"/>
            <w:hideMark/>
          </w:tcPr>
          <w:p w14:paraId="0D64E07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-0,08</w:t>
            </w:r>
          </w:p>
        </w:tc>
        <w:tc>
          <w:tcPr>
            <w:tcW w:w="862" w:type="dxa"/>
            <w:tcBorders>
              <w:top w:val="nil"/>
              <w:left w:val="nil"/>
              <w:bottom w:val="single" w:sz="4" w:space="0" w:color="000000"/>
              <w:right w:val="single" w:sz="4" w:space="0" w:color="000000"/>
            </w:tcBorders>
            <w:shd w:val="clear" w:color="auto" w:fill="auto"/>
            <w:vAlign w:val="center"/>
            <w:hideMark/>
          </w:tcPr>
          <w:p w14:paraId="720362A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6ECC0C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-0,72</w:t>
            </w:r>
          </w:p>
        </w:tc>
        <w:tc>
          <w:tcPr>
            <w:tcW w:w="1028" w:type="dxa"/>
            <w:tcBorders>
              <w:top w:val="nil"/>
              <w:left w:val="nil"/>
              <w:bottom w:val="single" w:sz="4" w:space="0" w:color="000000"/>
              <w:right w:val="single" w:sz="4" w:space="0" w:color="000000"/>
            </w:tcBorders>
            <w:shd w:val="clear" w:color="auto" w:fill="auto"/>
            <w:vAlign w:val="center"/>
            <w:hideMark/>
          </w:tcPr>
          <w:p w14:paraId="43ACE5A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-0,02</w:t>
            </w:r>
          </w:p>
        </w:tc>
        <w:tc>
          <w:tcPr>
            <w:tcW w:w="944" w:type="dxa"/>
            <w:tcBorders>
              <w:top w:val="nil"/>
              <w:left w:val="nil"/>
              <w:bottom w:val="single" w:sz="4" w:space="0" w:color="000000"/>
              <w:right w:val="single" w:sz="8" w:space="0" w:color="000000"/>
            </w:tcBorders>
            <w:shd w:val="clear" w:color="auto" w:fill="auto"/>
            <w:vAlign w:val="center"/>
            <w:hideMark/>
          </w:tcPr>
          <w:p w14:paraId="5AF3944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4,61</w:t>
            </w:r>
          </w:p>
        </w:tc>
      </w:tr>
      <w:tr w:rsidR="00EF4BC3" w:rsidRPr="009E5B39" w14:paraId="4A30F011"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A90112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114613</w:t>
            </w:r>
          </w:p>
        </w:tc>
        <w:tc>
          <w:tcPr>
            <w:tcW w:w="2268" w:type="dxa"/>
            <w:tcBorders>
              <w:top w:val="nil"/>
              <w:left w:val="nil"/>
              <w:bottom w:val="single" w:sz="4" w:space="0" w:color="000000"/>
              <w:right w:val="single" w:sz="4" w:space="0" w:color="000000"/>
            </w:tcBorders>
            <w:shd w:val="clear" w:color="auto" w:fill="auto"/>
            <w:vAlign w:val="center"/>
            <w:hideMark/>
          </w:tcPr>
          <w:p w14:paraId="03EED4F8"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lemnul eliberat pe picior (11553)</w:t>
            </w:r>
          </w:p>
        </w:tc>
        <w:tc>
          <w:tcPr>
            <w:tcW w:w="992" w:type="dxa"/>
            <w:tcBorders>
              <w:top w:val="nil"/>
              <w:left w:val="nil"/>
              <w:bottom w:val="single" w:sz="4" w:space="0" w:color="000000"/>
              <w:right w:val="single" w:sz="4" w:space="0" w:color="000000"/>
            </w:tcBorders>
            <w:shd w:val="clear" w:color="auto" w:fill="auto"/>
            <w:vAlign w:val="center"/>
            <w:hideMark/>
          </w:tcPr>
          <w:p w14:paraId="7C6CF2C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-0,006</w:t>
            </w:r>
          </w:p>
        </w:tc>
        <w:tc>
          <w:tcPr>
            <w:tcW w:w="944" w:type="dxa"/>
            <w:tcBorders>
              <w:top w:val="nil"/>
              <w:left w:val="nil"/>
              <w:bottom w:val="single" w:sz="4" w:space="0" w:color="000000"/>
              <w:right w:val="single" w:sz="4" w:space="0" w:color="000000"/>
            </w:tcBorders>
            <w:shd w:val="clear" w:color="auto" w:fill="auto"/>
            <w:vAlign w:val="center"/>
            <w:hideMark/>
          </w:tcPr>
          <w:p w14:paraId="7AAB91F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0,36</w:t>
            </w:r>
          </w:p>
        </w:tc>
        <w:tc>
          <w:tcPr>
            <w:tcW w:w="1064" w:type="dxa"/>
            <w:tcBorders>
              <w:top w:val="nil"/>
              <w:left w:val="nil"/>
              <w:bottom w:val="single" w:sz="4" w:space="0" w:color="000000"/>
              <w:right w:val="single" w:sz="4" w:space="0" w:color="000000"/>
            </w:tcBorders>
            <w:shd w:val="clear" w:color="auto" w:fill="auto"/>
            <w:vAlign w:val="center"/>
            <w:hideMark/>
          </w:tcPr>
          <w:p w14:paraId="230B955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0E6DC22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23BE93A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6132878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-0,006</w:t>
            </w:r>
          </w:p>
        </w:tc>
        <w:tc>
          <w:tcPr>
            <w:tcW w:w="944" w:type="dxa"/>
            <w:tcBorders>
              <w:top w:val="nil"/>
              <w:left w:val="nil"/>
              <w:bottom w:val="single" w:sz="4" w:space="0" w:color="000000"/>
              <w:right w:val="single" w:sz="8" w:space="0" w:color="000000"/>
            </w:tcBorders>
            <w:shd w:val="clear" w:color="auto" w:fill="auto"/>
            <w:vAlign w:val="center"/>
            <w:hideMark/>
          </w:tcPr>
          <w:p w14:paraId="6A86A33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0,34</w:t>
            </w:r>
          </w:p>
        </w:tc>
      </w:tr>
      <w:tr w:rsidR="00EF4BC3" w:rsidRPr="009E5B39" w14:paraId="17992A57"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27689A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114613</w:t>
            </w:r>
          </w:p>
        </w:tc>
        <w:tc>
          <w:tcPr>
            <w:tcW w:w="2268" w:type="dxa"/>
            <w:tcBorders>
              <w:top w:val="nil"/>
              <w:left w:val="nil"/>
              <w:bottom w:val="single" w:sz="4" w:space="0" w:color="000000"/>
              <w:right w:val="single" w:sz="4" w:space="0" w:color="000000"/>
            </w:tcBorders>
            <w:shd w:val="clear" w:color="auto" w:fill="auto"/>
            <w:vAlign w:val="center"/>
            <w:hideMark/>
          </w:tcPr>
          <w:p w14:paraId="288B9E77" w14:textId="43F0AAC6"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0F4B0A0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-0,61</w:t>
            </w:r>
          </w:p>
        </w:tc>
        <w:tc>
          <w:tcPr>
            <w:tcW w:w="944" w:type="dxa"/>
            <w:tcBorders>
              <w:top w:val="nil"/>
              <w:left w:val="nil"/>
              <w:bottom w:val="single" w:sz="4" w:space="0" w:color="000000"/>
              <w:right w:val="single" w:sz="4" w:space="0" w:color="000000"/>
            </w:tcBorders>
            <w:shd w:val="clear" w:color="auto" w:fill="auto"/>
            <w:vAlign w:val="center"/>
            <w:hideMark/>
          </w:tcPr>
          <w:p w14:paraId="4CCD983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8"/>
                <w:szCs w:val="18"/>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655941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1C1EA72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EFF152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7ADB436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48B6604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692C5535"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9FA003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114621</w:t>
            </w:r>
          </w:p>
        </w:tc>
        <w:tc>
          <w:tcPr>
            <w:tcW w:w="2268" w:type="dxa"/>
            <w:tcBorders>
              <w:top w:val="nil"/>
              <w:left w:val="nil"/>
              <w:bottom w:val="single" w:sz="4" w:space="0" w:color="000000"/>
              <w:right w:val="single" w:sz="4" w:space="0" w:color="000000"/>
            </w:tcBorders>
            <w:shd w:val="clear" w:color="auto" w:fill="auto"/>
            <w:vAlign w:val="center"/>
            <w:hideMark/>
          </w:tcPr>
          <w:p w14:paraId="36E6B85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efectuarea prospecțiunilor geologice (12246)</w:t>
            </w:r>
          </w:p>
        </w:tc>
        <w:tc>
          <w:tcPr>
            <w:tcW w:w="992" w:type="dxa"/>
            <w:tcBorders>
              <w:top w:val="nil"/>
              <w:left w:val="nil"/>
              <w:bottom w:val="single" w:sz="4" w:space="0" w:color="000000"/>
              <w:right w:val="single" w:sz="4" w:space="0" w:color="000000"/>
            </w:tcBorders>
            <w:shd w:val="clear" w:color="auto" w:fill="auto"/>
            <w:vAlign w:val="center"/>
            <w:hideMark/>
          </w:tcPr>
          <w:p w14:paraId="4C3B89B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231F520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0,15</w:t>
            </w:r>
          </w:p>
        </w:tc>
        <w:tc>
          <w:tcPr>
            <w:tcW w:w="1064" w:type="dxa"/>
            <w:tcBorders>
              <w:top w:val="nil"/>
              <w:left w:val="nil"/>
              <w:bottom w:val="single" w:sz="4" w:space="0" w:color="000000"/>
              <w:right w:val="single" w:sz="4" w:space="0" w:color="000000"/>
            </w:tcBorders>
            <w:shd w:val="clear" w:color="auto" w:fill="auto"/>
            <w:vAlign w:val="center"/>
            <w:hideMark/>
          </w:tcPr>
          <w:p w14:paraId="039BA06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0464730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C9E439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7E94B6F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2A3C5F9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0,15</w:t>
            </w:r>
          </w:p>
        </w:tc>
      </w:tr>
      <w:tr w:rsidR="00EF4BC3" w:rsidRPr="009E5B39" w14:paraId="7EC0B638"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4CDD048"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114622</w:t>
            </w:r>
          </w:p>
        </w:tc>
        <w:tc>
          <w:tcPr>
            <w:tcW w:w="2268" w:type="dxa"/>
            <w:tcBorders>
              <w:top w:val="nil"/>
              <w:left w:val="nil"/>
              <w:bottom w:val="single" w:sz="4" w:space="0" w:color="000000"/>
              <w:right w:val="single" w:sz="4" w:space="0" w:color="000000"/>
            </w:tcBorders>
            <w:shd w:val="clear" w:color="auto" w:fill="auto"/>
            <w:vAlign w:val="center"/>
            <w:hideMark/>
          </w:tcPr>
          <w:p w14:paraId="46BC47E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efectuarea explorărilor geologice (12247)</w:t>
            </w:r>
          </w:p>
        </w:tc>
        <w:tc>
          <w:tcPr>
            <w:tcW w:w="992" w:type="dxa"/>
            <w:tcBorders>
              <w:top w:val="nil"/>
              <w:left w:val="nil"/>
              <w:bottom w:val="single" w:sz="4" w:space="0" w:color="000000"/>
              <w:right w:val="single" w:sz="4" w:space="0" w:color="000000"/>
            </w:tcBorders>
            <w:shd w:val="clear" w:color="auto" w:fill="auto"/>
            <w:vAlign w:val="center"/>
            <w:hideMark/>
          </w:tcPr>
          <w:p w14:paraId="40202CE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2D67AA0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7CF1CD8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24,12</w:t>
            </w:r>
          </w:p>
        </w:tc>
        <w:tc>
          <w:tcPr>
            <w:tcW w:w="862" w:type="dxa"/>
            <w:tcBorders>
              <w:top w:val="nil"/>
              <w:left w:val="nil"/>
              <w:bottom w:val="single" w:sz="4" w:space="0" w:color="000000"/>
              <w:right w:val="single" w:sz="4" w:space="0" w:color="000000"/>
            </w:tcBorders>
            <w:shd w:val="clear" w:color="auto" w:fill="auto"/>
            <w:vAlign w:val="center"/>
            <w:hideMark/>
          </w:tcPr>
          <w:p w14:paraId="6366230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05AE14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62,83</w:t>
            </w:r>
          </w:p>
        </w:tc>
        <w:tc>
          <w:tcPr>
            <w:tcW w:w="1028" w:type="dxa"/>
            <w:tcBorders>
              <w:top w:val="nil"/>
              <w:left w:val="nil"/>
              <w:bottom w:val="single" w:sz="4" w:space="0" w:color="000000"/>
              <w:right w:val="single" w:sz="4" w:space="0" w:color="000000"/>
            </w:tcBorders>
            <w:shd w:val="clear" w:color="auto" w:fill="auto"/>
            <w:vAlign w:val="center"/>
            <w:hideMark/>
          </w:tcPr>
          <w:p w14:paraId="1980D51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7E7C39C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38,64</w:t>
            </w:r>
          </w:p>
        </w:tc>
      </w:tr>
      <w:tr w:rsidR="00EF4BC3" w:rsidRPr="009E5B39" w14:paraId="7AE7D785"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21B6E2A"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114623</w:t>
            </w:r>
          </w:p>
        </w:tc>
        <w:tc>
          <w:tcPr>
            <w:tcW w:w="2268" w:type="dxa"/>
            <w:tcBorders>
              <w:top w:val="nil"/>
              <w:left w:val="nil"/>
              <w:bottom w:val="single" w:sz="4" w:space="0" w:color="000000"/>
              <w:right w:val="single" w:sz="4" w:space="0" w:color="000000"/>
            </w:tcBorders>
            <w:shd w:val="clear" w:color="auto" w:fill="auto"/>
            <w:vAlign w:val="center"/>
            <w:hideMark/>
          </w:tcPr>
          <w:p w14:paraId="315E29C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folosirea spațiilor subterane în scopul construcției obiectivelor subterane. altele decât cele destinate extracției mineralelor utile (12248)</w:t>
            </w:r>
          </w:p>
        </w:tc>
        <w:tc>
          <w:tcPr>
            <w:tcW w:w="992" w:type="dxa"/>
            <w:tcBorders>
              <w:top w:val="nil"/>
              <w:left w:val="nil"/>
              <w:bottom w:val="single" w:sz="4" w:space="0" w:color="000000"/>
              <w:right w:val="single" w:sz="4" w:space="0" w:color="000000"/>
            </w:tcBorders>
            <w:shd w:val="clear" w:color="auto" w:fill="auto"/>
            <w:vAlign w:val="center"/>
            <w:hideMark/>
          </w:tcPr>
          <w:p w14:paraId="0475C66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-0,008</w:t>
            </w:r>
          </w:p>
        </w:tc>
        <w:tc>
          <w:tcPr>
            <w:tcW w:w="944" w:type="dxa"/>
            <w:tcBorders>
              <w:top w:val="nil"/>
              <w:left w:val="nil"/>
              <w:bottom w:val="single" w:sz="4" w:space="0" w:color="000000"/>
              <w:right w:val="single" w:sz="4" w:space="0" w:color="000000"/>
            </w:tcBorders>
            <w:shd w:val="clear" w:color="auto" w:fill="auto"/>
            <w:vAlign w:val="center"/>
            <w:hideMark/>
          </w:tcPr>
          <w:p w14:paraId="35495B1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0,64</w:t>
            </w:r>
          </w:p>
        </w:tc>
        <w:tc>
          <w:tcPr>
            <w:tcW w:w="1064" w:type="dxa"/>
            <w:tcBorders>
              <w:top w:val="nil"/>
              <w:left w:val="nil"/>
              <w:bottom w:val="single" w:sz="4" w:space="0" w:color="000000"/>
              <w:right w:val="single" w:sz="4" w:space="0" w:color="000000"/>
            </w:tcBorders>
            <w:shd w:val="clear" w:color="auto" w:fill="auto"/>
            <w:vAlign w:val="center"/>
            <w:hideMark/>
          </w:tcPr>
          <w:p w14:paraId="5A37B2D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25D4616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FAAA0C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2FE81BF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-0,009</w:t>
            </w:r>
          </w:p>
        </w:tc>
        <w:tc>
          <w:tcPr>
            <w:tcW w:w="944" w:type="dxa"/>
            <w:tcBorders>
              <w:top w:val="nil"/>
              <w:left w:val="nil"/>
              <w:bottom w:val="single" w:sz="4" w:space="0" w:color="000000"/>
              <w:right w:val="single" w:sz="8" w:space="0" w:color="000000"/>
            </w:tcBorders>
            <w:shd w:val="clear" w:color="auto" w:fill="auto"/>
            <w:vAlign w:val="center"/>
            <w:hideMark/>
          </w:tcPr>
          <w:p w14:paraId="7685826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0,64</w:t>
            </w:r>
          </w:p>
        </w:tc>
      </w:tr>
      <w:tr w:rsidR="00EF4BC3" w:rsidRPr="009E5B39" w14:paraId="5C48971A"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B43F52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114623</w:t>
            </w:r>
          </w:p>
        </w:tc>
        <w:tc>
          <w:tcPr>
            <w:tcW w:w="2268" w:type="dxa"/>
            <w:tcBorders>
              <w:top w:val="nil"/>
              <w:left w:val="nil"/>
              <w:bottom w:val="single" w:sz="4" w:space="0" w:color="000000"/>
              <w:right w:val="single" w:sz="4" w:space="0" w:color="000000"/>
            </w:tcBorders>
            <w:shd w:val="clear" w:color="auto" w:fill="auto"/>
            <w:vAlign w:val="center"/>
            <w:hideMark/>
          </w:tcPr>
          <w:p w14:paraId="6920283D" w14:textId="02D43DE2"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11B494E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-0,03</w:t>
            </w:r>
          </w:p>
        </w:tc>
        <w:tc>
          <w:tcPr>
            <w:tcW w:w="944" w:type="dxa"/>
            <w:tcBorders>
              <w:top w:val="nil"/>
              <w:left w:val="nil"/>
              <w:bottom w:val="single" w:sz="4" w:space="0" w:color="000000"/>
              <w:right w:val="single" w:sz="4" w:space="0" w:color="000000"/>
            </w:tcBorders>
            <w:shd w:val="clear" w:color="auto" w:fill="auto"/>
            <w:vAlign w:val="center"/>
            <w:hideMark/>
          </w:tcPr>
          <w:p w14:paraId="57C185E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1,93</w:t>
            </w:r>
          </w:p>
        </w:tc>
        <w:tc>
          <w:tcPr>
            <w:tcW w:w="1064" w:type="dxa"/>
            <w:tcBorders>
              <w:top w:val="nil"/>
              <w:left w:val="nil"/>
              <w:bottom w:val="single" w:sz="4" w:space="0" w:color="000000"/>
              <w:right w:val="single" w:sz="4" w:space="0" w:color="000000"/>
            </w:tcBorders>
            <w:shd w:val="clear" w:color="auto" w:fill="auto"/>
            <w:vAlign w:val="center"/>
            <w:hideMark/>
          </w:tcPr>
          <w:p w14:paraId="363C131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0,003</w:t>
            </w:r>
          </w:p>
        </w:tc>
        <w:tc>
          <w:tcPr>
            <w:tcW w:w="862" w:type="dxa"/>
            <w:tcBorders>
              <w:top w:val="nil"/>
              <w:left w:val="nil"/>
              <w:bottom w:val="single" w:sz="4" w:space="0" w:color="000000"/>
              <w:right w:val="single" w:sz="4" w:space="0" w:color="000000"/>
            </w:tcBorders>
            <w:shd w:val="clear" w:color="auto" w:fill="auto"/>
            <w:vAlign w:val="center"/>
            <w:hideMark/>
          </w:tcPr>
          <w:p w14:paraId="39B631F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DA71F2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0,03</w:t>
            </w:r>
          </w:p>
        </w:tc>
        <w:tc>
          <w:tcPr>
            <w:tcW w:w="1028" w:type="dxa"/>
            <w:tcBorders>
              <w:top w:val="nil"/>
              <w:left w:val="nil"/>
              <w:bottom w:val="single" w:sz="4" w:space="0" w:color="000000"/>
              <w:right w:val="single" w:sz="4" w:space="0" w:color="000000"/>
            </w:tcBorders>
            <w:shd w:val="clear" w:color="auto" w:fill="auto"/>
            <w:vAlign w:val="center"/>
            <w:hideMark/>
          </w:tcPr>
          <w:p w14:paraId="2F62056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5E757CF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1,93</w:t>
            </w:r>
          </w:p>
        </w:tc>
      </w:tr>
      <w:tr w:rsidR="00EF4BC3" w:rsidRPr="009E5B39" w14:paraId="2D5D3839"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7D9AC31"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114624</w:t>
            </w:r>
          </w:p>
        </w:tc>
        <w:tc>
          <w:tcPr>
            <w:tcW w:w="2268" w:type="dxa"/>
            <w:tcBorders>
              <w:top w:val="nil"/>
              <w:left w:val="nil"/>
              <w:bottom w:val="single" w:sz="4" w:space="0" w:color="000000"/>
              <w:right w:val="single" w:sz="4" w:space="0" w:color="000000"/>
            </w:tcBorders>
            <w:shd w:val="clear" w:color="auto" w:fill="auto"/>
            <w:vAlign w:val="center"/>
            <w:hideMark/>
          </w:tcPr>
          <w:p w14:paraId="24AFB549"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pentru exploatarea  construcțiilor subterane în scopul desfășurării activității de întreprinzător. altele decât cele destinate extracției mineralelor utile (12249)</w:t>
            </w:r>
          </w:p>
        </w:tc>
        <w:tc>
          <w:tcPr>
            <w:tcW w:w="992" w:type="dxa"/>
            <w:tcBorders>
              <w:top w:val="nil"/>
              <w:left w:val="nil"/>
              <w:bottom w:val="single" w:sz="4" w:space="0" w:color="000000"/>
              <w:right w:val="single" w:sz="4" w:space="0" w:color="000000"/>
            </w:tcBorders>
            <w:shd w:val="clear" w:color="auto" w:fill="auto"/>
            <w:vAlign w:val="center"/>
            <w:hideMark/>
          </w:tcPr>
          <w:p w14:paraId="03CA711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-0,007</w:t>
            </w:r>
          </w:p>
        </w:tc>
        <w:tc>
          <w:tcPr>
            <w:tcW w:w="944" w:type="dxa"/>
            <w:tcBorders>
              <w:top w:val="nil"/>
              <w:left w:val="nil"/>
              <w:bottom w:val="single" w:sz="4" w:space="0" w:color="000000"/>
              <w:right w:val="single" w:sz="4" w:space="0" w:color="000000"/>
            </w:tcBorders>
            <w:shd w:val="clear" w:color="auto" w:fill="auto"/>
            <w:vAlign w:val="center"/>
            <w:hideMark/>
          </w:tcPr>
          <w:p w14:paraId="0860277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BD7B47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1,10</w:t>
            </w:r>
          </w:p>
        </w:tc>
        <w:tc>
          <w:tcPr>
            <w:tcW w:w="862" w:type="dxa"/>
            <w:tcBorders>
              <w:top w:val="nil"/>
              <w:left w:val="nil"/>
              <w:bottom w:val="single" w:sz="4" w:space="0" w:color="000000"/>
              <w:right w:val="single" w:sz="4" w:space="0" w:color="000000"/>
            </w:tcBorders>
            <w:shd w:val="clear" w:color="auto" w:fill="auto"/>
            <w:vAlign w:val="center"/>
            <w:hideMark/>
          </w:tcPr>
          <w:p w14:paraId="4D33DD3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5,71</w:t>
            </w:r>
          </w:p>
        </w:tc>
        <w:tc>
          <w:tcPr>
            <w:tcW w:w="1064" w:type="dxa"/>
            <w:tcBorders>
              <w:top w:val="nil"/>
              <w:left w:val="nil"/>
              <w:bottom w:val="single" w:sz="4" w:space="0" w:color="000000"/>
              <w:right w:val="single" w:sz="4" w:space="0" w:color="000000"/>
            </w:tcBorders>
            <w:shd w:val="clear" w:color="auto" w:fill="auto"/>
            <w:vAlign w:val="center"/>
            <w:hideMark/>
          </w:tcPr>
          <w:p w14:paraId="59BACE5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6,82</w:t>
            </w:r>
          </w:p>
        </w:tc>
        <w:tc>
          <w:tcPr>
            <w:tcW w:w="1028" w:type="dxa"/>
            <w:tcBorders>
              <w:top w:val="nil"/>
              <w:left w:val="nil"/>
              <w:bottom w:val="single" w:sz="4" w:space="0" w:color="000000"/>
              <w:right w:val="single" w:sz="4" w:space="0" w:color="000000"/>
            </w:tcBorders>
            <w:shd w:val="clear" w:color="auto" w:fill="auto"/>
            <w:vAlign w:val="center"/>
            <w:hideMark/>
          </w:tcPr>
          <w:p w14:paraId="6E8BACE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7F7457E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0,001</w:t>
            </w:r>
          </w:p>
        </w:tc>
      </w:tr>
      <w:tr w:rsidR="00EF4BC3" w:rsidRPr="009E5B39" w14:paraId="3124F39A"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C42AD8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114624</w:t>
            </w:r>
          </w:p>
        </w:tc>
        <w:tc>
          <w:tcPr>
            <w:tcW w:w="2268" w:type="dxa"/>
            <w:tcBorders>
              <w:top w:val="nil"/>
              <w:left w:val="nil"/>
              <w:bottom w:val="single" w:sz="4" w:space="0" w:color="000000"/>
              <w:right w:val="single" w:sz="4" w:space="0" w:color="000000"/>
            </w:tcBorders>
            <w:shd w:val="clear" w:color="auto" w:fill="auto"/>
            <w:vAlign w:val="center"/>
            <w:hideMark/>
          </w:tcPr>
          <w:p w14:paraId="55093265" w14:textId="5029BDFC"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CDF38D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-23,99</w:t>
            </w:r>
          </w:p>
        </w:tc>
        <w:tc>
          <w:tcPr>
            <w:tcW w:w="944" w:type="dxa"/>
            <w:tcBorders>
              <w:top w:val="nil"/>
              <w:left w:val="nil"/>
              <w:bottom w:val="single" w:sz="4" w:space="0" w:color="000000"/>
              <w:right w:val="single" w:sz="4" w:space="0" w:color="000000"/>
            </w:tcBorders>
            <w:shd w:val="clear" w:color="auto" w:fill="auto"/>
            <w:vAlign w:val="center"/>
            <w:hideMark/>
          </w:tcPr>
          <w:p w14:paraId="7A93618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31122F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27,75</w:t>
            </w:r>
          </w:p>
        </w:tc>
        <w:tc>
          <w:tcPr>
            <w:tcW w:w="862" w:type="dxa"/>
            <w:tcBorders>
              <w:top w:val="nil"/>
              <w:left w:val="nil"/>
              <w:bottom w:val="single" w:sz="4" w:space="0" w:color="000000"/>
              <w:right w:val="single" w:sz="4" w:space="0" w:color="000000"/>
            </w:tcBorders>
            <w:shd w:val="clear" w:color="auto" w:fill="auto"/>
            <w:vAlign w:val="center"/>
            <w:hideMark/>
          </w:tcPr>
          <w:p w14:paraId="4377ADC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153A1A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606CC6F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-51,74</w:t>
            </w:r>
          </w:p>
        </w:tc>
        <w:tc>
          <w:tcPr>
            <w:tcW w:w="944" w:type="dxa"/>
            <w:tcBorders>
              <w:top w:val="nil"/>
              <w:left w:val="nil"/>
              <w:bottom w:val="single" w:sz="4" w:space="0" w:color="000000"/>
              <w:right w:val="single" w:sz="8" w:space="0" w:color="000000"/>
            </w:tcBorders>
            <w:shd w:val="clear" w:color="auto" w:fill="auto"/>
            <w:vAlign w:val="center"/>
            <w:hideMark/>
          </w:tcPr>
          <w:p w14:paraId="481A39B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419B5FB5"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1A237C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141222</w:t>
            </w:r>
          </w:p>
        </w:tc>
        <w:tc>
          <w:tcPr>
            <w:tcW w:w="2268" w:type="dxa"/>
            <w:tcBorders>
              <w:top w:val="nil"/>
              <w:left w:val="nil"/>
              <w:bottom w:val="single" w:sz="4" w:space="0" w:color="000000"/>
              <w:right w:val="single" w:sz="4" w:space="0" w:color="000000"/>
            </w:tcBorders>
            <w:shd w:val="clear" w:color="auto" w:fill="auto"/>
            <w:vAlign w:val="center"/>
            <w:hideMark/>
          </w:tcPr>
          <w:p w14:paraId="7742CF84" w14:textId="61945B7A"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Dividende primite de la cota</w:t>
            </w:r>
            <w:r w:rsidR="00F53A05" w:rsidRPr="009E5B39">
              <w:rPr>
                <w:rFonts w:asciiTheme="majorHAnsi" w:eastAsia="Times New Roman" w:hAnsiTheme="majorHAnsi" w:cstheme="majorHAnsi"/>
                <w:sz w:val="16"/>
                <w:szCs w:val="16"/>
                <w:lang w:val="ro-MD"/>
              </w:rPr>
              <w:t>-</w:t>
            </w:r>
            <w:r w:rsidRPr="009E5B39">
              <w:rPr>
                <w:rFonts w:asciiTheme="majorHAnsi" w:eastAsia="Times New Roman" w:hAnsiTheme="majorHAnsi" w:cstheme="majorHAnsi"/>
                <w:sz w:val="16"/>
                <w:szCs w:val="16"/>
                <w:lang w:val="ro-MD"/>
              </w:rPr>
              <w:t xml:space="preserve"> parte a proprietății publice în societățile pe acțiuni în bugetul local de nivelul II (12102/32)</w:t>
            </w:r>
          </w:p>
        </w:tc>
        <w:tc>
          <w:tcPr>
            <w:tcW w:w="992" w:type="dxa"/>
            <w:tcBorders>
              <w:top w:val="nil"/>
              <w:left w:val="nil"/>
              <w:bottom w:val="single" w:sz="4" w:space="0" w:color="000000"/>
              <w:right w:val="single" w:sz="4" w:space="0" w:color="000000"/>
            </w:tcBorders>
            <w:shd w:val="clear" w:color="auto" w:fill="auto"/>
            <w:vAlign w:val="center"/>
            <w:hideMark/>
          </w:tcPr>
          <w:p w14:paraId="591FEF7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-154,45</w:t>
            </w:r>
          </w:p>
        </w:tc>
        <w:tc>
          <w:tcPr>
            <w:tcW w:w="944" w:type="dxa"/>
            <w:tcBorders>
              <w:top w:val="nil"/>
              <w:left w:val="nil"/>
              <w:bottom w:val="single" w:sz="4" w:space="0" w:color="000000"/>
              <w:right w:val="single" w:sz="4" w:space="0" w:color="000000"/>
            </w:tcBorders>
            <w:shd w:val="clear" w:color="auto" w:fill="auto"/>
            <w:vAlign w:val="center"/>
            <w:hideMark/>
          </w:tcPr>
          <w:p w14:paraId="3932937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8"/>
                <w:szCs w:val="18"/>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44FA03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5DC1EDA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73C684F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21E8EB0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-154,45</w:t>
            </w:r>
          </w:p>
        </w:tc>
        <w:tc>
          <w:tcPr>
            <w:tcW w:w="944" w:type="dxa"/>
            <w:tcBorders>
              <w:top w:val="nil"/>
              <w:left w:val="nil"/>
              <w:bottom w:val="single" w:sz="4" w:space="0" w:color="000000"/>
              <w:right w:val="single" w:sz="8" w:space="0" w:color="000000"/>
            </w:tcBorders>
            <w:shd w:val="clear" w:color="auto" w:fill="auto"/>
            <w:vAlign w:val="center"/>
            <w:hideMark/>
          </w:tcPr>
          <w:p w14:paraId="7F8C3A0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1BA403F1"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0B3871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141222</w:t>
            </w:r>
          </w:p>
        </w:tc>
        <w:tc>
          <w:tcPr>
            <w:tcW w:w="2268" w:type="dxa"/>
            <w:tcBorders>
              <w:top w:val="nil"/>
              <w:left w:val="nil"/>
              <w:bottom w:val="single" w:sz="4" w:space="0" w:color="000000"/>
              <w:right w:val="single" w:sz="4" w:space="0" w:color="000000"/>
            </w:tcBorders>
            <w:shd w:val="clear" w:color="auto" w:fill="auto"/>
            <w:vAlign w:val="center"/>
          </w:tcPr>
          <w:p w14:paraId="025212CA" w14:textId="6C6A46AF"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1A780E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3209527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0,37</w:t>
            </w:r>
          </w:p>
        </w:tc>
        <w:tc>
          <w:tcPr>
            <w:tcW w:w="1064" w:type="dxa"/>
            <w:tcBorders>
              <w:top w:val="nil"/>
              <w:left w:val="nil"/>
              <w:bottom w:val="single" w:sz="4" w:space="0" w:color="000000"/>
              <w:right w:val="single" w:sz="4" w:space="0" w:color="000000"/>
            </w:tcBorders>
            <w:shd w:val="clear" w:color="auto" w:fill="auto"/>
            <w:vAlign w:val="center"/>
            <w:hideMark/>
          </w:tcPr>
          <w:p w14:paraId="2AAD1B9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2,71</w:t>
            </w:r>
          </w:p>
        </w:tc>
        <w:tc>
          <w:tcPr>
            <w:tcW w:w="862" w:type="dxa"/>
            <w:tcBorders>
              <w:top w:val="nil"/>
              <w:left w:val="nil"/>
              <w:bottom w:val="single" w:sz="4" w:space="0" w:color="000000"/>
              <w:right w:val="single" w:sz="4" w:space="0" w:color="000000"/>
            </w:tcBorders>
            <w:shd w:val="clear" w:color="auto" w:fill="auto"/>
            <w:vAlign w:val="center"/>
            <w:hideMark/>
          </w:tcPr>
          <w:p w14:paraId="4E088A8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8B7E36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2,71</w:t>
            </w:r>
          </w:p>
        </w:tc>
        <w:tc>
          <w:tcPr>
            <w:tcW w:w="1028" w:type="dxa"/>
            <w:tcBorders>
              <w:top w:val="nil"/>
              <w:left w:val="nil"/>
              <w:bottom w:val="single" w:sz="4" w:space="0" w:color="000000"/>
              <w:right w:val="single" w:sz="4" w:space="0" w:color="000000"/>
            </w:tcBorders>
            <w:shd w:val="clear" w:color="auto" w:fill="auto"/>
            <w:vAlign w:val="center"/>
            <w:hideMark/>
          </w:tcPr>
          <w:p w14:paraId="019BD3F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521F73A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66C4F8AF"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E37FDA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141222</w:t>
            </w:r>
          </w:p>
        </w:tc>
        <w:tc>
          <w:tcPr>
            <w:tcW w:w="2268" w:type="dxa"/>
            <w:tcBorders>
              <w:top w:val="nil"/>
              <w:left w:val="nil"/>
              <w:bottom w:val="single" w:sz="4" w:space="0" w:color="000000"/>
              <w:right w:val="single" w:sz="4" w:space="0" w:color="000000"/>
            </w:tcBorders>
            <w:shd w:val="clear" w:color="auto" w:fill="auto"/>
            <w:vAlign w:val="center"/>
          </w:tcPr>
          <w:p w14:paraId="450BE0D7" w14:textId="17338F52"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3BD6FD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4578A63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0,008</w:t>
            </w:r>
          </w:p>
        </w:tc>
        <w:tc>
          <w:tcPr>
            <w:tcW w:w="1064" w:type="dxa"/>
            <w:tcBorders>
              <w:top w:val="nil"/>
              <w:left w:val="nil"/>
              <w:bottom w:val="single" w:sz="4" w:space="0" w:color="000000"/>
              <w:right w:val="single" w:sz="4" w:space="0" w:color="000000"/>
            </w:tcBorders>
            <w:shd w:val="clear" w:color="auto" w:fill="auto"/>
            <w:vAlign w:val="center"/>
            <w:hideMark/>
          </w:tcPr>
          <w:p w14:paraId="408D191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00087F6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-0,008</w:t>
            </w:r>
          </w:p>
        </w:tc>
        <w:tc>
          <w:tcPr>
            <w:tcW w:w="1064" w:type="dxa"/>
            <w:tcBorders>
              <w:top w:val="nil"/>
              <w:left w:val="nil"/>
              <w:bottom w:val="single" w:sz="4" w:space="0" w:color="000000"/>
              <w:right w:val="single" w:sz="4" w:space="0" w:color="000000"/>
            </w:tcBorders>
            <w:shd w:val="clear" w:color="auto" w:fill="auto"/>
            <w:vAlign w:val="center"/>
            <w:hideMark/>
          </w:tcPr>
          <w:p w14:paraId="610BF8B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178,83</w:t>
            </w:r>
          </w:p>
        </w:tc>
        <w:tc>
          <w:tcPr>
            <w:tcW w:w="1028" w:type="dxa"/>
            <w:tcBorders>
              <w:top w:val="nil"/>
              <w:left w:val="nil"/>
              <w:bottom w:val="single" w:sz="4" w:space="0" w:color="000000"/>
              <w:right w:val="single" w:sz="4" w:space="0" w:color="000000"/>
            </w:tcBorders>
            <w:shd w:val="clear" w:color="auto" w:fill="auto"/>
            <w:vAlign w:val="center"/>
            <w:hideMark/>
          </w:tcPr>
          <w:p w14:paraId="2351791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079E80E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178,83</w:t>
            </w:r>
          </w:p>
        </w:tc>
      </w:tr>
      <w:tr w:rsidR="00EF4BC3" w:rsidRPr="009E5B39" w14:paraId="26A34488"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D8543B1"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141222</w:t>
            </w:r>
          </w:p>
        </w:tc>
        <w:tc>
          <w:tcPr>
            <w:tcW w:w="2268" w:type="dxa"/>
            <w:tcBorders>
              <w:top w:val="nil"/>
              <w:left w:val="nil"/>
              <w:bottom w:val="single" w:sz="4" w:space="0" w:color="000000"/>
              <w:right w:val="single" w:sz="4" w:space="0" w:color="000000"/>
            </w:tcBorders>
            <w:shd w:val="clear" w:color="auto" w:fill="auto"/>
            <w:vAlign w:val="center"/>
          </w:tcPr>
          <w:p w14:paraId="6C82A947" w14:textId="2259CBC8"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BA4E9A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30A5667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35,42</w:t>
            </w:r>
          </w:p>
        </w:tc>
        <w:tc>
          <w:tcPr>
            <w:tcW w:w="1064" w:type="dxa"/>
            <w:tcBorders>
              <w:top w:val="nil"/>
              <w:left w:val="nil"/>
              <w:bottom w:val="single" w:sz="4" w:space="0" w:color="000000"/>
              <w:right w:val="single" w:sz="4" w:space="0" w:color="000000"/>
            </w:tcBorders>
            <w:shd w:val="clear" w:color="auto" w:fill="auto"/>
            <w:vAlign w:val="center"/>
            <w:hideMark/>
          </w:tcPr>
          <w:p w14:paraId="5457D9B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3.518,64</w:t>
            </w:r>
          </w:p>
        </w:tc>
        <w:tc>
          <w:tcPr>
            <w:tcW w:w="862" w:type="dxa"/>
            <w:tcBorders>
              <w:top w:val="nil"/>
              <w:left w:val="nil"/>
              <w:bottom w:val="single" w:sz="4" w:space="0" w:color="000000"/>
              <w:right w:val="single" w:sz="4" w:space="0" w:color="000000"/>
            </w:tcBorders>
            <w:shd w:val="clear" w:color="auto" w:fill="auto"/>
            <w:vAlign w:val="center"/>
            <w:hideMark/>
          </w:tcPr>
          <w:p w14:paraId="4948F59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-0,34</w:t>
            </w:r>
          </w:p>
        </w:tc>
        <w:tc>
          <w:tcPr>
            <w:tcW w:w="1064" w:type="dxa"/>
            <w:tcBorders>
              <w:top w:val="nil"/>
              <w:left w:val="nil"/>
              <w:bottom w:val="single" w:sz="4" w:space="0" w:color="000000"/>
              <w:right w:val="single" w:sz="4" w:space="0" w:color="000000"/>
            </w:tcBorders>
            <w:shd w:val="clear" w:color="auto" w:fill="auto"/>
            <w:vAlign w:val="center"/>
            <w:hideMark/>
          </w:tcPr>
          <w:p w14:paraId="0F0251B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3.518,64</w:t>
            </w:r>
          </w:p>
        </w:tc>
        <w:tc>
          <w:tcPr>
            <w:tcW w:w="1028" w:type="dxa"/>
            <w:tcBorders>
              <w:top w:val="nil"/>
              <w:left w:val="nil"/>
              <w:bottom w:val="single" w:sz="4" w:space="0" w:color="000000"/>
              <w:right w:val="single" w:sz="4" w:space="0" w:color="000000"/>
            </w:tcBorders>
            <w:shd w:val="clear" w:color="auto" w:fill="auto"/>
            <w:vAlign w:val="center"/>
            <w:hideMark/>
          </w:tcPr>
          <w:p w14:paraId="670675C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7DE072D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35,08</w:t>
            </w:r>
          </w:p>
        </w:tc>
      </w:tr>
      <w:tr w:rsidR="00EF4BC3" w:rsidRPr="009E5B39" w14:paraId="622982F0"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088CA61"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141231</w:t>
            </w:r>
          </w:p>
        </w:tc>
        <w:tc>
          <w:tcPr>
            <w:tcW w:w="2268" w:type="dxa"/>
            <w:tcBorders>
              <w:top w:val="nil"/>
              <w:left w:val="nil"/>
              <w:bottom w:val="single" w:sz="4" w:space="0" w:color="000000"/>
              <w:right w:val="single" w:sz="4" w:space="0" w:color="000000"/>
            </w:tcBorders>
            <w:shd w:val="clear" w:color="auto" w:fill="auto"/>
            <w:vAlign w:val="center"/>
            <w:hideMark/>
          </w:tcPr>
          <w:p w14:paraId="7AC8D52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Defalcări de la profitul net al întreprinderilor de stat (municipale) în bugetul de stat (12103/20)</w:t>
            </w:r>
          </w:p>
        </w:tc>
        <w:tc>
          <w:tcPr>
            <w:tcW w:w="992" w:type="dxa"/>
            <w:tcBorders>
              <w:top w:val="nil"/>
              <w:left w:val="nil"/>
              <w:bottom w:val="single" w:sz="4" w:space="0" w:color="000000"/>
              <w:right w:val="single" w:sz="4" w:space="0" w:color="000000"/>
            </w:tcBorders>
            <w:shd w:val="clear" w:color="auto" w:fill="auto"/>
            <w:vAlign w:val="center"/>
            <w:hideMark/>
          </w:tcPr>
          <w:p w14:paraId="05A7662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0205FC2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1,66</w:t>
            </w:r>
          </w:p>
        </w:tc>
        <w:tc>
          <w:tcPr>
            <w:tcW w:w="1064" w:type="dxa"/>
            <w:tcBorders>
              <w:top w:val="nil"/>
              <w:left w:val="nil"/>
              <w:bottom w:val="single" w:sz="4" w:space="0" w:color="000000"/>
              <w:right w:val="single" w:sz="4" w:space="0" w:color="000000"/>
            </w:tcBorders>
            <w:shd w:val="clear" w:color="auto" w:fill="auto"/>
            <w:vAlign w:val="center"/>
            <w:hideMark/>
          </w:tcPr>
          <w:p w14:paraId="3AA6F07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31638A4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2BBB09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0573381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303AFDD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1,66</w:t>
            </w:r>
          </w:p>
        </w:tc>
      </w:tr>
      <w:tr w:rsidR="00EF4BC3" w:rsidRPr="009E5B39" w14:paraId="6B799844"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D911CDB"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141232</w:t>
            </w:r>
          </w:p>
        </w:tc>
        <w:tc>
          <w:tcPr>
            <w:tcW w:w="2268" w:type="dxa"/>
            <w:tcBorders>
              <w:top w:val="nil"/>
              <w:left w:val="nil"/>
              <w:bottom w:val="single" w:sz="4" w:space="0" w:color="000000"/>
              <w:right w:val="single" w:sz="4" w:space="0" w:color="000000"/>
            </w:tcBorders>
            <w:shd w:val="clear" w:color="auto" w:fill="auto"/>
            <w:vAlign w:val="center"/>
            <w:hideMark/>
          </w:tcPr>
          <w:p w14:paraId="730CFE6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Defalcări de la profitul net al întreprinderilor de stat (municipale) în bugetul local de nivelul II (12103/32)</w:t>
            </w:r>
          </w:p>
        </w:tc>
        <w:tc>
          <w:tcPr>
            <w:tcW w:w="992" w:type="dxa"/>
            <w:tcBorders>
              <w:top w:val="nil"/>
              <w:left w:val="nil"/>
              <w:bottom w:val="single" w:sz="4" w:space="0" w:color="000000"/>
              <w:right w:val="single" w:sz="4" w:space="0" w:color="000000"/>
            </w:tcBorders>
            <w:shd w:val="clear" w:color="auto" w:fill="auto"/>
            <w:vAlign w:val="center"/>
            <w:hideMark/>
          </w:tcPr>
          <w:p w14:paraId="5489D25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-0,009</w:t>
            </w:r>
          </w:p>
        </w:tc>
        <w:tc>
          <w:tcPr>
            <w:tcW w:w="944" w:type="dxa"/>
            <w:tcBorders>
              <w:top w:val="nil"/>
              <w:left w:val="nil"/>
              <w:bottom w:val="single" w:sz="4" w:space="0" w:color="000000"/>
              <w:right w:val="single" w:sz="4" w:space="0" w:color="000000"/>
            </w:tcBorders>
            <w:shd w:val="clear" w:color="auto" w:fill="auto"/>
            <w:vAlign w:val="center"/>
            <w:hideMark/>
          </w:tcPr>
          <w:p w14:paraId="46577B1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76,58</w:t>
            </w:r>
          </w:p>
        </w:tc>
        <w:tc>
          <w:tcPr>
            <w:tcW w:w="1064" w:type="dxa"/>
            <w:tcBorders>
              <w:top w:val="nil"/>
              <w:left w:val="nil"/>
              <w:bottom w:val="single" w:sz="4" w:space="0" w:color="000000"/>
              <w:right w:val="single" w:sz="4" w:space="0" w:color="000000"/>
            </w:tcBorders>
            <w:shd w:val="clear" w:color="auto" w:fill="auto"/>
            <w:vAlign w:val="center"/>
            <w:hideMark/>
          </w:tcPr>
          <w:p w14:paraId="25193A1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1.598,9</w:t>
            </w:r>
          </w:p>
        </w:tc>
        <w:tc>
          <w:tcPr>
            <w:tcW w:w="862" w:type="dxa"/>
            <w:tcBorders>
              <w:top w:val="nil"/>
              <w:left w:val="nil"/>
              <w:bottom w:val="single" w:sz="4" w:space="0" w:color="000000"/>
              <w:right w:val="single" w:sz="4" w:space="0" w:color="000000"/>
            </w:tcBorders>
            <w:shd w:val="clear" w:color="auto" w:fill="auto"/>
            <w:vAlign w:val="center"/>
            <w:hideMark/>
          </w:tcPr>
          <w:p w14:paraId="53D6EC1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772CC0E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2.296,45</w:t>
            </w:r>
          </w:p>
        </w:tc>
        <w:tc>
          <w:tcPr>
            <w:tcW w:w="1028" w:type="dxa"/>
            <w:tcBorders>
              <w:top w:val="nil"/>
              <w:left w:val="nil"/>
              <w:bottom w:val="single" w:sz="4" w:space="0" w:color="000000"/>
              <w:right w:val="single" w:sz="4" w:space="0" w:color="000000"/>
            </w:tcBorders>
            <w:shd w:val="clear" w:color="auto" w:fill="auto"/>
            <w:vAlign w:val="center"/>
            <w:hideMark/>
          </w:tcPr>
          <w:p w14:paraId="0AF0D90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-0,009</w:t>
            </w:r>
          </w:p>
        </w:tc>
        <w:tc>
          <w:tcPr>
            <w:tcW w:w="944" w:type="dxa"/>
            <w:tcBorders>
              <w:top w:val="nil"/>
              <w:left w:val="nil"/>
              <w:bottom w:val="single" w:sz="4" w:space="0" w:color="000000"/>
              <w:right w:val="single" w:sz="8" w:space="0" w:color="000000"/>
            </w:tcBorders>
            <w:shd w:val="clear" w:color="auto" w:fill="auto"/>
            <w:vAlign w:val="center"/>
            <w:hideMark/>
          </w:tcPr>
          <w:p w14:paraId="54C382B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59,83</w:t>
            </w:r>
          </w:p>
        </w:tc>
      </w:tr>
      <w:tr w:rsidR="00EF4BC3" w:rsidRPr="009E5B39" w14:paraId="648FC41D"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2D34BFC"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141232</w:t>
            </w:r>
          </w:p>
        </w:tc>
        <w:tc>
          <w:tcPr>
            <w:tcW w:w="2268" w:type="dxa"/>
            <w:tcBorders>
              <w:top w:val="nil"/>
              <w:left w:val="nil"/>
              <w:bottom w:val="single" w:sz="4" w:space="0" w:color="000000"/>
              <w:right w:val="single" w:sz="4" w:space="0" w:color="000000"/>
            </w:tcBorders>
            <w:shd w:val="clear" w:color="auto" w:fill="auto"/>
            <w:vAlign w:val="center"/>
          </w:tcPr>
          <w:p w14:paraId="6F16CFF2" w14:textId="69EB7EB0"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934691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4AB103C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38,05</w:t>
            </w:r>
          </w:p>
        </w:tc>
        <w:tc>
          <w:tcPr>
            <w:tcW w:w="1064" w:type="dxa"/>
            <w:tcBorders>
              <w:top w:val="nil"/>
              <w:left w:val="nil"/>
              <w:bottom w:val="single" w:sz="4" w:space="0" w:color="000000"/>
              <w:right w:val="single" w:sz="4" w:space="0" w:color="000000"/>
            </w:tcBorders>
            <w:shd w:val="clear" w:color="auto" w:fill="auto"/>
            <w:vAlign w:val="center"/>
            <w:hideMark/>
          </w:tcPr>
          <w:p w14:paraId="03E9DFE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83,09</w:t>
            </w:r>
          </w:p>
        </w:tc>
        <w:tc>
          <w:tcPr>
            <w:tcW w:w="862" w:type="dxa"/>
            <w:tcBorders>
              <w:top w:val="nil"/>
              <w:left w:val="nil"/>
              <w:bottom w:val="single" w:sz="4" w:space="0" w:color="000000"/>
              <w:right w:val="single" w:sz="4" w:space="0" w:color="000000"/>
            </w:tcBorders>
            <w:shd w:val="clear" w:color="auto" w:fill="auto"/>
            <w:vAlign w:val="center"/>
            <w:hideMark/>
          </w:tcPr>
          <w:p w14:paraId="3E3E694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7B594E2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83,15</w:t>
            </w:r>
          </w:p>
        </w:tc>
        <w:tc>
          <w:tcPr>
            <w:tcW w:w="1028" w:type="dxa"/>
            <w:tcBorders>
              <w:top w:val="nil"/>
              <w:left w:val="nil"/>
              <w:bottom w:val="single" w:sz="4" w:space="0" w:color="000000"/>
              <w:right w:val="single" w:sz="4" w:space="0" w:color="000000"/>
            </w:tcBorders>
            <w:shd w:val="clear" w:color="auto" w:fill="auto"/>
            <w:vAlign w:val="center"/>
            <w:hideMark/>
          </w:tcPr>
          <w:p w14:paraId="2C19644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6528AD5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38,1</w:t>
            </w:r>
          </w:p>
        </w:tc>
      </w:tr>
      <w:tr w:rsidR="00EF4BC3" w:rsidRPr="009E5B39" w14:paraId="549907F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A638BFC"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141232</w:t>
            </w:r>
          </w:p>
        </w:tc>
        <w:tc>
          <w:tcPr>
            <w:tcW w:w="2268" w:type="dxa"/>
            <w:tcBorders>
              <w:top w:val="nil"/>
              <w:left w:val="nil"/>
              <w:bottom w:val="single" w:sz="4" w:space="0" w:color="000000"/>
              <w:right w:val="single" w:sz="4" w:space="0" w:color="000000"/>
            </w:tcBorders>
            <w:shd w:val="clear" w:color="auto" w:fill="auto"/>
            <w:vAlign w:val="center"/>
          </w:tcPr>
          <w:p w14:paraId="57FE41A0" w14:textId="0A680746"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028735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3ADE814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154,37</w:t>
            </w:r>
          </w:p>
        </w:tc>
        <w:tc>
          <w:tcPr>
            <w:tcW w:w="1064" w:type="dxa"/>
            <w:tcBorders>
              <w:top w:val="nil"/>
              <w:left w:val="nil"/>
              <w:bottom w:val="single" w:sz="4" w:space="0" w:color="000000"/>
              <w:right w:val="single" w:sz="4" w:space="0" w:color="000000"/>
            </w:tcBorders>
            <w:shd w:val="clear" w:color="auto" w:fill="auto"/>
            <w:vAlign w:val="center"/>
            <w:hideMark/>
          </w:tcPr>
          <w:p w14:paraId="0511D65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148,24</w:t>
            </w:r>
          </w:p>
        </w:tc>
        <w:tc>
          <w:tcPr>
            <w:tcW w:w="862" w:type="dxa"/>
            <w:tcBorders>
              <w:top w:val="nil"/>
              <w:left w:val="nil"/>
              <w:bottom w:val="single" w:sz="4" w:space="0" w:color="000000"/>
              <w:right w:val="single" w:sz="4" w:space="0" w:color="000000"/>
            </w:tcBorders>
            <w:shd w:val="clear" w:color="auto" w:fill="auto"/>
            <w:vAlign w:val="center"/>
            <w:hideMark/>
          </w:tcPr>
          <w:p w14:paraId="18576EE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-1.218,31</w:t>
            </w:r>
          </w:p>
        </w:tc>
        <w:tc>
          <w:tcPr>
            <w:tcW w:w="1064" w:type="dxa"/>
            <w:tcBorders>
              <w:top w:val="nil"/>
              <w:left w:val="nil"/>
              <w:bottom w:val="single" w:sz="4" w:space="0" w:color="000000"/>
              <w:right w:val="single" w:sz="4" w:space="0" w:color="000000"/>
            </w:tcBorders>
            <w:shd w:val="clear" w:color="auto" w:fill="auto"/>
            <w:vAlign w:val="center"/>
            <w:hideMark/>
          </w:tcPr>
          <w:p w14:paraId="6D46D52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-237,12</w:t>
            </w:r>
          </w:p>
        </w:tc>
        <w:tc>
          <w:tcPr>
            <w:tcW w:w="1028" w:type="dxa"/>
            <w:tcBorders>
              <w:top w:val="nil"/>
              <w:left w:val="nil"/>
              <w:bottom w:val="single" w:sz="4" w:space="0" w:color="000000"/>
              <w:right w:val="single" w:sz="4" w:space="0" w:color="000000"/>
            </w:tcBorders>
            <w:shd w:val="clear" w:color="auto" w:fill="auto"/>
            <w:vAlign w:val="center"/>
            <w:hideMark/>
          </w:tcPr>
          <w:p w14:paraId="516C4AA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4279C57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154,37</w:t>
            </w:r>
          </w:p>
        </w:tc>
      </w:tr>
      <w:tr w:rsidR="00EF4BC3" w:rsidRPr="009E5B39" w14:paraId="2D0AA88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DD2C51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141232</w:t>
            </w:r>
          </w:p>
        </w:tc>
        <w:tc>
          <w:tcPr>
            <w:tcW w:w="2268" w:type="dxa"/>
            <w:tcBorders>
              <w:top w:val="nil"/>
              <w:left w:val="nil"/>
              <w:bottom w:val="single" w:sz="4" w:space="0" w:color="000000"/>
              <w:right w:val="single" w:sz="4" w:space="0" w:color="000000"/>
            </w:tcBorders>
            <w:shd w:val="clear" w:color="auto" w:fill="auto"/>
            <w:vAlign w:val="center"/>
          </w:tcPr>
          <w:p w14:paraId="69DF54E6" w14:textId="154CA830"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37C8E41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30E2BC0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28,37</w:t>
            </w:r>
          </w:p>
        </w:tc>
        <w:tc>
          <w:tcPr>
            <w:tcW w:w="1064" w:type="dxa"/>
            <w:tcBorders>
              <w:top w:val="nil"/>
              <w:left w:val="nil"/>
              <w:bottom w:val="single" w:sz="4" w:space="0" w:color="000000"/>
              <w:right w:val="single" w:sz="4" w:space="0" w:color="000000"/>
            </w:tcBorders>
            <w:shd w:val="clear" w:color="auto" w:fill="auto"/>
            <w:vAlign w:val="center"/>
            <w:hideMark/>
          </w:tcPr>
          <w:p w14:paraId="0553BCC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26,64</w:t>
            </w:r>
          </w:p>
        </w:tc>
        <w:tc>
          <w:tcPr>
            <w:tcW w:w="862" w:type="dxa"/>
            <w:tcBorders>
              <w:top w:val="nil"/>
              <w:left w:val="nil"/>
              <w:bottom w:val="single" w:sz="4" w:space="0" w:color="000000"/>
              <w:right w:val="single" w:sz="4" w:space="0" w:color="000000"/>
            </w:tcBorders>
            <w:shd w:val="clear" w:color="auto" w:fill="auto"/>
            <w:vAlign w:val="center"/>
            <w:hideMark/>
          </w:tcPr>
          <w:p w14:paraId="787CB65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36B0D7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26,39</w:t>
            </w:r>
          </w:p>
        </w:tc>
        <w:tc>
          <w:tcPr>
            <w:tcW w:w="1028" w:type="dxa"/>
            <w:tcBorders>
              <w:top w:val="nil"/>
              <w:left w:val="nil"/>
              <w:bottom w:val="single" w:sz="4" w:space="0" w:color="000000"/>
              <w:right w:val="single" w:sz="4" w:space="0" w:color="000000"/>
            </w:tcBorders>
            <w:shd w:val="clear" w:color="auto" w:fill="auto"/>
            <w:vAlign w:val="center"/>
            <w:hideMark/>
          </w:tcPr>
          <w:p w14:paraId="1CF0E94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-0,25</w:t>
            </w:r>
          </w:p>
        </w:tc>
        <w:tc>
          <w:tcPr>
            <w:tcW w:w="944" w:type="dxa"/>
            <w:tcBorders>
              <w:top w:val="nil"/>
              <w:left w:val="nil"/>
              <w:bottom w:val="single" w:sz="4" w:space="0" w:color="000000"/>
              <w:right w:val="single" w:sz="8" w:space="0" w:color="000000"/>
            </w:tcBorders>
            <w:shd w:val="clear" w:color="auto" w:fill="auto"/>
            <w:vAlign w:val="center"/>
            <w:hideMark/>
          </w:tcPr>
          <w:p w14:paraId="6130ED4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28,37</w:t>
            </w:r>
          </w:p>
        </w:tc>
      </w:tr>
      <w:tr w:rsidR="00EF4BC3" w:rsidRPr="009E5B39" w14:paraId="7120EBC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CEF718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141532</w:t>
            </w:r>
          </w:p>
        </w:tc>
        <w:tc>
          <w:tcPr>
            <w:tcW w:w="2268" w:type="dxa"/>
            <w:tcBorders>
              <w:top w:val="nil"/>
              <w:left w:val="nil"/>
              <w:bottom w:val="single" w:sz="4" w:space="0" w:color="000000"/>
              <w:right w:val="single" w:sz="4" w:space="0" w:color="000000"/>
            </w:tcBorders>
            <w:shd w:val="clear" w:color="auto" w:fill="auto"/>
            <w:vAlign w:val="center"/>
            <w:hideMark/>
          </w:tcPr>
          <w:p w14:paraId="58E2E38A"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Arenda terenurilor cu altă destinație decât cea agricolă încasată în bugetul local de nivelul II (12133/32)</w:t>
            </w:r>
          </w:p>
        </w:tc>
        <w:tc>
          <w:tcPr>
            <w:tcW w:w="992" w:type="dxa"/>
            <w:tcBorders>
              <w:top w:val="nil"/>
              <w:left w:val="nil"/>
              <w:bottom w:val="single" w:sz="4" w:space="0" w:color="000000"/>
              <w:right w:val="single" w:sz="4" w:space="0" w:color="000000"/>
            </w:tcBorders>
            <w:shd w:val="clear" w:color="auto" w:fill="auto"/>
            <w:vAlign w:val="center"/>
            <w:hideMark/>
          </w:tcPr>
          <w:p w14:paraId="1340186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1CF3DC4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256CC5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66E8F33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1C6D91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10.254,66</w:t>
            </w:r>
          </w:p>
        </w:tc>
        <w:tc>
          <w:tcPr>
            <w:tcW w:w="1028" w:type="dxa"/>
            <w:tcBorders>
              <w:top w:val="nil"/>
              <w:left w:val="nil"/>
              <w:bottom w:val="single" w:sz="4" w:space="0" w:color="000000"/>
              <w:right w:val="single" w:sz="4" w:space="0" w:color="000000"/>
            </w:tcBorders>
            <w:shd w:val="clear" w:color="auto" w:fill="auto"/>
            <w:vAlign w:val="center"/>
            <w:hideMark/>
          </w:tcPr>
          <w:p w14:paraId="148276D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6C14B2E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69932804"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701849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141532</w:t>
            </w:r>
          </w:p>
        </w:tc>
        <w:tc>
          <w:tcPr>
            <w:tcW w:w="2268" w:type="dxa"/>
            <w:tcBorders>
              <w:top w:val="nil"/>
              <w:left w:val="nil"/>
              <w:bottom w:val="single" w:sz="4" w:space="0" w:color="000000"/>
              <w:right w:val="single" w:sz="4" w:space="0" w:color="000000"/>
            </w:tcBorders>
            <w:shd w:val="clear" w:color="auto" w:fill="auto"/>
            <w:vAlign w:val="center"/>
          </w:tcPr>
          <w:p w14:paraId="3047515E" w14:textId="38DD06C4"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3B0960C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71D3C0F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39F70F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76BCAEE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F8DEC1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4.508,89</w:t>
            </w:r>
          </w:p>
        </w:tc>
        <w:tc>
          <w:tcPr>
            <w:tcW w:w="1028" w:type="dxa"/>
            <w:tcBorders>
              <w:top w:val="nil"/>
              <w:left w:val="nil"/>
              <w:bottom w:val="single" w:sz="4" w:space="0" w:color="000000"/>
              <w:right w:val="single" w:sz="4" w:space="0" w:color="000000"/>
            </w:tcBorders>
            <w:shd w:val="clear" w:color="auto" w:fill="auto"/>
            <w:vAlign w:val="center"/>
            <w:hideMark/>
          </w:tcPr>
          <w:p w14:paraId="42A62B9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7BE3B49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4F36BF59"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D731FB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141532</w:t>
            </w:r>
          </w:p>
        </w:tc>
        <w:tc>
          <w:tcPr>
            <w:tcW w:w="2268" w:type="dxa"/>
            <w:tcBorders>
              <w:top w:val="nil"/>
              <w:left w:val="nil"/>
              <w:bottom w:val="single" w:sz="4" w:space="0" w:color="000000"/>
              <w:right w:val="single" w:sz="4" w:space="0" w:color="000000"/>
            </w:tcBorders>
            <w:shd w:val="clear" w:color="auto" w:fill="auto"/>
            <w:vAlign w:val="center"/>
          </w:tcPr>
          <w:p w14:paraId="54943F11" w14:textId="07AE06E2"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644409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136FFE9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A87814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4B76B1F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23964DA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7.439,69</w:t>
            </w:r>
          </w:p>
        </w:tc>
        <w:tc>
          <w:tcPr>
            <w:tcW w:w="1028" w:type="dxa"/>
            <w:tcBorders>
              <w:top w:val="nil"/>
              <w:left w:val="nil"/>
              <w:bottom w:val="single" w:sz="4" w:space="0" w:color="000000"/>
              <w:right w:val="single" w:sz="4" w:space="0" w:color="000000"/>
            </w:tcBorders>
            <w:shd w:val="clear" w:color="auto" w:fill="auto"/>
            <w:vAlign w:val="center"/>
            <w:hideMark/>
          </w:tcPr>
          <w:p w14:paraId="582D382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59D1585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414E0F31"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257869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141532</w:t>
            </w:r>
          </w:p>
        </w:tc>
        <w:tc>
          <w:tcPr>
            <w:tcW w:w="2268" w:type="dxa"/>
            <w:tcBorders>
              <w:top w:val="nil"/>
              <w:left w:val="nil"/>
              <w:bottom w:val="single" w:sz="4" w:space="0" w:color="000000"/>
              <w:right w:val="single" w:sz="4" w:space="0" w:color="000000"/>
            </w:tcBorders>
            <w:shd w:val="clear" w:color="auto" w:fill="auto"/>
            <w:vAlign w:val="center"/>
          </w:tcPr>
          <w:p w14:paraId="72D2E661" w14:textId="3A4AC220"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1FDD18C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000CF06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B6F4BE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47C098E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2B6498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4.377,7</w:t>
            </w:r>
          </w:p>
        </w:tc>
        <w:tc>
          <w:tcPr>
            <w:tcW w:w="1028" w:type="dxa"/>
            <w:tcBorders>
              <w:top w:val="nil"/>
              <w:left w:val="nil"/>
              <w:bottom w:val="single" w:sz="4" w:space="0" w:color="000000"/>
              <w:right w:val="single" w:sz="4" w:space="0" w:color="000000"/>
            </w:tcBorders>
            <w:shd w:val="clear" w:color="auto" w:fill="auto"/>
            <w:vAlign w:val="center"/>
            <w:hideMark/>
          </w:tcPr>
          <w:p w14:paraId="662E7FA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20E30BF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1D425AE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AA9A131"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142211</w:t>
            </w:r>
          </w:p>
        </w:tc>
        <w:tc>
          <w:tcPr>
            <w:tcW w:w="2268" w:type="dxa"/>
            <w:tcBorders>
              <w:top w:val="nil"/>
              <w:left w:val="nil"/>
              <w:bottom w:val="single" w:sz="4" w:space="0" w:color="000000"/>
              <w:right w:val="single" w:sz="4" w:space="0" w:color="000000"/>
            </w:tcBorders>
            <w:shd w:val="clear" w:color="auto" w:fill="auto"/>
            <w:vAlign w:val="center"/>
            <w:hideMark/>
          </w:tcPr>
          <w:p w14:paraId="0899BF3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de organizare a licitațiilor și loteriilor pe teritoriul unității administrativ-teritoriale (11556)</w:t>
            </w:r>
          </w:p>
        </w:tc>
        <w:tc>
          <w:tcPr>
            <w:tcW w:w="992" w:type="dxa"/>
            <w:tcBorders>
              <w:top w:val="nil"/>
              <w:left w:val="nil"/>
              <w:bottom w:val="single" w:sz="4" w:space="0" w:color="000000"/>
              <w:right w:val="single" w:sz="4" w:space="0" w:color="000000"/>
            </w:tcBorders>
            <w:shd w:val="clear" w:color="auto" w:fill="auto"/>
            <w:vAlign w:val="center"/>
            <w:hideMark/>
          </w:tcPr>
          <w:p w14:paraId="0D48DEA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-7,66</w:t>
            </w:r>
          </w:p>
        </w:tc>
        <w:tc>
          <w:tcPr>
            <w:tcW w:w="944" w:type="dxa"/>
            <w:tcBorders>
              <w:top w:val="nil"/>
              <w:left w:val="nil"/>
              <w:bottom w:val="single" w:sz="4" w:space="0" w:color="000000"/>
              <w:right w:val="single" w:sz="4" w:space="0" w:color="000000"/>
            </w:tcBorders>
            <w:shd w:val="clear" w:color="auto" w:fill="auto"/>
            <w:vAlign w:val="center"/>
            <w:hideMark/>
          </w:tcPr>
          <w:p w14:paraId="3F93297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35,22</w:t>
            </w:r>
          </w:p>
        </w:tc>
        <w:tc>
          <w:tcPr>
            <w:tcW w:w="1064" w:type="dxa"/>
            <w:tcBorders>
              <w:top w:val="nil"/>
              <w:left w:val="nil"/>
              <w:bottom w:val="single" w:sz="4" w:space="0" w:color="000000"/>
              <w:right w:val="single" w:sz="4" w:space="0" w:color="000000"/>
            </w:tcBorders>
            <w:shd w:val="clear" w:color="auto" w:fill="auto"/>
            <w:vAlign w:val="center"/>
            <w:hideMark/>
          </w:tcPr>
          <w:p w14:paraId="0BAB019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313,40</w:t>
            </w:r>
          </w:p>
        </w:tc>
        <w:tc>
          <w:tcPr>
            <w:tcW w:w="862" w:type="dxa"/>
            <w:tcBorders>
              <w:top w:val="nil"/>
              <w:left w:val="nil"/>
              <w:bottom w:val="single" w:sz="4" w:space="0" w:color="000000"/>
              <w:right w:val="single" w:sz="4" w:space="0" w:color="000000"/>
            </w:tcBorders>
            <w:shd w:val="clear" w:color="auto" w:fill="auto"/>
            <w:vAlign w:val="center"/>
            <w:hideMark/>
          </w:tcPr>
          <w:p w14:paraId="3A69CB2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0,05</w:t>
            </w:r>
          </w:p>
        </w:tc>
        <w:tc>
          <w:tcPr>
            <w:tcW w:w="1064" w:type="dxa"/>
            <w:tcBorders>
              <w:top w:val="nil"/>
              <w:left w:val="nil"/>
              <w:bottom w:val="single" w:sz="4" w:space="0" w:color="000000"/>
              <w:right w:val="single" w:sz="4" w:space="0" w:color="000000"/>
            </w:tcBorders>
            <w:shd w:val="clear" w:color="auto" w:fill="auto"/>
            <w:vAlign w:val="center"/>
            <w:hideMark/>
          </w:tcPr>
          <w:p w14:paraId="07A2D52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459,44</w:t>
            </w:r>
          </w:p>
        </w:tc>
        <w:tc>
          <w:tcPr>
            <w:tcW w:w="1028" w:type="dxa"/>
            <w:tcBorders>
              <w:top w:val="nil"/>
              <w:left w:val="nil"/>
              <w:bottom w:val="single" w:sz="4" w:space="0" w:color="000000"/>
              <w:right w:val="single" w:sz="4" w:space="0" w:color="000000"/>
            </w:tcBorders>
            <w:shd w:val="clear" w:color="auto" w:fill="auto"/>
            <w:vAlign w:val="center"/>
            <w:hideMark/>
          </w:tcPr>
          <w:p w14:paraId="0CD8386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-9,68</w:t>
            </w:r>
          </w:p>
        </w:tc>
        <w:tc>
          <w:tcPr>
            <w:tcW w:w="944" w:type="dxa"/>
            <w:tcBorders>
              <w:top w:val="nil"/>
              <w:left w:val="nil"/>
              <w:bottom w:val="single" w:sz="4" w:space="0" w:color="000000"/>
              <w:right w:val="single" w:sz="8" w:space="0" w:color="000000"/>
            </w:tcBorders>
            <w:shd w:val="clear" w:color="auto" w:fill="auto"/>
            <w:vAlign w:val="center"/>
            <w:hideMark/>
          </w:tcPr>
          <w:p w14:paraId="5DF864D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239,24</w:t>
            </w:r>
          </w:p>
        </w:tc>
      </w:tr>
      <w:tr w:rsidR="00EF4BC3" w:rsidRPr="009E5B39" w14:paraId="089A622D"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5A57FD3"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142211</w:t>
            </w:r>
          </w:p>
        </w:tc>
        <w:tc>
          <w:tcPr>
            <w:tcW w:w="2268" w:type="dxa"/>
            <w:tcBorders>
              <w:top w:val="nil"/>
              <w:left w:val="nil"/>
              <w:bottom w:val="single" w:sz="4" w:space="0" w:color="000000"/>
              <w:right w:val="single" w:sz="4" w:space="0" w:color="000000"/>
            </w:tcBorders>
            <w:shd w:val="clear" w:color="auto" w:fill="auto"/>
            <w:vAlign w:val="center"/>
          </w:tcPr>
          <w:p w14:paraId="09256E77" w14:textId="61061E0A"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C0B702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-4,03</w:t>
            </w:r>
          </w:p>
        </w:tc>
        <w:tc>
          <w:tcPr>
            <w:tcW w:w="944" w:type="dxa"/>
            <w:tcBorders>
              <w:top w:val="nil"/>
              <w:left w:val="nil"/>
              <w:bottom w:val="single" w:sz="4" w:space="0" w:color="000000"/>
              <w:right w:val="single" w:sz="4" w:space="0" w:color="000000"/>
            </w:tcBorders>
            <w:shd w:val="clear" w:color="auto" w:fill="auto"/>
            <w:vAlign w:val="center"/>
            <w:hideMark/>
          </w:tcPr>
          <w:p w14:paraId="5DDB108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11,25</w:t>
            </w:r>
          </w:p>
        </w:tc>
        <w:tc>
          <w:tcPr>
            <w:tcW w:w="1064" w:type="dxa"/>
            <w:tcBorders>
              <w:top w:val="nil"/>
              <w:left w:val="nil"/>
              <w:bottom w:val="single" w:sz="4" w:space="0" w:color="000000"/>
              <w:right w:val="single" w:sz="4" w:space="0" w:color="000000"/>
            </w:tcBorders>
            <w:shd w:val="clear" w:color="auto" w:fill="auto"/>
            <w:vAlign w:val="center"/>
            <w:hideMark/>
          </w:tcPr>
          <w:p w14:paraId="38156B3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w:t>
            </w:r>
          </w:p>
        </w:tc>
        <w:tc>
          <w:tcPr>
            <w:tcW w:w="862" w:type="dxa"/>
            <w:tcBorders>
              <w:top w:val="nil"/>
              <w:left w:val="nil"/>
              <w:bottom w:val="single" w:sz="4" w:space="0" w:color="000000"/>
              <w:right w:val="single" w:sz="4" w:space="0" w:color="000000"/>
            </w:tcBorders>
            <w:shd w:val="clear" w:color="auto" w:fill="auto"/>
            <w:vAlign w:val="center"/>
            <w:hideMark/>
          </w:tcPr>
          <w:p w14:paraId="28BE55C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0,43</w:t>
            </w:r>
          </w:p>
        </w:tc>
        <w:tc>
          <w:tcPr>
            <w:tcW w:w="1064" w:type="dxa"/>
            <w:tcBorders>
              <w:top w:val="nil"/>
              <w:left w:val="nil"/>
              <w:bottom w:val="single" w:sz="4" w:space="0" w:color="000000"/>
              <w:right w:val="single" w:sz="4" w:space="0" w:color="000000"/>
            </w:tcBorders>
            <w:shd w:val="clear" w:color="auto" w:fill="auto"/>
            <w:vAlign w:val="center"/>
            <w:hideMark/>
          </w:tcPr>
          <w:p w14:paraId="28EE5DE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0,83</w:t>
            </w:r>
          </w:p>
        </w:tc>
        <w:tc>
          <w:tcPr>
            <w:tcW w:w="1028" w:type="dxa"/>
            <w:tcBorders>
              <w:top w:val="nil"/>
              <w:left w:val="nil"/>
              <w:bottom w:val="single" w:sz="4" w:space="0" w:color="000000"/>
              <w:right w:val="single" w:sz="4" w:space="0" w:color="000000"/>
            </w:tcBorders>
            <w:shd w:val="clear" w:color="auto" w:fill="auto"/>
            <w:vAlign w:val="center"/>
            <w:hideMark/>
          </w:tcPr>
          <w:p w14:paraId="5B947AB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-4,10</w:t>
            </w:r>
          </w:p>
        </w:tc>
        <w:tc>
          <w:tcPr>
            <w:tcW w:w="944" w:type="dxa"/>
            <w:tcBorders>
              <w:top w:val="nil"/>
              <w:left w:val="nil"/>
              <w:bottom w:val="single" w:sz="4" w:space="0" w:color="000000"/>
              <w:right w:val="single" w:sz="8" w:space="0" w:color="000000"/>
            </w:tcBorders>
            <w:shd w:val="clear" w:color="auto" w:fill="auto"/>
            <w:vAlign w:val="center"/>
            <w:hideMark/>
          </w:tcPr>
          <w:p w14:paraId="6A34D9F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7,73</w:t>
            </w:r>
          </w:p>
        </w:tc>
      </w:tr>
      <w:tr w:rsidR="00EF4BC3" w:rsidRPr="009E5B39" w14:paraId="40557905"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5B5077B"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142211</w:t>
            </w:r>
          </w:p>
        </w:tc>
        <w:tc>
          <w:tcPr>
            <w:tcW w:w="2268" w:type="dxa"/>
            <w:tcBorders>
              <w:top w:val="nil"/>
              <w:left w:val="nil"/>
              <w:bottom w:val="single" w:sz="4" w:space="0" w:color="000000"/>
              <w:right w:val="single" w:sz="4" w:space="0" w:color="000000"/>
            </w:tcBorders>
            <w:shd w:val="clear" w:color="auto" w:fill="auto"/>
            <w:vAlign w:val="center"/>
          </w:tcPr>
          <w:p w14:paraId="2CECB6D4" w14:textId="42BB4C5C"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102E9EE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-0,33</w:t>
            </w:r>
          </w:p>
        </w:tc>
        <w:tc>
          <w:tcPr>
            <w:tcW w:w="944" w:type="dxa"/>
            <w:tcBorders>
              <w:top w:val="nil"/>
              <w:left w:val="nil"/>
              <w:bottom w:val="single" w:sz="4" w:space="0" w:color="000000"/>
              <w:right w:val="single" w:sz="4" w:space="0" w:color="000000"/>
            </w:tcBorders>
            <w:shd w:val="clear" w:color="auto" w:fill="auto"/>
            <w:vAlign w:val="center"/>
            <w:hideMark/>
          </w:tcPr>
          <w:p w14:paraId="679222F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102,52</w:t>
            </w:r>
          </w:p>
        </w:tc>
        <w:tc>
          <w:tcPr>
            <w:tcW w:w="1064" w:type="dxa"/>
            <w:tcBorders>
              <w:top w:val="nil"/>
              <w:left w:val="nil"/>
              <w:bottom w:val="single" w:sz="4" w:space="0" w:color="000000"/>
              <w:right w:val="single" w:sz="4" w:space="0" w:color="000000"/>
            </w:tcBorders>
            <w:shd w:val="clear" w:color="auto" w:fill="auto"/>
            <w:vAlign w:val="center"/>
            <w:hideMark/>
          </w:tcPr>
          <w:p w14:paraId="6C540F8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0,74</w:t>
            </w:r>
          </w:p>
        </w:tc>
        <w:tc>
          <w:tcPr>
            <w:tcW w:w="862" w:type="dxa"/>
            <w:tcBorders>
              <w:top w:val="nil"/>
              <w:left w:val="nil"/>
              <w:bottom w:val="single" w:sz="4" w:space="0" w:color="000000"/>
              <w:right w:val="single" w:sz="4" w:space="0" w:color="000000"/>
            </w:tcBorders>
            <w:shd w:val="clear" w:color="auto" w:fill="auto"/>
            <w:vAlign w:val="center"/>
            <w:hideMark/>
          </w:tcPr>
          <w:p w14:paraId="6FE5B2C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54,18</w:t>
            </w:r>
          </w:p>
        </w:tc>
        <w:tc>
          <w:tcPr>
            <w:tcW w:w="1064" w:type="dxa"/>
            <w:tcBorders>
              <w:top w:val="nil"/>
              <w:left w:val="nil"/>
              <w:bottom w:val="single" w:sz="4" w:space="0" w:color="000000"/>
              <w:right w:val="single" w:sz="4" w:space="0" w:color="000000"/>
            </w:tcBorders>
            <w:shd w:val="clear" w:color="auto" w:fill="auto"/>
            <w:vAlign w:val="center"/>
            <w:hideMark/>
          </w:tcPr>
          <w:p w14:paraId="5A0816E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162,84</w:t>
            </w:r>
          </w:p>
        </w:tc>
        <w:tc>
          <w:tcPr>
            <w:tcW w:w="1028" w:type="dxa"/>
            <w:tcBorders>
              <w:top w:val="nil"/>
              <w:left w:val="nil"/>
              <w:bottom w:val="single" w:sz="4" w:space="0" w:color="000000"/>
              <w:right w:val="single" w:sz="4" w:space="0" w:color="000000"/>
            </w:tcBorders>
            <w:shd w:val="clear" w:color="auto" w:fill="auto"/>
            <w:vAlign w:val="center"/>
            <w:hideMark/>
          </w:tcPr>
          <w:p w14:paraId="0363154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-0,47</w:t>
            </w:r>
          </w:p>
        </w:tc>
        <w:tc>
          <w:tcPr>
            <w:tcW w:w="944" w:type="dxa"/>
            <w:tcBorders>
              <w:top w:val="nil"/>
              <w:left w:val="nil"/>
              <w:bottom w:val="single" w:sz="4" w:space="0" w:color="000000"/>
              <w:right w:val="single" w:sz="8" w:space="0" w:color="000000"/>
            </w:tcBorders>
            <w:shd w:val="clear" w:color="auto" w:fill="auto"/>
            <w:vAlign w:val="center"/>
            <w:hideMark/>
          </w:tcPr>
          <w:p w14:paraId="0B330BB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208,58</w:t>
            </w:r>
          </w:p>
        </w:tc>
      </w:tr>
      <w:tr w:rsidR="00EF4BC3" w:rsidRPr="009E5B39" w14:paraId="1F7F75B6"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A10933A"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142211</w:t>
            </w:r>
          </w:p>
        </w:tc>
        <w:tc>
          <w:tcPr>
            <w:tcW w:w="2268" w:type="dxa"/>
            <w:tcBorders>
              <w:top w:val="nil"/>
              <w:left w:val="nil"/>
              <w:bottom w:val="single" w:sz="4" w:space="0" w:color="000000"/>
              <w:right w:val="single" w:sz="4" w:space="0" w:color="000000"/>
            </w:tcBorders>
            <w:shd w:val="clear" w:color="auto" w:fill="auto"/>
            <w:vAlign w:val="center"/>
            <w:hideMark/>
          </w:tcPr>
          <w:p w14:paraId="58ECECD0" w14:textId="484BDD12"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1445D21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-6,11</w:t>
            </w:r>
          </w:p>
        </w:tc>
        <w:tc>
          <w:tcPr>
            <w:tcW w:w="944" w:type="dxa"/>
            <w:tcBorders>
              <w:top w:val="nil"/>
              <w:left w:val="nil"/>
              <w:bottom w:val="single" w:sz="4" w:space="0" w:color="000000"/>
              <w:right w:val="single" w:sz="4" w:space="0" w:color="000000"/>
            </w:tcBorders>
            <w:shd w:val="clear" w:color="auto" w:fill="auto"/>
            <w:vAlign w:val="center"/>
            <w:hideMark/>
          </w:tcPr>
          <w:p w14:paraId="559A614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113,75</w:t>
            </w:r>
          </w:p>
        </w:tc>
        <w:tc>
          <w:tcPr>
            <w:tcW w:w="1064" w:type="dxa"/>
            <w:tcBorders>
              <w:top w:val="nil"/>
              <w:left w:val="nil"/>
              <w:bottom w:val="single" w:sz="4" w:space="0" w:color="000000"/>
              <w:right w:val="single" w:sz="4" w:space="0" w:color="000000"/>
            </w:tcBorders>
            <w:shd w:val="clear" w:color="auto" w:fill="auto"/>
            <w:vAlign w:val="center"/>
            <w:hideMark/>
          </w:tcPr>
          <w:p w14:paraId="1E91AF5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0,31</w:t>
            </w:r>
          </w:p>
        </w:tc>
        <w:tc>
          <w:tcPr>
            <w:tcW w:w="862" w:type="dxa"/>
            <w:tcBorders>
              <w:top w:val="nil"/>
              <w:left w:val="nil"/>
              <w:bottom w:val="single" w:sz="4" w:space="0" w:color="000000"/>
              <w:right w:val="single" w:sz="4" w:space="0" w:color="000000"/>
            </w:tcBorders>
            <w:shd w:val="clear" w:color="auto" w:fill="auto"/>
            <w:vAlign w:val="center"/>
            <w:hideMark/>
          </w:tcPr>
          <w:p w14:paraId="560157D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0,42</w:t>
            </w:r>
          </w:p>
        </w:tc>
        <w:tc>
          <w:tcPr>
            <w:tcW w:w="1064" w:type="dxa"/>
            <w:tcBorders>
              <w:top w:val="nil"/>
              <w:left w:val="nil"/>
              <w:bottom w:val="single" w:sz="4" w:space="0" w:color="000000"/>
              <w:right w:val="single" w:sz="4" w:space="0" w:color="000000"/>
            </w:tcBorders>
            <w:shd w:val="clear" w:color="auto" w:fill="auto"/>
            <w:vAlign w:val="center"/>
            <w:hideMark/>
          </w:tcPr>
          <w:p w14:paraId="0C93401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-107,94</w:t>
            </w:r>
          </w:p>
        </w:tc>
        <w:tc>
          <w:tcPr>
            <w:tcW w:w="1028" w:type="dxa"/>
            <w:tcBorders>
              <w:top w:val="nil"/>
              <w:left w:val="nil"/>
              <w:bottom w:val="single" w:sz="4" w:space="0" w:color="000000"/>
              <w:right w:val="single" w:sz="4" w:space="0" w:color="000000"/>
            </w:tcBorders>
            <w:shd w:val="clear" w:color="auto" w:fill="auto"/>
            <w:vAlign w:val="center"/>
            <w:hideMark/>
          </w:tcPr>
          <w:p w14:paraId="080DED8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-5,49</w:t>
            </w:r>
          </w:p>
        </w:tc>
        <w:tc>
          <w:tcPr>
            <w:tcW w:w="944" w:type="dxa"/>
            <w:tcBorders>
              <w:top w:val="nil"/>
              <w:left w:val="nil"/>
              <w:bottom w:val="single" w:sz="4" w:space="0" w:color="000000"/>
              <w:right w:val="single" w:sz="8" w:space="0" w:color="000000"/>
            </w:tcBorders>
            <w:shd w:val="clear" w:color="auto" w:fill="auto"/>
            <w:vAlign w:val="center"/>
            <w:hideMark/>
          </w:tcPr>
          <w:p w14:paraId="195CFDC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7,27</w:t>
            </w:r>
          </w:p>
        </w:tc>
      </w:tr>
      <w:tr w:rsidR="00EF4BC3" w:rsidRPr="009E5B39" w14:paraId="15C5B539"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7D37B1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142214</w:t>
            </w:r>
          </w:p>
        </w:tc>
        <w:tc>
          <w:tcPr>
            <w:tcW w:w="2268" w:type="dxa"/>
            <w:tcBorders>
              <w:top w:val="nil"/>
              <w:left w:val="nil"/>
              <w:bottom w:val="single" w:sz="4" w:space="0" w:color="000000"/>
              <w:right w:val="single" w:sz="4" w:space="0" w:color="000000"/>
            </w:tcBorders>
            <w:shd w:val="clear" w:color="auto" w:fill="auto"/>
            <w:vAlign w:val="center"/>
            <w:hideMark/>
          </w:tcPr>
          <w:p w14:paraId="072709F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Plata pentru certificatele de urbanism și autorizările de construire sau desființare încasată în bugetul local de nivelul II (11557/32)</w:t>
            </w:r>
          </w:p>
        </w:tc>
        <w:tc>
          <w:tcPr>
            <w:tcW w:w="992" w:type="dxa"/>
            <w:tcBorders>
              <w:top w:val="nil"/>
              <w:left w:val="nil"/>
              <w:bottom w:val="single" w:sz="4" w:space="0" w:color="000000"/>
              <w:right w:val="single" w:sz="4" w:space="0" w:color="000000"/>
            </w:tcBorders>
            <w:shd w:val="clear" w:color="auto" w:fill="auto"/>
            <w:vAlign w:val="center"/>
            <w:hideMark/>
          </w:tcPr>
          <w:p w14:paraId="7FB6EB8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277671D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5FADA4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0394384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83F998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0,05</w:t>
            </w:r>
          </w:p>
        </w:tc>
        <w:tc>
          <w:tcPr>
            <w:tcW w:w="1028" w:type="dxa"/>
            <w:tcBorders>
              <w:top w:val="nil"/>
              <w:left w:val="nil"/>
              <w:bottom w:val="single" w:sz="4" w:space="0" w:color="000000"/>
              <w:right w:val="single" w:sz="4" w:space="0" w:color="000000"/>
            </w:tcBorders>
            <w:shd w:val="clear" w:color="auto" w:fill="auto"/>
            <w:vAlign w:val="center"/>
            <w:hideMark/>
          </w:tcPr>
          <w:p w14:paraId="6AF2213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65F226C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180BF4A5"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CC60FE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142214</w:t>
            </w:r>
          </w:p>
        </w:tc>
        <w:tc>
          <w:tcPr>
            <w:tcW w:w="2268" w:type="dxa"/>
            <w:tcBorders>
              <w:top w:val="nil"/>
              <w:left w:val="nil"/>
              <w:bottom w:val="single" w:sz="4" w:space="0" w:color="000000"/>
              <w:right w:val="single" w:sz="4" w:space="0" w:color="000000"/>
            </w:tcBorders>
            <w:shd w:val="clear" w:color="auto" w:fill="auto"/>
            <w:vAlign w:val="center"/>
            <w:hideMark/>
          </w:tcPr>
          <w:p w14:paraId="355C82E8" w14:textId="696D82F3"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3916D96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3C9ECCB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321285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1A15FFA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8FD864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108,28</w:t>
            </w:r>
          </w:p>
        </w:tc>
        <w:tc>
          <w:tcPr>
            <w:tcW w:w="1028" w:type="dxa"/>
            <w:tcBorders>
              <w:top w:val="nil"/>
              <w:left w:val="nil"/>
              <w:bottom w:val="single" w:sz="4" w:space="0" w:color="000000"/>
              <w:right w:val="single" w:sz="4" w:space="0" w:color="000000"/>
            </w:tcBorders>
            <w:shd w:val="clear" w:color="auto" w:fill="auto"/>
            <w:vAlign w:val="center"/>
            <w:hideMark/>
          </w:tcPr>
          <w:p w14:paraId="11153F1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772315E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7C4455B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DB51A9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142216</w:t>
            </w:r>
          </w:p>
        </w:tc>
        <w:tc>
          <w:tcPr>
            <w:tcW w:w="2268" w:type="dxa"/>
            <w:tcBorders>
              <w:top w:val="nil"/>
              <w:left w:val="nil"/>
              <w:bottom w:val="single" w:sz="4" w:space="0" w:color="000000"/>
              <w:right w:val="single" w:sz="4" w:space="0" w:color="000000"/>
            </w:tcBorders>
            <w:shd w:val="clear" w:color="auto" w:fill="auto"/>
            <w:vAlign w:val="center"/>
            <w:hideMark/>
          </w:tcPr>
          <w:p w14:paraId="47C8B7C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Taxa de la posesorii de câini (12241)</w:t>
            </w:r>
          </w:p>
        </w:tc>
        <w:tc>
          <w:tcPr>
            <w:tcW w:w="992" w:type="dxa"/>
            <w:tcBorders>
              <w:top w:val="nil"/>
              <w:left w:val="nil"/>
              <w:bottom w:val="single" w:sz="4" w:space="0" w:color="000000"/>
              <w:right w:val="single" w:sz="4" w:space="0" w:color="000000"/>
            </w:tcBorders>
            <w:shd w:val="clear" w:color="auto" w:fill="auto"/>
            <w:vAlign w:val="center"/>
            <w:hideMark/>
          </w:tcPr>
          <w:p w14:paraId="7A3EAF8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51E1636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EB0373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59434B6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0,72</w:t>
            </w:r>
          </w:p>
        </w:tc>
        <w:tc>
          <w:tcPr>
            <w:tcW w:w="1064" w:type="dxa"/>
            <w:tcBorders>
              <w:top w:val="nil"/>
              <w:left w:val="nil"/>
              <w:bottom w:val="single" w:sz="4" w:space="0" w:color="000000"/>
              <w:right w:val="single" w:sz="4" w:space="0" w:color="000000"/>
            </w:tcBorders>
            <w:shd w:val="clear" w:color="auto" w:fill="auto"/>
            <w:vAlign w:val="center"/>
            <w:hideMark/>
          </w:tcPr>
          <w:p w14:paraId="05B0125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0,12</w:t>
            </w:r>
          </w:p>
        </w:tc>
        <w:tc>
          <w:tcPr>
            <w:tcW w:w="1028" w:type="dxa"/>
            <w:tcBorders>
              <w:top w:val="nil"/>
              <w:left w:val="nil"/>
              <w:bottom w:val="single" w:sz="4" w:space="0" w:color="000000"/>
              <w:right w:val="single" w:sz="4" w:space="0" w:color="000000"/>
            </w:tcBorders>
            <w:shd w:val="clear" w:color="auto" w:fill="auto"/>
            <w:vAlign w:val="center"/>
            <w:hideMark/>
          </w:tcPr>
          <w:p w14:paraId="4EBBA93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-0,72</w:t>
            </w:r>
          </w:p>
        </w:tc>
        <w:tc>
          <w:tcPr>
            <w:tcW w:w="944" w:type="dxa"/>
            <w:tcBorders>
              <w:top w:val="nil"/>
              <w:left w:val="nil"/>
              <w:bottom w:val="single" w:sz="4" w:space="0" w:color="000000"/>
              <w:right w:val="single" w:sz="8" w:space="0" w:color="000000"/>
            </w:tcBorders>
            <w:shd w:val="clear" w:color="auto" w:fill="auto"/>
            <w:vAlign w:val="center"/>
            <w:hideMark/>
          </w:tcPr>
          <w:p w14:paraId="105732C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0,12</w:t>
            </w:r>
          </w:p>
        </w:tc>
      </w:tr>
      <w:tr w:rsidR="00EF4BC3" w:rsidRPr="009E5B39" w14:paraId="09DA6431"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499EBC8"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142216</w:t>
            </w:r>
          </w:p>
        </w:tc>
        <w:tc>
          <w:tcPr>
            <w:tcW w:w="2268" w:type="dxa"/>
            <w:tcBorders>
              <w:top w:val="nil"/>
              <w:left w:val="nil"/>
              <w:bottom w:val="single" w:sz="4" w:space="0" w:color="000000"/>
              <w:right w:val="single" w:sz="4" w:space="0" w:color="000000"/>
            </w:tcBorders>
            <w:shd w:val="clear" w:color="auto" w:fill="auto"/>
            <w:vAlign w:val="center"/>
          </w:tcPr>
          <w:p w14:paraId="7FF73371" w14:textId="6B7CA5A0"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97D637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6A5CEDB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A19905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11C3AFF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0,36</w:t>
            </w:r>
          </w:p>
        </w:tc>
        <w:tc>
          <w:tcPr>
            <w:tcW w:w="1064" w:type="dxa"/>
            <w:tcBorders>
              <w:top w:val="nil"/>
              <w:left w:val="nil"/>
              <w:bottom w:val="single" w:sz="4" w:space="0" w:color="000000"/>
              <w:right w:val="single" w:sz="4" w:space="0" w:color="000000"/>
            </w:tcBorders>
            <w:shd w:val="clear" w:color="auto" w:fill="auto"/>
            <w:vAlign w:val="center"/>
            <w:hideMark/>
          </w:tcPr>
          <w:p w14:paraId="1B42D72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0,12</w:t>
            </w:r>
          </w:p>
        </w:tc>
        <w:tc>
          <w:tcPr>
            <w:tcW w:w="1028" w:type="dxa"/>
            <w:tcBorders>
              <w:top w:val="nil"/>
              <w:left w:val="nil"/>
              <w:bottom w:val="single" w:sz="4" w:space="0" w:color="000000"/>
              <w:right w:val="single" w:sz="4" w:space="0" w:color="000000"/>
            </w:tcBorders>
            <w:shd w:val="clear" w:color="auto" w:fill="auto"/>
            <w:vAlign w:val="center"/>
            <w:hideMark/>
          </w:tcPr>
          <w:p w14:paraId="6E4491A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-0,24</w:t>
            </w:r>
          </w:p>
        </w:tc>
        <w:tc>
          <w:tcPr>
            <w:tcW w:w="944" w:type="dxa"/>
            <w:tcBorders>
              <w:top w:val="nil"/>
              <w:left w:val="nil"/>
              <w:bottom w:val="single" w:sz="4" w:space="0" w:color="000000"/>
              <w:right w:val="single" w:sz="8" w:space="0" w:color="000000"/>
            </w:tcBorders>
            <w:shd w:val="clear" w:color="auto" w:fill="auto"/>
            <w:vAlign w:val="center"/>
            <w:hideMark/>
          </w:tcPr>
          <w:p w14:paraId="5794FDD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5D2FAC42"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A426BCB"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142216</w:t>
            </w:r>
          </w:p>
        </w:tc>
        <w:tc>
          <w:tcPr>
            <w:tcW w:w="2268" w:type="dxa"/>
            <w:tcBorders>
              <w:top w:val="nil"/>
              <w:left w:val="nil"/>
              <w:bottom w:val="single" w:sz="4" w:space="0" w:color="000000"/>
              <w:right w:val="single" w:sz="4" w:space="0" w:color="000000"/>
            </w:tcBorders>
            <w:shd w:val="clear" w:color="auto" w:fill="auto"/>
            <w:vAlign w:val="center"/>
          </w:tcPr>
          <w:p w14:paraId="012E02DF" w14:textId="27EAE81B"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D30DA5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3635E1D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C2632C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7075BF5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0,24</w:t>
            </w:r>
          </w:p>
        </w:tc>
        <w:tc>
          <w:tcPr>
            <w:tcW w:w="1064" w:type="dxa"/>
            <w:tcBorders>
              <w:top w:val="nil"/>
              <w:left w:val="nil"/>
              <w:bottom w:val="single" w:sz="4" w:space="0" w:color="000000"/>
              <w:right w:val="single" w:sz="4" w:space="0" w:color="000000"/>
            </w:tcBorders>
            <w:shd w:val="clear" w:color="auto" w:fill="auto"/>
            <w:vAlign w:val="center"/>
            <w:hideMark/>
          </w:tcPr>
          <w:p w14:paraId="7039A93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6F1EA47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-0,24</w:t>
            </w:r>
          </w:p>
        </w:tc>
        <w:tc>
          <w:tcPr>
            <w:tcW w:w="944" w:type="dxa"/>
            <w:tcBorders>
              <w:top w:val="nil"/>
              <w:left w:val="nil"/>
              <w:bottom w:val="single" w:sz="4" w:space="0" w:color="000000"/>
              <w:right w:val="single" w:sz="8" w:space="0" w:color="000000"/>
            </w:tcBorders>
            <w:shd w:val="clear" w:color="auto" w:fill="auto"/>
            <w:vAlign w:val="center"/>
            <w:hideMark/>
          </w:tcPr>
          <w:p w14:paraId="059917B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0D460E5F"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8F0459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142216</w:t>
            </w:r>
          </w:p>
        </w:tc>
        <w:tc>
          <w:tcPr>
            <w:tcW w:w="2268" w:type="dxa"/>
            <w:tcBorders>
              <w:top w:val="nil"/>
              <w:left w:val="nil"/>
              <w:bottom w:val="single" w:sz="4" w:space="0" w:color="000000"/>
              <w:right w:val="single" w:sz="4" w:space="0" w:color="000000"/>
            </w:tcBorders>
            <w:shd w:val="clear" w:color="auto" w:fill="auto"/>
            <w:vAlign w:val="center"/>
          </w:tcPr>
          <w:p w14:paraId="04AA244C" w14:textId="79D72CBF"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0E3F2FC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2919D48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EFAAE4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51FBFFC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7,20</w:t>
            </w:r>
          </w:p>
        </w:tc>
        <w:tc>
          <w:tcPr>
            <w:tcW w:w="1064" w:type="dxa"/>
            <w:tcBorders>
              <w:top w:val="nil"/>
              <w:left w:val="nil"/>
              <w:bottom w:val="single" w:sz="4" w:space="0" w:color="000000"/>
              <w:right w:val="single" w:sz="4" w:space="0" w:color="000000"/>
            </w:tcBorders>
            <w:shd w:val="clear" w:color="auto" w:fill="auto"/>
            <w:vAlign w:val="center"/>
            <w:hideMark/>
          </w:tcPr>
          <w:p w14:paraId="4B9155E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1,08</w:t>
            </w:r>
          </w:p>
        </w:tc>
        <w:tc>
          <w:tcPr>
            <w:tcW w:w="1028" w:type="dxa"/>
            <w:tcBorders>
              <w:top w:val="nil"/>
              <w:left w:val="nil"/>
              <w:bottom w:val="single" w:sz="4" w:space="0" w:color="000000"/>
              <w:right w:val="single" w:sz="4" w:space="0" w:color="000000"/>
            </w:tcBorders>
            <w:shd w:val="clear" w:color="auto" w:fill="auto"/>
            <w:vAlign w:val="center"/>
            <w:hideMark/>
          </w:tcPr>
          <w:p w14:paraId="2199777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-6,24</w:t>
            </w:r>
          </w:p>
        </w:tc>
        <w:tc>
          <w:tcPr>
            <w:tcW w:w="944" w:type="dxa"/>
            <w:tcBorders>
              <w:top w:val="nil"/>
              <w:left w:val="nil"/>
              <w:bottom w:val="single" w:sz="4" w:space="0" w:color="000000"/>
              <w:right w:val="single" w:sz="8" w:space="0" w:color="000000"/>
            </w:tcBorders>
            <w:shd w:val="clear" w:color="auto" w:fill="auto"/>
            <w:vAlign w:val="center"/>
            <w:hideMark/>
          </w:tcPr>
          <w:p w14:paraId="1789672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0,12</w:t>
            </w:r>
          </w:p>
        </w:tc>
      </w:tr>
      <w:tr w:rsidR="00EF4BC3" w:rsidRPr="009E5B39" w14:paraId="5E0B4479"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3A1FA86"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142251</w:t>
            </w:r>
          </w:p>
        </w:tc>
        <w:tc>
          <w:tcPr>
            <w:tcW w:w="2268" w:type="dxa"/>
            <w:tcBorders>
              <w:top w:val="nil"/>
              <w:left w:val="nil"/>
              <w:bottom w:val="single" w:sz="4" w:space="0" w:color="000000"/>
              <w:right w:val="single" w:sz="4" w:space="0" w:color="000000"/>
            </w:tcBorders>
            <w:shd w:val="clear" w:color="auto" w:fill="auto"/>
            <w:vAlign w:val="center"/>
            <w:hideMark/>
          </w:tcPr>
          <w:p w14:paraId="0814C05F" w14:textId="1B2D5005"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xml:space="preserve">Plata pentru </w:t>
            </w:r>
            <w:r w:rsidR="00DF18D8" w:rsidRPr="009E5B39">
              <w:rPr>
                <w:rFonts w:asciiTheme="majorHAnsi" w:eastAsia="Times New Roman" w:hAnsiTheme="majorHAnsi" w:cstheme="majorHAnsi"/>
                <w:sz w:val="16"/>
                <w:szCs w:val="16"/>
                <w:lang w:val="ro-MD"/>
              </w:rPr>
              <w:t>locațiunea</w:t>
            </w:r>
            <w:r w:rsidRPr="009E5B39">
              <w:rPr>
                <w:rFonts w:asciiTheme="majorHAnsi" w:eastAsia="Times New Roman" w:hAnsiTheme="majorHAnsi" w:cstheme="majorHAnsi"/>
                <w:sz w:val="16"/>
                <w:szCs w:val="16"/>
                <w:lang w:val="ro-MD"/>
              </w:rPr>
              <w:t xml:space="preserve"> patrimoniului public </w:t>
            </w:r>
            <w:r w:rsidR="00F53A05" w:rsidRPr="009E5B39">
              <w:rPr>
                <w:rFonts w:asciiTheme="majorHAnsi" w:eastAsia="Times New Roman" w:hAnsiTheme="majorHAnsi" w:cstheme="majorHAnsi"/>
                <w:sz w:val="16"/>
                <w:szCs w:val="16"/>
                <w:lang w:val="ro-MD"/>
              </w:rPr>
              <w:t>î</w:t>
            </w:r>
            <w:r w:rsidRPr="009E5B39">
              <w:rPr>
                <w:rFonts w:asciiTheme="majorHAnsi" w:eastAsia="Times New Roman" w:hAnsiTheme="majorHAnsi" w:cstheme="majorHAnsi"/>
                <w:sz w:val="16"/>
                <w:szCs w:val="16"/>
                <w:lang w:val="ro-MD"/>
              </w:rPr>
              <w:t>ncasat</w:t>
            </w:r>
            <w:r w:rsidR="00F53A05" w:rsidRPr="009E5B39">
              <w:rPr>
                <w:rFonts w:asciiTheme="majorHAnsi" w:eastAsia="Times New Roman" w:hAnsiTheme="majorHAnsi" w:cstheme="majorHAnsi"/>
                <w:sz w:val="16"/>
                <w:szCs w:val="16"/>
                <w:lang w:val="ro-MD"/>
              </w:rPr>
              <w:t>ă</w:t>
            </w:r>
            <w:r w:rsidRPr="009E5B39">
              <w:rPr>
                <w:rFonts w:asciiTheme="majorHAnsi" w:eastAsia="Times New Roman" w:hAnsiTheme="majorHAnsi" w:cstheme="majorHAnsi"/>
                <w:sz w:val="16"/>
                <w:szCs w:val="16"/>
                <w:lang w:val="ro-MD"/>
              </w:rPr>
              <w:t xml:space="preserve"> </w:t>
            </w:r>
            <w:r w:rsidR="00F53A05" w:rsidRPr="009E5B39">
              <w:rPr>
                <w:rFonts w:asciiTheme="majorHAnsi" w:eastAsia="Times New Roman" w:hAnsiTheme="majorHAnsi" w:cstheme="majorHAnsi"/>
                <w:sz w:val="16"/>
                <w:szCs w:val="16"/>
                <w:lang w:val="ro-MD"/>
              </w:rPr>
              <w:t>î</w:t>
            </w:r>
            <w:r w:rsidRPr="009E5B39">
              <w:rPr>
                <w:rFonts w:asciiTheme="majorHAnsi" w:eastAsia="Times New Roman" w:hAnsiTheme="majorHAnsi" w:cstheme="majorHAnsi"/>
                <w:sz w:val="16"/>
                <w:szCs w:val="16"/>
                <w:lang w:val="ro-MD"/>
              </w:rPr>
              <w:t>n bugetul local de nivelul II (12135/32)</w:t>
            </w:r>
          </w:p>
        </w:tc>
        <w:tc>
          <w:tcPr>
            <w:tcW w:w="992" w:type="dxa"/>
            <w:tcBorders>
              <w:top w:val="nil"/>
              <w:left w:val="nil"/>
              <w:bottom w:val="single" w:sz="4" w:space="0" w:color="000000"/>
              <w:right w:val="single" w:sz="4" w:space="0" w:color="000000"/>
            </w:tcBorders>
            <w:shd w:val="clear" w:color="auto" w:fill="auto"/>
            <w:vAlign w:val="center"/>
            <w:hideMark/>
          </w:tcPr>
          <w:p w14:paraId="1F24C04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5FF0128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80345C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50994F8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248D565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6.472,6</w:t>
            </w:r>
          </w:p>
        </w:tc>
        <w:tc>
          <w:tcPr>
            <w:tcW w:w="1028" w:type="dxa"/>
            <w:tcBorders>
              <w:top w:val="nil"/>
              <w:left w:val="nil"/>
              <w:bottom w:val="single" w:sz="4" w:space="0" w:color="000000"/>
              <w:right w:val="single" w:sz="4" w:space="0" w:color="000000"/>
            </w:tcBorders>
            <w:shd w:val="clear" w:color="auto" w:fill="auto"/>
            <w:vAlign w:val="center"/>
            <w:hideMark/>
          </w:tcPr>
          <w:p w14:paraId="5D3564E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646DA97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6DA2A34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14EB4AA"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142251</w:t>
            </w:r>
          </w:p>
        </w:tc>
        <w:tc>
          <w:tcPr>
            <w:tcW w:w="2268" w:type="dxa"/>
            <w:tcBorders>
              <w:top w:val="nil"/>
              <w:left w:val="nil"/>
              <w:bottom w:val="single" w:sz="4" w:space="0" w:color="000000"/>
              <w:right w:val="single" w:sz="4" w:space="0" w:color="000000"/>
            </w:tcBorders>
            <w:shd w:val="clear" w:color="auto" w:fill="auto"/>
            <w:vAlign w:val="center"/>
          </w:tcPr>
          <w:p w14:paraId="7375CE5F" w14:textId="4EDC8C87"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097B130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519547B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6ECE0F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28803BE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A85E4C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3.987,09</w:t>
            </w:r>
          </w:p>
        </w:tc>
        <w:tc>
          <w:tcPr>
            <w:tcW w:w="1028" w:type="dxa"/>
            <w:tcBorders>
              <w:top w:val="nil"/>
              <w:left w:val="nil"/>
              <w:bottom w:val="single" w:sz="4" w:space="0" w:color="000000"/>
              <w:right w:val="single" w:sz="4" w:space="0" w:color="000000"/>
            </w:tcBorders>
            <w:shd w:val="clear" w:color="auto" w:fill="auto"/>
            <w:vAlign w:val="center"/>
            <w:hideMark/>
          </w:tcPr>
          <w:p w14:paraId="5DA68F6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59D8CFA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40C3DDF5"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35E35A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142251</w:t>
            </w:r>
          </w:p>
        </w:tc>
        <w:tc>
          <w:tcPr>
            <w:tcW w:w="2268" w:type="dxa"/>
            <w:tcBorders>
              <w:top w:val="nil"/>
              <w:left w:val="nil"/>
              <w:bottom w:val="single" w:sz="4" w:space="0" w:color="000000"/>
              <w:right w:val="single" w:sz="4" w:space="0" w:color="000000"/>
            </w:tcBorders>
            <w:shd w:val="clear" w:color="auto" w:fill="auto"/>
            <w:vAlign w:val="center"/>
          </w:tcPr>
          <w:p w14:paraId="203C37BC" w14:textId="7E07FBAB"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132DD6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57644B1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DA0FA8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63B7289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49C064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7.224,33</w:t>
            </w:r>
          </w:p>
        </w:tc>
        <w:tc>
          <w:tcPr>
            <w:tcW w:w="1028" w:type="dxa"/>
            <w:tcBorders>
              <w:top w:val="nil"/>
              <w:left w:val="nil"/>
              <w:bottom w:val="single" w:sz="4" w:space="0" w:color="000000"/>
              <w:right w:val="single" w:sz="4" w:space="0" w:color="000000"/>
            </w:tcBorders>
            <w:shd w:val="clear" w:color="auto" w:fill="auto"/>
            <w:vAlign w:val="center"/>
            <w:hideMark/>
          </w:tcPr>
          <w:p w14:paraId="70A90C0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203F8AF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1D359DF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526D5D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142251</w:t>
            </w:r>
          </w:p>
        </w:tc>
        <w:tc>
          <w:tcPr>
            <w:tcW w:w="2268" w:type="dxa"/>
            <w:tcBorders>
              <w:top w:val="nil"/>
              <w:left w:val="nil"/>
              <w:bottom w:val="single" w:sz="4" w:space="0" w:color="000000"/>
              <w:right w:val="single" w:sz="4" w:space="0" w:color="000000"/>
            </w:tcBorders>
            <w:shd w:val="clear" w:color="auto" w:fill="auto"/>
            <w:vAlign w:val="center"/>
          </w:tcPr>
          <w:p w14:paraId="2DE7ABFF" w14:textId="134ECD27"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BBE234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385BA21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2E65797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05F267F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3F8A062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1.283,37</w:t>
            </w:r>
          </w:p>
        </w:tc>
        <w:tc>
          <w:tcPr>
            <w:tcW w:w="1028" w:type="dxa"/>
            <w:tcBorders>
              <w:top w:val="nil"/>
              <w:left w:val="nil"/>
              <w:bottom w:val="single" w:sz="4" w:space="0" w:color="000000"/>
              <w:right w:val="single" w:sz="4" w:space="0" w:color="000000"/>
            </w:tcBorders>
            <w:shd w:val="clear" w:color="auto" w:fill="auto"/>
            <w:vAlign w:val="center"/>
            <w:hideMark/>
          </w:tcPr>
          <w:p w14:paraId="2D1AE73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7C2471F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6BCEFC0D"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CF93F2E"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143120</w:t>
            </w:r>
          </w:p>
        </w:tc>
        <w:tc>
          <w:tcPr>
            <w:tcW w:w="2268" w:type="dxa"/>
            <w:tcBorders>
              <w:top w:val="nil"/>
              <w:left w:val="nil"/>
              <w:bottom w:val="single" w:sz="4" w:space="0" w:color="000000"/>
              <w:right w:val="single" w:sz="4" w:space="0" w:color="000000"/>
            </w:tcBorders>
            <w:shd w:val="clear" w:color="auto" w:fill="auto"/>
            <w:vAlign w:val="center"/>
            <w:hideMark/>
          </w:tcPr>
          <w:p w14:paraId="70F9A19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Amenzi și sancțiuni contravenționale încasate în bugetul local de nivelul II (12301/32)</w:t>
            </w:r>
          </w:p>
        </w:tc>
        <w:tc>
          <w:tcPr>
            <w:tcW w:w="992" w:type="dxa"/>
            <w:tcBorders>
              <w:top w:val="nil"/>
              <w:left w:val="nil"/>
              <w:bottom w:val="single" w:sz="4" w:space="0" w:color="000000"/>
              <w:right w:val="single" w:sz="4" w:space="0" w:color="000000"/>
            </w:tcBorders>
            <w:shd w:val="clear" w:color="auto" w:fill="auto"/>
            <w:vAlign w:val="center"/>
            <w:hideMark/>
          </w:tcPr>
          <w:p w14:paraId="33BA4FC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0D92E78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7C9BB6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71282F1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2DA2A3A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877,76</w:t>
            </w:r>
          </w:p>
        </w:tc>
        <w:tc>
          <w:tcPr>
            <w:tcW w:w="1028" w:type="dxa"/>
            <w:tcBorders>
              <w:top w:val="nil"/>
              <w:left w:val="nil"/>
              <w:bottom w:val="single" w:sz="4" w:space="0" w:color="000000"/>
              <w:right w:val="single" w:sz="4" w:space="0" w:color="000000"/>
            </w:tcBorders>
            <w:shd w:val="clear" w:color="auto" w:fill="auto"/>
            <w:vAlign w:val="center"/>
            <w:hideMark/>
          </w:tcPr>
          <w:p w14:paraId="536CF68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163AE0C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356FE769"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EA867EB"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143120</w:t>
            </w:r>
          </w:p>
        </w:tc>
        <w:tc>
          <w:tcPr>
            <w:tcW w:w="2268" w:type="dxa"/>
            <w:tcBorders>
              <w:top w:val="nil"/>
              <w:left w:val="nil"/>
              <w:bottom w:val="single" w:sz="4" w:space="0" w:color="000000"/>
              <w:right w:val="single" w:sz="4" w:space="0" w:color="000000"/>
            </w:tcBorders>
            <w:shd w:val="clear" w:color="auto" w:fill="auto"/>
            <w:vAlign w:val="center"/>
          </w:tcPr>
          <w:p w14:paraId="1DA7A37A" w14:textId="7DBE5CF3"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4337319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37768FD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A796CC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7F4F965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2B47655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426,62</w:t>
            </w:r>
          </w:p>
        </w:tc>
        <w:tc>
          <w:tcPr>
            <w:tcW w:w="1028" w:type="dxa"/>
            <w:tcBorders>
              <w:top w:val="nil"/>
              <w:left w:val="nil"/>
              <w:bottom w:val="single" w:sz="4" w:space="0" w:color="000000"/>
              <w:right w:val="single" w:sz="4" w:space="0" w:color="000000"/>
            </w:tcBorders>
            <w:shd w:val="clear" w:color="auto" w:fill="auto"/>
            <w:vAlign w:val="center"/>
            <w:hideMark/>
          </w:tcPr>
          <w:p w14:paraId="6D079D6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582F9B9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654BFC72"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10D89E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143120</w:t>
            </w:r>
          </w:p>
        </w:tc>
        <w:tc>
          <w:tcPr>
            <w:tcW w:w="2268" w:type="dxa"/>
            <w:tcBorders>
              <w:top w:val="nil"/>
              <w:left w:val="nil"/>
              <w:bottom w:val="single" w:sz="4" w:space="0" w:color="000000"/>
              <w:right w:val="single" w:sz="4" w:space="0" w:color="000000"/>
            </w:tcBorders>
            <w:shd w:val="clear" w:color="auto" w:fill="auto"/>
            <w:vAlign w:val="center"/>
          </w:tcPr>
          <w:p w14:paraId="1F7025D5" w14:textId="0B00DE20"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C6817B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3062E8A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5D841D5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3066882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882B33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173,32</w:t>
            </w:r>
          </w:p>
        </w:tc>
        <w:tc>
          <w:tcPr>
            <w:tcW w:w="1028" w:type="dxa"/>
            <w:tcBorders>
              <w:top w:val="nil"/>
              <w:left w:val="nil"/>
              <w:bottom w:val="single" w:sz="4" w:space="0" w:color="000000"/>
              <w:right w:val="single" w:sz="4" w:space="0" w:color="000000"/>
            </w:tcBorders>
            <w:shd w:val="clear" w:color="auto" w:fill="auto"/>
            <w:vAlign w:val="center"/>
            <w:hideMark/>
          </w:tcPr>
          <w:p w14:paraId="7922E7E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4B2854D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5EB8CE4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F2085AB"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143120</w:t>
            </w:r>
          </w:p>
        </w:tc>
        <w:tc>
          <w:tcPr>
            <w:tcW w:w="2268" w:type="dxa"/>
            <w:tcBorders>
              <w:top w:val="nil"/>
              <w:left w:val="nil"/>
              <w:bottom w:val="single" w:sz="4" w:space="0" w:color="000000"/>
              <w:right w:val="single" w:sz="4" w:space="0" w:color="000000"/>
            </w:tcBorders>
            <w:shd w:val="clear" w:color="auto" w:fill="auto"/>
            <w:vAlign w:val="center"/>
          </w:tcPr>
          <w:p w14:paraId="0DB4CC50" w14:textId="74ABD32A"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6C0ECEB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0F1CF80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6565062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6FA9000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4173A0F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221,45</w:t>
            </w:r>
          </w:p>
        </w:tc>
        <w:tc>
          <w:tcPr>
            <w:tcW w:w="1028" w:type="dxa"/>
            <w:tcBorders>
              <w:top w:val="nil"/>
              <w:left w:val="nil"/>
              <w:bottom w:val="single" w:sz="4" w:space="0" w:color="000000"/>
              <w:right w:val="single" w:sz="4" w:space="0" w:color="000000"/>
            </w:tcBorders>
            <w:shd w:val="clear" w:color="auto" w:fill="auto"/>
            <w:vAlign w:val="center"/>
            <w:hideMark/>
          </w:tcPr>
          <w:p w14:paraId="0BF28D5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73249D7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21674362"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2CEEFC8"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145111</w:t>
            </w:r>
          </w:p>
        </w:tc>
        <w:tc>
          <w:tcPr>
            <w:tcW w:w="2268" w:type="dxa"/>
            <w:tcBorders>
              <w:top w:val="nil"/>
              <w:left w:val="nil"/>
              <w:bottom w:val="single" w:sz="4" w:space="0" w:color="000000"/>
              <w:right w:val="single" w:sz="4" w:space="0" w:color="000000"/>
            </w:tcBorders>
            <w:shd w:val="clear" w:color="auto" w:fill="auto"/>
            <w:vAlign w:val="center"/>
            <w:hideMark/>
          </w:tcPr>
          <w:p w14:paraId="07D1B203"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Alte venituri încasate în bugetul de stat (12240/20)</w:t>
            </w:r>
          </w:p>
        </w:tc>
        <w:tc>
          <w:tcPr>
            <w:tcW w:w="992" w:type="dxa"/>
            <w:tcBorders>
              <w:top w:val="nil"/>
              <w:left w:val="nil"/>
              <w:bottom w:val="single" w:sz="4" w:space="0" w:color="000000"/>
              <w:right w:val="single" w:sz="4" w:space="0" w:color="000000"/>
            </w:tcBorders>
            <w:shd w:val="clear" w:color="auto" w:fill="auto"/>
            <w:vAlign w:val="center"/>
            <w:hideMark/>
          </w:tcPr>
          <w:p w14:paraId="12A6D55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2554141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4,80</w:t>
            </w:r>
          </w:p>
        </w:tc>
        <w:tc>
          <w:tcPr>
            <w:tcW w:w="1064" w:type="dxa"/>
            <w:tcBorders>
              <w:top w:val="nil"/>
              <w:left w:val="nil"/>
              <w:bottom w:val="single" w:sz="4" w:space="0" w:color="000000"/>
              <w:right w:val="single" w:sz="4" w:space="0" w:color="000000"/>
            </w:tcBorders>
            <w:shd w:val="clear" w:color="auto" w:fill="auto"/>
            <w:vAlign w:val="center"/>
            <w:hideMark/>
          </w:tcPr>
          <w:p w14:paraId="2592D4B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0CF7A36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1344C3B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5014414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3418404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4,8</w:t>
            </w:r>
          </w:p>
        </w:tc>
      </w:tr>
      <w:tr w:rsidR="00EF4BC3" w:rsidRPr="009E5B39" w14:paraId="4C171445"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190BAAE"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145111</w:t>
            </w:r>
          </w:p>
        </w:tc>
        <w:tc>
          <w:tcPr>
            <w:tcW w:w="2268" w:type="dxa"/>
            <w:tcBorders>
              <w:top w:val="nil"/>
              <w:left w:val="nil"/>
              <w:bottom w:val="single" w:sz="4" w:space="0" w:color="000000"/>
              <w:right w:val="single" w:sz="4" w:space="0" w:color="000000"/>
            </w:tcBorders>
            <w:shd w:val="clear" w:color="auto" w:fill="auto"/>
            <w:vAlign w:val="center"/>
            <w:hideMark/>
          </w:tcPr>
          <w:p w14:paraId="785661E6" w14:textId="7ED0E292"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4F6B9B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283EFFB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3,00</w:t>
            </w:r>
          </w:p>
        </w:tc>
        <w:tc>
          <w:tcPr>
            <w:tcW w:w="1064" w:type="dxa"/>
            <w:tcBorders>
              <w:top w:val="nil"/>
              <w:left w:val="nil"/>
              <w:bottom w:val="single" w:sz="4" w:space="0" w:color="000000"/>
              <w:right w:val="single" w:sz="4" w:space="0" w:color="000000"/>
            </w:tcBorders>
            <w:shd w:val="clear" w:color="auto" w:fill="auto"/>
            <w:vAlign w:val="center"/>
            <w:hideMark/>
          </w:tcPr>
          <w:p w14:paraId="13E3DFD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280F6AA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727BC5A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1159DBC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3F521C5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w:t>
            </w:r>
          </w:p>
        </w:tc>
      </w:tr>
      <w:tr w:rsidR="00EF4BC3" w:rsidRPr="009E5B39" w14:paraId="38B03942"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C7177E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145141</w:t>
            </w:r>
          </w:p>
        </w:tc>
        <w:tc>
          <w:tcPr>
            <w:tcW w:w="2268" w:type="dxa"/>
            <w:tcBorders>
              <w:top w:val="nil"/>
              <w:left w:val="nil"/>
              <w:bottom w:val="single" w:sz="4" w:space="0" w:color="000000"/>
              <w:right w:val="single" w:sz="4" w:space="0" w:color="000000"/>
            </w:tcBorders>
            <w:shd w:val="clear" w:color="auto" w:fill="auto"/>
            <w:vAlign w:val="center"/>
            <w:hideMark/>
          </w:tcPr>
          <w:p w14:paraId="1811B4C8"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Alte venituri încasate în bugetele locale de nivelul II (12240/32)</w:t>
            </w:r>
          </w:p>
        </w:tc>
        <w:tc>
          <w:tcPr>
            <w:tcW w:w="992" w:type="dxa"/>
            <w:tcBorders>
              <w:top w:val="nil"/>
              <w:left w:val="nil"/>
              <w:bottom w:val="single" w:sz="4" w:space="0" w:color="000000"/>
              <w:right w:val="single" w:sz="4" w:space="0" w:color="000000"/>
            </w:tcBorders>
            <w:shd w:val="clear" w:color="auto" w:fill="auto"/>
            <w:vAlign w:val="center"/>
            <w:hideMark/>
          </w:tcPr>
          <w:p w14:paraId="7A512AA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-26,34</w:t>
            </w:r>
          </w:p>
        </w:tc>
        <w:tc>
          <w:tcPr>
            <w:tcW w:w="944" w:type="dxa"/>
            <w:tcBorders>
              <w:top w:val="nil"/>
              <w:left w:val="nil"/>
              <w:bottom w:val="single" w:sz="4" w:space="0" w:color="000000"/>
              <w:right w:val="single" w:sz="4" w:space="0" w:color="000000"/>
            </w:tcBorders>
            <w:shd w:val="clear" w:color="auto" w:fill="auto"/>
            <w:vAlign w:val="center"/>
            <w:hideMark/>
          </w:tcPr>
          <w:p w14:paraId="16DE4C3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1.397,85</w:t>
            </w:r>
          </w:p>
        </w:tc>
        <w:tc>
          <w:tcPr>
            <w:tcW w:w="1064" w:type="dxa"/>
            <w:tcBorders>
              <w:top w:val="nil"/>
              <w:left w:val="nil"/>
              <w:bottom w:val="single" w:sz="4" w:space="0" w:color="000000"/>
              <w:right w:val="single" w:sz="4" w:space="0" w:color="000000"/>
            </w:tcBorders>
            <w:shd w:val="clear" w:color="auto" w:fill="auto"/>
            <w:vAlign w:val="center"/>
            <w:hideMark/>
          </w:tcPr>
          <w:p w14:paraId="691FBED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0,77</w:t>
            </w:r>
          </w:p>
        </w:tc>
        <w:tc>
          <w:tcPr>
            <w:tcW w:w="862" w:type="dxa"/>
            <w:tcBorders>
              <w:top w:val="nil"/>
              <w:left w:val="nil"/>
              <w:bottom w:val="single" w:sz="4" w:space="0" w:color="000000"/>
              <w:right w:val="single" w:sz="4" w:space="0" w:color="000000"/>
            </w:tcBorders>
            <w:shd w:val="clear" w:color="auto" w:fill="auto"/>
            <w:vAlign w:val="center"/>
            <w:hideMark/>
          </w:tcPr>
          <w:p w14:paraId="01EA040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-29,85</w:t>
            </w:r>
          </w:p>
        </w:tc>
        <w:tc>
          <w:tcPr>
            <w:tcW w:w="1064" w:type="dxa"/>
            <w:tcBorders>
              <w:top w:val="nil"/>
              <w:left w:val="nil"/>
              <w:bottom w:val="single" w:sz="4" w:space="0" w:color="000000"/>
              <w:right w:val="single" w:sz="4" w:space="0" w:color="000000"/>
            </w:tcBorders>
            <w:shd w:val="clear" w:color="auto" w:fill="auto"/>
            <w:vAlign w:val="center"/>
            <w:hideMark/>
          </w:tcPr>
          <w:p w14:paraId="09A9F91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5,64</w:t>
            </w:r>
          </w:p>
        </w:tc>
        <w:tc>
          <w:tcPr>
            <w:tcW w:w="1028" w:type="dxa"/>
            <w:tcBorders>
              <w:top w:val="nil"/>
              <w:left w:val="nil"/>
              <w:bottom w:val="single" w:sz="4" w:space="0" w:color="000000"/>
              <w:right w:val="single" w:sz="4" w:space="0" w:color="000000"/>
            </w:tcBorders>
            <w:shd w:val="clear" w:color="auto" w:fill="auto"/>
            <w:vAlign w:val="center"/>
            <w:hideMark/>
          </w:tcPr>
          <w:p w14:paraId="58C5615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-26,86</w:t>
            </w:r>
          </w:p>
        </w:tc>
        <w:tc>
          <w:tcPr>
            <w:tcW w:w="944" w:type="dxa"/>
            <w:tcBorders>
              <w:top w:val="nil"/>
              <w:left w:val="nil"/>
              <w:bottom w:val="single" w:sz="4" w:space="0" w:color="000000"/>
              <w:right w:val="single" w:sz="8" w:space="0" w:color="000000"/>
            </w:tcBorders>
            <w:shd w:val="clear" w:color="auto" w:fill="auto"/>
            <w:vAlign w:val="center"/>
            <w:hideMark/>
          </w:tcPr>
          <w:p w14:paraId="2735093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1.363,91</w:t>
            </w:r>
          </w:p>
        </w:tc>
      </w:tr>
      <w:tr w:rsidR="00EF4BC3" w:rsidRPr="009E5B39" w14:paraId="429E1359"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B91797C"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145141</w:t>
            </w:r>
          </w:p>
        </w:tc>
        <w:tc>
          <w:tcPr>
            <w:tcW w:w="2268" w:type="dxa"/>
            <w:tcBorders>
              <w:top w:val="nil"/>
              <w:left w:val="nil"/>
              <w:bottom w:val="single" w:sz="4" w:space="0" w:color="000000"/>
              <w:right w:val="single" w:sz="4" w:space="0" w:color="000000"/>
            </w:tcBorders>
            <w:shd w:val="clear" w:color="auto" w:fill="auto"/>
            <w:vAlign w:val="center"/>
          </w:tcPr>
          <w:p w14:paraId="76EE6216" w14:textId="2E910608"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3235D03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-27,71</w:t>
            </w:r>
          </w:p>
        </w:tc>
        <w:tc>
          <w:tcPr>
            <w:tcW w:w="944" w:type="dxa"/>
            <w:tcBorders>
              <w:top w:val="nil"/>
              <w:left w:val="nil"/>
              <w:bottom w:val="single" w:sz="4" w:space="0" w:color="000000"/>
              <w:right w:val="single" w:sz="4" w:space="0" w:color="000000"/>
            </w:tcBorders>
            <w:shd w:val="clear" w:color="auto" w:fill="auto"/>
            <w:vAlign w:val="center"/>
            <w:hideMark/>
          </w:tcPr>
          <w:p w14:paraId="5582A3E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638,91</w:t>
            </w:r>
          </w:p>
        </w:tc>
        <w:tc>
          <w:tcPr>
            <w:tcW w:w="1064" w:type="dxa"/>
            <w:tcBorders>
              <w:top w:val="nil"/>
              <w:left w:val="nil"/>
              <w:bottom w:val="single" w:sz="4" w:space="0" w:color="000000"/>
              <w:right w:val="single" w:sz="4" w:space="0" w:color="000000"/>
            </w:tcBorders>
            <w:shd w:val="clear" w:color="auto" w:fill="auto"/>
            <w:vAlign w:val="center"/>
            <w:hideMark/>
          </w:tcPr>
          <w:p w14:paraId="0FD5C1E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0,31</w:t>
            </w:r>
          </w:p>
        </w:tc>
        <w:tc>
          <w:tcPr>
            <w:tcW w:w="862" w:type="dxa"/>
            <w:tcBorders>
              <w:top w:val="nil"/>
              <w:left w:val="nil"/>
              <w:bottom w:val="single" w:sz="4" w:space="0" w:color="000000"/>
              <w:right w:val="single" w:sz="4" w:space="0" w:color="000000"/>
            </w:tcBorders>
            <w:shd w:val="clear" w:color="auto" w:fill="auto"/>
            <w:vAlign w:val="center"/>
            <w:hideMark/>
          </w:tcPr>
          <w:p w14:paraId="167CD2F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-37,09</w:t>
            </w:r>
          </w:p>
        </w:tc>
        <w:tc>
          <w:tcPr>
            <w:tcW w:w="1064" w:type="dxa"/>
            <w:tcBorders>
              <w:top w:val="nil"/>
              <w:left w:val="nil"/>
              <w:bottom w:val="single" w:sz="4" w:space="0" w:color="000000"/>
              <w:right w:val="single" w:sz="4" w:space="0" w:color="000000"/>
            </w:tcBorders>
            <w:shd w:val="clear" w:color="auto" w:fill="auto"/>
            <w:vAlign w:val="center"/>
            <w:hideMark/>
          </w:tcPr>
          <w:p w14:paraId="4DB57CC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18,91</w:t>
            </w:r>
          </w:p>
        </w:tc>
        <w:tc>
          <w:tcPr>
            <w:tcW w:w="1028" w:type="dxa"/>
            <w:tcBorders>
              <w:top w:val="nil"/>
              <w:left w:val="nil"/>
              <w:bottom w:val="single" w:sz="4" w:space="0" w:color="000000"/>
              <w:right w:val="single" w:sz="4" w:space="0" w:color="000000"/>
            </w:tcBorders>
            <w:shd w:val="clear" w:color="auto" w:fill="auto"/>
            <w:vAlign w:val="center"/>
            <w:hideMark/>
          </w:tcPr>
          <w:p w14:paraId="4681E47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-11,26</w:t>
            </w:r>
          </w:p>
        </w:tc>
        <w:tc>
          <w:tcPr>
            <w:tcW w:w="944" w:type="dxa"/>
            <w:tcBorders>
              <w:top w:val="nil"/>
              <w:left w:val="nil"/>
              <w:bottom w:val="single" w:sz="4" w:space="0" w:color="000000"/>
              <w:right w:val="single" w:sz="8" w:space="0" w:color="000000"/>
            </w:tcBorders>
            <w:shd w:val="clear" w:color="auto" w:fill="auto"/>
            <w:vAlign w:val="center"/>
            <w:hideMark/>
          </w:tcPr>
          <w:p w14:paraId="0025BBB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388,11</w:t>
            </w:r>
          </w:p>
        </w:tc>
      </w:tr>
      <w:tr w:rsidR="00EF4BC3" w:rsidRPr="009E5B39" w14:paraId="0A1415C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55910F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145141</w:t>
            </w:r>
          </w:p>
        </w:tc>
        <w:tc>
          <w:tcPr>
            <w:tcW w:w="2268" w:type="dxa"/>
            <w:tcBorders>
              <w:top w:val="nil"/>
              <w:left w:val="nil"/>
              <w:bottom w:val="single" w:sz="4" w:space="0" w:color="000000"/>
              <w:right w:val="single" w:sz="4" w:space="0" w:color="000000"/>
            </w:tcBorders>
            <w:shd w:val="clear" w:color="auto" w:fill="auto"/>
            <w:vAlign w:val="center"/>
          </w:tcPr>
          <w:p w14:paraId="04EC3DC8" w14:textId="200706AF"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60ACCA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-14,41</w:t>
            </w:r>
          </w:p>
        </w:tc>
        <w:tc>
          <w:tcPr>
            <w:tcW w:w="944" w:type="dxa"/>
            <w:tcBorders>
              <w:top w:val="nil"/>
              <w:left w:val="nil"/>
              <w:bottom w:val="single" w:sz="4" w:space="0" w:color="000000"/>
              <w:right w:val="single" w:sz="4" w:space="0" w:color="000000"/>
            </w:tcBorders>
            <w:shd w:val="clear" w:color="auto" w:fill="auto"/>
            <w:vAlign w:val="center"/>
            <w:hideMark/>
          </w:tcPr>
          <w:p w14:paraId="175A79A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553,90</w:t>
            </w:r>
          </w:p>
        </w:tc>
        <w:tc>
          <w:tcPr>
            <w:tcW w:w="1064" w:type="dxa"/>
            <w:tcBorders>
              <w:top w:val="nil"/>
              <w:left w:val="nil"/>
              <w:bottom w:val="single" w:sz="4" w:space="0" w:color="000000"/>
              <w:right w:val="single" w:sz="4" w:space="0" w:color="000000"/>
            </w:tcBorders>
            <w:shd w:val="clear" w:color="auto" w:fill="auto"/>
            <w:vAlign w:val="center"/>
            <w:hideMark/>
          </w:tcPr>
          <w:p w14:paraId="04F9410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0,45</w:t>
            </w:r>
          </w:p>
        </w:tc>
        <w:tc>
          <w:tcPr>
            <w:tcW w:w="862" w:type="dxa"/>
            <w:tcBorders>
              <w:top w:val="nil"/>
              <w:left w:val="nil"/>
              <w:bottom w:val="single" w:sz="4" w:space="0" w:color="000000"/>
              <w:right w:val="single" w:sz="4" w:space="0" w:color="000000"/>
            </w:tcBorders>
            <w:shd w:val="clear" w:color="auto" w:fill="auto"/>
            <w:vAlign w:val="center"/>
            <w:hideMark/>
          </w:tcPr>
          <w:p w14:paraId="693F6E3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-338,35</w:t>
            </w:r>
          </w:p>
        </w:tc>
        <w:tc>
          <w:tcPr>
            <w:tcW w:w="1064" w:type="dxa"/>
            <w:tcBorders>
              <w:top w:val="nil"/>
              <w:left w:val="nil"/>
              <w:bottom w:val="single" w:sz="4" w:space="0" w:color="000000"/>
              <w:right w:val="single" w:sz="4" w:space="0" w:color="000000"/>
            </w:tcBorders>
            <w:shd w:val="clear" w:color="auto" w:fill="auto"/>
            <w:vAlign w:val="center"/>
            <w:hideMark/>
          </w:tcPr>
          <w:p w14:paraId="417456A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46,93</w:t>
            </w:r>
          </w:p>
        </w:tc>
        <w:tc>
          <w:tcPr>
            <w:tcW w:w="1028" w:type="dxa"/>
            <w:tcBorders>
              <w:top w:val="nil"/>
              <w:left w:val="nil"/>
              <w:bottom w:val="single" w:sz="4" w:space="0" w:color="000000"/>
              <w:right w:val="single" w:sz="4" w:space="0" w:color="000000"/>
            </w:tcBorders>
            <w:shd w:val="clear" w:color="auto" w:fill="auto"/>
            <w:vAlign w:val="center"/>
            <w:hideMark/>
          </w:tcPr>
          <w:p w14:paraId="272D054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-14,69</w:t>
            </w:r>
          </w:p>
        </w:tc>
        <w:tc>
          <w:tcPr>
            <w:tcW w:w="944" w:type="dxa"/>
            <w:tcBorders>
              <w:top w:val="nil"/>
              <w:left w:val="nil"/>
              <w:bottom w:val="single" w:sz="4" w:space="0" w:color="000000"/>
              <w:right w:val="single" w:sz="8" w:space="0" w:color="000000"/>
            </w:tcBorders>
            <w:shd w:val="clear" w:color="auto" w:fill="auto"/>
            <w:vAlign w:val="center"/>
            <w:hideMark/>
          </w:tcPr>
          <w:p w14:paraId="052F7E7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247,50</w:t>
            </w:r>
          </w:p>
        </w:tc>
      </w:tr>
      <w:tr w:rsidR="00EF4BC3" w:rsidRPr="009E5B39" w14:paraId="4CAB2B65"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F94CFCF"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145141</w:t>
            </w:r>
          </w:p>
        </w:tc>
        <w:tc>
          <w:tcPr>
            <w:tcW w:w="2268" w:type="dxa"/>
            <w:tcBorders>
              <w:top w:val="nil"/>
              <w:left w:val="nil"/>
              <w:bottom w:val="single" w:sz="4" w:space="0" w:color="000000"/>
              <w:right w:val="single" w:sz="4" w:space="0" w:color="000000"/>
            </w:tcBorders>
            <w:shd w:val="clear" w:color="auto" w:fill="auto"/>
            <w:vAlign w:val="center"/>
          </w:tcPr>
          <w:p w14:paraId="4AF5017B" w14:textId="48981AE6"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344697E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-17,98</w:t>
            </w:r>
          </w:p>
        </w:tc>
        <w:tc>
          <w:tcPr>
            <w:tcW w:w="944" w:type="dxa"/>
            <w:tcBorders>
              <w:top w:val="nil"/>
              <w:left w:val="nil"/>
              <w:bottom w:val="single" w:sz="4" w:space="0" w:color="000000"/>
              <w:right w:val="single" w:sz="4" w:space="0" w:color="000000"/>
            </w:tcBorders>
            <w:shd w:val="clear" w:color="auto" w:fill="auto"/>
            <w:vAlign w:val="center"/>
            <w:hideMark/>
          </w:tcPr>
          <w:p w14:paraId="133DAEE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457,69</w:t>
            </w:r>
          </w:p>
        </w:tc>
        <w:tc>
          <w:tcPr>
            <w:tcW w:w="1064" w:type="dxa"/>
            <w:tcBorders>
              <w:top w:val="nil"/>
              <w:left w:val="nil"/>
              <w:bottom w:val="single" w:sz="4" w:space="0" w:color="000000"/>
              <w:right w:val="single" w:sz="4" w:space="0" w:color="000000"/>
            </w:tcBorders>
            <w:shd w:val="clear" w:color="auto" w:fill="auto"/>
            <w:vAlign w:val="center"/>
            <w:hideMark/>
          </w:tcPr>
          <w:p w14:paraId="406B28F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0,87</w:t>
            </w:r>
          </w:p>
        </w:tc>
        <w:tc>
          <w:tcPr>
            <w:tcW w:w="862" w:type="dxa"/>
            <w:tcBorders>
              <w:top w:val="nil"/>
              <w:left w:val="nil"/>
              <w:bottom w:val="single" w:sz="4" w:space="0" w:color="000000"/>
              <w:right w:val="single" w:sz="4" w:space="0" w:color="000000"/>
            </w:tcBorders>
            <w:shd w:val="clear" w:color="auto" w:fill="auto"/>
            <w:vAlign w:val="center"/>
            <w:hideMark/>
          </w:tcPr>
          <w:p w14:paraId="6A10225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-4,71</w:t>
            </w:r>
          </w:p>
        </w:tc>
        <w:tc>
          <w:tcPr>
            <w:tcW w:w="1064" w:type="dxa"/>
            <w:tcBorders>
              <w:top w:val="nil"/>
              <w:left w:val="nil"/>
              <w:bottom w:val="single" w:sz="4" w:space="0" w:color="000000"/>
              <w:right w:val="single" w:sz="4" w:space="0" w:color="000000"/>
            </w:tcBorders>
            <w:shd w:val="clear" w:color="auto" w:fill="auto"/>
            <w:vAlign w:val="center"/>
            <w:hideMark/>
          </w:tcPr>
          <w:p w14:paraId="08013DF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6,88</w:t>
            </w:r>
          </w:p>
        </w:tc>
        <w:tc>
          <w:tcPr>
            <w:tcW w:w="1028" w:type="dxa"/>
            <w:tcBorders>
              <w:top w:val="nil"/>
              <w:left w:val="nil"/>
              <w:bottom w:val="single" w:sz="4" w:space="0" w:color="000000"/>
              <w:right w:val="single" w:sz="4" w:space="0" w:color="000000"/>
            </w:tcBorders>
            <w:shd w:val="clear" w:color="auto" w:fill="auto"/>
            <w:vAlign w:val="center"/>
            <w:hideMark/>
          </w:tcPr>
          <w:p w14:paraId="32B2091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-18,84</w:t>
            </w:r>
          </w:p>
        </w:tc>
        <w:tc>
          <w:tcPr>
            <w:tcW w:w="944" w:type="dxa"/>
            <w:tcBorders>
              <w:top w:val="nil"/>
              <w:left w:val="nil"/>
              <w:bottom w:val="single" w:sz="4" w:space="0" w:color="000000"/>
              <w:right w:val="single" w:sz="8" w:space="0" w:color="000000"/>
            </w:tcBorders>
            <w:shd w:val="clear" w:color="auto" w:fill="auto"/>
            <w:vAlign w:val="center"/>
            <w:hideMark/>
          </w:tcPr>
          <w:p w14:paraId="7313763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454,02</w:t>
            </w:r>
          </w:p>
        </w:tc>
      </w:tr>
      <w:tr w:rsidR="00EF4BC3" w:rsidRPr="009E5B39" w14:paraId="5B300E33"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DAC8EA4"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145142</w:t>
            </w:r>
          </w:p>
        </w:tc>
        <w:tc>
          <w:tcPr>
            <w:tcW w:w="2268" w:type="dxa"/>
            <w:tcBorders>
              <w:top w:val="nil"/>
              <w:left w:val="nil"/>
              <w:bottom w:val="single" w:sz="4" w:space="0" w:color="000000"/>
              <w:right w:val="single" w:sz="4" w:space="0" w:color="000000"/>
            </w:tcBorders>
            <w:shd w:val="clear" w:color="auto" w:fill="auto"/>
            <w:vAlign w:val="center"/>
            <w:hideMark/>
          </w:tcPr>
          <w:p w14:paraId="3FE91853"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Alte venituri încasate în bugetele locale de nivelul I (12240/31)</w:t>
            </w:r>
          </w:p>
        </w:tc>
        <w:tc>
          <w:tcPr>
            <w:tcW w:w="992" w:type="dxa"/>
            <w:tcBorders>
              <w:top w:val="nil"/>
              <w:left w:val="nil"/>
              <w:bottom w:val="single" w:sz="4" w:space="0" w:color="000000"/>
              <w:right w:val="single" w:sz="4" w:space="0" w:color="000000"/>
            </w:tcBorders>
            <w:shd w:val="clear" w:color="auto" w:fill="auto"/>
            <w:vAlign w:val="center"/>
            <w:hideMark/>
          </w:tcPr>
          <w:p w14:paraId="6C56ED75"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5DE0A26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59,16</w:t>
            </w:r>
          </w:p>
        </w:tc>
        <w:tc>
          <w:tcPr>
            <w:tcW w:w="1064" w:type="dxa"/>
            <w:tcBorders>
              <w:top w:val="nil"/>
              <w:left w:val="nil"/>
              <w:bottom w:val="single" w:sz="4" w:space="0" w:color="000000"/>
              <w:right w:val="single" w:sz="4" w:space="0" w:color="000000"/>
            </w:tcBorders>
            <w:shd w:val="clear" w:color="auto" w:fill="auto"/>
            <w:vAlign w:val="center"/>
            <w:hideMark/>
          </w:tcPr>
          <w:p w14:paraId="0DC24D4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721ADE0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5,29</w:t>
            </w:r>
          </w:p>
        </w:tc>
        <w:tc>
          <w:tcPr>
            <w:tcW w:w="1064" w:type="dxa"/>
            <w:tcBorders>
              <w:top w:val="nil"/>
              <w:left w:val="nil"/>
              <w:bottom w:val="single" w:sz="4" w:space="0" w:color="000000"/>
              <w:right w:val="single" w:sz="4" w:space="0" w:color="000000"/>
            </w:tcBorders>
            <w:shd w:val="clear" w:color="auto" w:fill="auto"/>
            <w:vAlign w:val="center"/>
            <w:hideMark/>
          </w:tcPr>
          <w:p w14:paraId="0BC39DF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6A8FB8D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26B3CF9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62,61</w:t>
            </w:r>
          </w:p>
        </w:tc>
      </w:tr>
      <w:tr w:rsidR="00EF4BC3" w:rsidRPr="009E5B39" w14:paraId="677F91A9"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D9DB0C3"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145142</w:t>
            </w:r>
          </w:p>
        </w:tc>
        <w:tc>
          <w:tcPr>
            <w:tcW w:w="2268" w:type="dxa"/>
            <w:tcBorders>
              <w:top w:val="nil"/>
              <w:left w:val="nil"/>
              <w:bottom w:val="single" w:sz="4" w:space="0" w:color="000000"/>
              <w:right w:val="single" w:sz="4" w:space="0" w:color="000000"/>
            </w:tcBorders>
            <w:shd w:val="clear" w:color="auto" w:fill="auto"/>
            <w:vAlign w:val="center"/>
          </w:tcPr>
          <w:p w14:paraId="05931ACF" w14:textId="0E4CD3A8"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7778353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599F4E4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5,67</w:t>
            </w:r>
          </w:p>
        </w:tc>
        <w:tc>
          <w:tcPr>
            <w:tcW w:w="1064" w:type="dxa"/>
            <w:tcBorders>
              <w:top w:val="nil"/>
              <w:left w:val="nil"/>
              <w:bottom w:val="single" w:sz="4" w:space="0" w:color="000000"/>
              <w:right w:val="single" w:sz="4" w:space="0" w:color="000000"/>
            </w:tcBorders>
            <w:shd w:val="clear" w:color="auto" w:fill="auto"/>
            <w:vAlign w:val="center"/>
            <w:hideMark/>
          </w:tcPr>
          <w:p w14:paraId="4F8B1A5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267F457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0,05</w:t>
            </w:r>
          </w:p>
        </w:tc>
        <w:tc>
          <w:tcPr>
            <w:tcW w:w="1064" w:type="dxa"/>
            <w:tcBorders>
              <w:top w:val="nil"/>
              <w:left w:val="nil"/>
              <w:bottom w:val="single" w:sz="4" w:space="0" w:color="000000"/>
              <w:right w:val="single" w:sz="4" w:space="0" w:color="000000"/>
            </w:tcBorders>
            <w:shd w:val="clear" w:color="auto" w:fill="auto"/>
            <w:vAlign w:val="center"/>
            <w:hideMark/>
          </w:tcPr>
          <w:p w14:paraId="7B97C9D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0927AD2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522B704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6,33</w:t>
            </w:r>
          </w:p>
        </w:tc>
      </w:tr>
      <w:tr w:rsidR="00EF4BC3" w:rsidRPr="009E5B39" w14:paraId="5B12EF7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403E4E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145142</w:t>
            </w:r>
          </w:p>
        </w:tc>
        <w:tc>
          <w:tcPr>
            <w:tcW w:w="2268" w:type="dxa"/>
            <w:tcBorders>
              <w:top w:val="nil"/>
              <w:left w:val="nil"/>
              <w:bottom w:val="single" w:sz="4" w:space="0" w:color="000000"/>
              <w:right w:val="single" w:sz="4" w:space="0" w:color="000000"/>
            </w:tcBorders>
            <w:shd w:val="clear" w:color="auto" w:fill="auto"/>
            <w:vAlign w:val="center"/>
          </w:tcPr>
          <w:p w14:paraId="44702F1B" w14:textId="77664A72"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1ECBEE76"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1087DB9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5,23</w:t>
            </w:r>
          </w:p>
        </w:tc>
        <w:tc>
          <w:tcPr>
            <w:tcW w:w="1064" w:type="dxa"/>
            <w:tcBorders>
              <w:top w:val="nil"/>
              <w:left w:val="nil"/>
              <w:bottom w:val="single" w:sz="4" w:space="0" w:color="000000"/>
              <w:right w:val="single" w:sz="4" w:space="0" w:color="000000"/>
            </w:tcBorders>
            <w:shd w:val="clear" w:color="auto" w:fill="auto"/>
            <w:vAlign w:val="center"/>
            <w:hideMark/>
          </w:tcPr>
          <w:p w14:paraId="46FF141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0,002</w:t>
            </w:r>
          </w:p>
        </w:tc>
        <w:tc>
          <w:tcPr>
            <w:tcW w:w="862" w:type="dxa"/>
            <w:tcBorders>
              <w:top w:val="nil"/>
              <w:left w:val="nil"/>
              <w:bottom w:val="single" w:sz="4" w:space="0" w:color="000000"/>
              <w:right w:val="single" w:sz="4" w:space="0" w:color="000000"/>
            </w:tcBorders>
            <w:shd w:val="clear" w:color="auto" w:fill="auto"/>
            <w:vAlign w:val="center"/>
            <w:hideMark/>
          </w:tcPr>
          <w:p w14:paraId="42B22B4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-0,01</w:t>
            </w:r>
          </w:p>
        </w:tc>
        <w:tc>
          <w:tcPr>
            <w:tcW w:w="1064" w:type="dxa"/>
            <w:tcBorders>
              <w:top w:val="nil"/>
              <w:left w:val="nil"/>
              <w:bottom w:val="single" w:sz="4" w:space="0" w:color="000000"/>
              <w:right w:val="single" w:sz="4" w:space="0" w:color="000000"/>
            </w:tcBorders>
            <w:shd w:val="clear" w:color="auto" w:fill="auto"/>
            <w:vAlign w:val="center"/>
            <w:hideMark/>
          </w:tcPr>
          <w:p w14:paraId="4832AE0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5B4B836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-0,19</w:t>
            </w:r>
          </w:p>
        </w:tc>
        <w:tc>
          <w:tcPr>
            <w:tcW w:w="944" w:type="dxa"/>
            <w:tcBorders>
              <w:top w:val="nil"/>
              <w:left w:val="nil"/>
              <w:bottom w:val="single" w:sz="4" w:space="0" w:color="000000"/>
              <w:right w:val="single" w:sz="8" w:space="0" w:color="000000"/>
            </w:tcBorders>
            <w:shd w:val="clear" w:color="auto" w:fill="auto"/>
            <w:vAlign w:val="center"/>
            <w:hideMark/>
          </w:tcPr>
          <w:p w14:paraId="7AFD1B7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57,09</w:t>
            </w:r>
          </w:p>
        </w:tc>
      </w:tr>
      <w:tr w:rsidR="00EF4BC3" w:rsidRPr="009E5B39" w14:paraId="19B14B2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07A2052"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145142</w:t>
            </w:r>
          </w:p>
        </w:tc>
        <w:tc>
          <w:tcPr>
            <w:tcW w:w="2268" w:type="dxa"/>
            <w:tcBorders>
              <w:top w:val="nil"/>
              <w:left w:val="nil"/>
              <w:bottom w:val="single" w:sz="4" w:space="0" w:color="000000"/>
              <w:right w:val="single" w:sz="4" w:space="0" w:color="000000"/>
            </w:tcBorders>
            <w:shd w:val="clear" w:color="auto" w:fill="auto"/>
            <w:vAlign w:val="center"/>
          </w:tcPr>
          <w:p w14:paraId="6836AD13" w14:textId="2A42F093"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149A901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08968DAA"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6,67</w:t>
            </w:r>
          </w:p>
        </w:tc>
        <w:tc>
          <w:tcPr>
            <w:tcW w:w="1064" w:type="dxa"/>
            <w:tcBorders>
              <w:top w:val="nil"/>
              <w:left w:val="nil"/>
              <w:bottom w:val="single" w:sz="4" w:space="0" w:color="000000"/>
              <w:right w:val="single" w:sz="4" w:space="0" w:color="000000"/>
            </w:tcBorders>
            <w:shd w:val="clear" w:color="auto" w:fill="auto"/>
            <w:vAlign w:val="center"/>
            <w:hideMark/>
          </w:tcPr>
          <w:p w14:paraId="12C554E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3757DB5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1064" w:type="dxa"/>
            <w:tcBorders>
              <w:top w:val="nil"/>
              <w:left w:val="nil"/>
              <w:bottom w:val="single" w:sz="4" w:space="0" w:color="000000"/>
              <w:right w:val="single" w:sz="4" w:space="0" w:color="000000"/>
            </w:tcBorders>
            <w:shd w:val="clear" w:color="auto" w:fill="auto"/>
            <w:vAlign w:val="center"/>
            <w:hideMark/>
          </w:tcPr>
          <w:p w14:paraId="4086913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057EBBF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69FC937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8,98</w:t>
            </w:r>
          </w:p>
        </w:tc>
      </w:tr>
      <w:tr w:rsidR="00EF4BC3" w:rsidRPr="009E5B39" w14:paraId="3F27E9BD"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19D606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145161</w:t>
            </w:r>
          </w:p>
        </w:tc>
        <w:tc>
          <w:tcPr>
            <w:tcW w:w="2268" w:type="dxa"/>
            <w:tcBorders>
              <w:top w:val="nil"/>
              <w:left w:val="nil"/>
              <w:bottom w:val="single" w:sz="4" w:space="0" w:color="000000"/>
              <w:right w:val="single" w:sz="4" w:space="0" w:color="000000"/>
            </w:tcBorders>
            <w:shd w:val="clear" w:color="auto" w:fill="auto"/>
            <w:vAlign w:val="center"/>
            <w:hideMark/>
          </w:tcPr>
          <w:p w14:paraId="4D890B1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Impozit unic perceput de la rezidenții parcurilor pentru tehnologia informației</w:t>
            </w:r>
          </w:p>
        </w:tc>
        <w:tc>
          <w:tcPr>
            <w:tcW w:w="992" w:type="dxa"/>
            <w:tcBorders>
              <w:top w:val="nil"/>
              <w:left w:val="nil"/>
              <w:bottom w:val="single" w:sz="4" w:space="0" w:color="000000"/>
              <w:right w:val="single" w:sz="4" w:space="0" w:color="000000"/>
            </w:tcBorders>
            <w:shd w:val="clear" w:color="auto" w:fill="auto"/>
            <w:vAlign w:val="center"/>
            <w:hideMark/>
          </w:tcPr>
          <w:p w14:paraId="1D7B54D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-1,30</w:t>
            </w:r>
          </w:p>
        </w:tc>
        <w:tc>
          <w:tcPr>
            <w:tcW w:w="944" w:type="dxa"/>
            <w:tcBorders>
              <w:top w:val="nil"/>
              <w:left w:val="nil"/>
              <w:bottom w:val="single" w:sz="4" w:space="0" w:color="000000"/>
              <w:right w:val="single" w:sz="4" w:space="0" w:color="000000"/>
            </w:tcBorders>
            <w:shd w:val="clear" w:color="auto" w:fill="auto"/>
            <w:vAlign w:val="center"/>
            <w:hideMark/>
          </w:tcPr>
          <w:p w14:paraId="1F735E28"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10,43</w:t>
            </w:r>
          </w:p>
        </w:tc>
        <w:tc>
          <w:tcPr>
            <w:tcW w:w="1064" w:type="dxa"/>
            <w:tcBorders>
              <w:top w:val="nil"/>
              <w:left w:val="nil"/>
              <w:bottom w:val="single" w:sz="4" w:space="0" w:color="000000"/>
              <w:right w:val="single" w:sz="4" w:space="0" w:color="000000"/>
            </w:tcBorders>
            <w:shd w:val="clear" w:color="auto" w:fill="auto"/>
            <w:vAlign w:val="center"/>
            <w:hideMark/>
          </w:tcPr>
          <w:p w14:paraId="27EFDD0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432,0</w:t>
            </w:r>
          </w:p>
        </w:tc>
        <w:tc>
          <w:tcPr>
            <w:tcW w:w="862" w:type="dxa"/>
            <w:tcBorders>
              <w:top w:val="nil"/>
              <w:left w:val="nil"/>
              <w:bottom w:val="single" w:sz="4" w:space="0" w:color="000000"/>
              <w:right w:val="single" w:sz="4" w:space="0" w:color="000000"/>
            </w:tcBorders>
            <w:shd w:val="clear" w:color="auto" w:fill="auto"/>
            <w:vAlign w:val="center"/>
            <w:hideMark/>
          </w:tcPr>
          <w:p w14:paraId="37FF2DB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1,31</w:t>
            </w:r>
          </w:p>
        </w:tc>
        <w:tc>
          <w:tcPr>
            <w:tcW w:w="1064" w:type="dxa"/>
            <w:tcBorders>
              <w:top w:val="nil"/>
              <w:left w:val="nil"/>
              <w:bottom w:val="single" w:sz="4" w:space="0" w:color="000000"/>
              <w:right w:val="single" w:sz="4" w:space="0" w:color="000000"/>
            </w:tcBorders>
            <w:shd w:val="clear" w:color="auto" w:fill="auto"/>
            <w:vAlign w:val="center"/>
            <w:hideMark/>
          </w:tcPr>
          <w:p w14:paraId="538A571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429,47</w:t>
            </w:r>
          </w:p>
        </w:tc>
        <w:tc>
          <w:tcPr>
            <w:tcW w:w="1028" w:type="dxa"/>
            <w:tcBorders>
              <w:top w:val="nil"/>
              <w:left w:val="nil"/>
              <w:bottom w:val="single" w:sz="4" w:space="0" w:color="000000"/>
              <w:right w:val="single" w:sz="4" w:space="0" w:color="000000"/>
            </w:tcBorders>
            <w:shd w:val="clear" w:color="auto" w:fill="auto"/>
            <w:vAlign w:val="center"/>
            <w:hideMark/>
          </w:tcPr>
          <w:p w14:paraId="7D3D013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-2,45</w:t>
            </w:r>
          </w:p>
        </w:tc>
        <w:tc>
          <w:tcPr>
            <w:tcW w:w="944" w:type="dxa"/>
            <w:tcBorders>
              <w:top w:val="nil"/>
              <w:left w:val="nil"/>
              <w:bottom w:val="single" w:sz="4" w:space="0" w:color="000000"/>
              <w:right w:val="single" w:sz="8" w:space="0" w:color="000000"/>
            </w:tcBorders>
            <w:shd w:val="clear" w:color="auto" w:fill="auto"/>
            <w:vAlign w:val="center"/>
            <w:hideMark/>
          </w:tcPr>
          <w:p w14:paraId="2864D40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7,51</w:t>
            </w:r>
          </w:p>
        </w:tc>
      </w:tr>
      <w:tr w:rsidR="00EF4BC3" w:rsidRPr="009E5B39" w14:paraId="0DF9C50B"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93ECA87"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145161</w:t>
            </w:r>
          </w:p>
        </w:tc>
        <w:tc>
          <w:tcPr>
            <w:tcW w:w="2268" w:type="dxa"/>
            <w:tcBorders>
              <w:top w:val="nil"/>
              <w:left w:val="nil"/>
              <w:bottom w:val="single" w:sz="4" w:space="0" w:color="000000"/>
              <w:right w:val="single" w:sz="4" w:space="0" w:color="000000"/>
            </w:tcBorders>
            <w:shd w:val="clear" w:color="auto" w:fill="auto"/>
            <w:vAlign w:val="center"/>
          </w:tcPr>
          <w:p w14:paraId="78EC9932" w14:textId="6514064D"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27BE129E"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-1,57</w:t>
            </w:r>
          </w:p>
        </w:tc>
        <w:tc>
          <w:tcPr>
            <w:tcW w:w="944" w:type="dxa"/>
            <w:tcBorders>
              <w:top w:val="nil"/>
              <w:left w:val="nil"/>
              <w:bottom w:val="single" w:sz="4" w:space="0" w:color="000000"/>
              <w:right w:val="single" w:sz="4" w:space="0" w:color="000000"/>
            </w:tcBorders>
            <w:shd w:val="clear" w:color="auto" w:fill="auto"/>
            <w:vAlign w:val="center"/>
            <w:hideMark/>
          </w:tcPr>
          <w:p w14:paraId="41DD103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4,60</w:t>
            </w:r>
          </w:p>
        </w:tc>
        <w:tc>
          <w:tcPr>
            <w:tcW w:w="1064" w:type="dxa"/>
            <w:tcBorders>
              <w:top w:val="nil"/>
              <w:left w:val="nil"/>
              <w:bottom w:val="single" w:sz="4" w:space="0" w:color="000000"/>
              <w:right w:val="single" w:sz="4" w:space="0" w:color="000000"/>
            </w:tcBorders>
            <w:shd w:val="clear" w:color="auto" w:fill="auto"/>
            <w:vAlign w:val="center"/>
            <w:hideMark/>
          </w:tcPr>
          <w:p w14:paraId="58C2E4A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539,98</w:t>
            </w:r>
          </w:p>
        </w:tc>
        <w:tc>
          <w:tcPr>
            <w:tcW w:w="862" w:type="dxa"/>
            <w:tcBorders>
              <w:top w:val="nil"/>
              <w:left w:val="nil"/>
              <w:bottom w:val="single" w:sz="4" w:space="0" w:color="000000"/>
              <w:right w:val="single" w:sz="4" w:space="0" w:color="000000"/>
            </w:tcBorders>
            <w:shd w:val="clear" w:color="auto" w:fill="auto"/>
            <w:vAlign w:val="center"/>
            <w:hideMark/>
          </w:tcPr>
          <w:p w14:paraId="47CA544D"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-30,77</w:t>
            </w:r>
          </w:p>
        </w:tc>
        <w:tc>
          <w:tcPr>
            <w:tcW w:w="1064" w:type="dxa"/>
            <w:tcBorders>
              <w:top w:val="nil"/>
              <w:left w:val="nil"/>
              <w:bottom w:val="single" w:sz="4" w:space="0" w:color="000000"/>
              <w:right w:val="single" w:sz="4" w:space="0" w:color="000000"/>
            </w:tcBorders>
            <w:shd w:val="clear" w:color="auto" w:fill="auto"/>
            <w:vAlign w:val="center"/>
            <w:hideMark/>
          </w:tcPr>
          <w:p w14:paraId="3810D6F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527,41</w:t>
            </w:r>
          </w:p>
        </w:tc>
        <w:tc>
          <w:tcPr>
            <w:tcW w:w="1028" w:type="dxa"/>
            <w:tcBorders>
              <w:top w:val="nil"/>
              <w:left w:val="nil"/>
              <w:bottom w:val="single" w:sz="4" w:space="0" w:color="000000"/>
              <w:right w:val="single" w:sz="4" w:space="0" w:color="000000"/>
            </w:tcBorders>
            <w:shd w:val="clear" w:color="auto" w:fill="auto"/>
            <w:vAlign w:val="center"/>
            <w:hideMark/>
          </w:tcPr>
          <w:p w14:paraId="79132554"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-2,19</w:t>
            </w:r>
          </w:p>
        </w:tc>
        <w:tc>
          <w:tcPr>
            <w:tcW w:w="944" w:type="dxa"/>
            <w:tcBorders>
              <w:top w:val="nil"/>
              <w:left w:val="nil"/>
              <w:bottom w:val="single" w:sz="4" w:space="0" w:color="000000"/>
              <w:right w:val="single" w:sz="8" w:space="0" w:color="000000"/>
            </w:tcBorders>
            <w:shd w:val="clear" w:color="auto" w:fill="auto"/>
            <w:vAlign w:val="center"/>
            <w:hideMark/>
          </w:tcPr>
          <w:p w14:paraId="6E8C0DC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20,96</w:t>
            </w:r>
          </w:p>
        </w:tc>
      </w:tr>
      <w:tr w:rsidR="00EF4BC3" w:rsidRPr="009E5B39" w14:paraId="2957740E"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208F590"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145161</w:t>
            </w:r>
          </w:p>
        </w:tc>
        <w:tc>
          <w:tcPr>
            <w:tcW w:w="2268" w:type="dxa"/>
            <w:tcBorders>
              <w:top w:val="nil"/>
              <w:left w:val="nil"/>
              <w:bottom w:val="single" w:sz="4" w:space="0" w:color="000000"/>
              <w:right w:val="single" w:sz="4" w:space="0" w:color="000000"/>
            </w:tcBorders>
            <w:shd w:val="clear" w:color="auto" w:fill="auto"/>
            <w:vAlign w:val="center"/>
          </w:tcPr>
          <w:p w14:paraId="6CC1627C" w14:textId="4C429C14"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51EC32B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-0,48</w:t>
            </w:r>
          </w:p>
        </w:tc>
        <w:tc>
          <w:tcPr>
            <w:tcW w:w="944" w:type="dxa"/>
            <w:tcBorders>
              <w:top w:val="nil"/>
              <w:left w:val="nil"/>
              <w:bottom w:val="single" w:sz="4" w:space="0" w:color="000000"/>
              <w:right w:val="single" w:sz="4" w:space="0" w:color="000000"/>
            </w:tcBorders>
            <w:shd w:val="clear" w:color="auto" w:fill="auto"/>
            <w:vAlign w:val="center"/>
            <w:hideMark/>
          </w:tcPr>
          <w:p w14:paraId="6D61B60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4,04</w:t>
            </w:r>
          </w:p>
        </w:tc>
        <w:tc>
          <w:tcPr>
            <w:tcW w:w="1064" w:type="dxa"/>
            <w:tcBorders>
              <w:top w:val="nil"/>
              <w:left w:val="nil"/>
              <w:bottom w:val="single" w:sz="4" w:space="0" w:color="000000"/>
              <w:right w:val="single" w:sz="4" w:space="0" w:color="000000"/>
            </w:tcBorders>
            <w:shd w:val="clear" w:color="auto" w:fill="auto"/>
            <w:vAlign w:val="center"/>
            <w:hideMark/>
          </w:tcPr>
          <w:p w14:paraId="5891CCF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295,01</w:t>
            </w:r>
          </w:p>
        </w:tc>
        <w:tc>
          <w:tcPr>
            <w:tcW w:w="862" w:type="dxa"/>
            <w:tcBorders>
              <w:top w:val="nil"/>
              <w:left w:val="nil"/>
              <w:bottom w:val="single" w:sz="4" w:space="0" w:color="000000"/>
              <w:right w:val="single" w:sz="4" w:space="0" w:color="000000"/>
            </w:tcBorders>
            <w:shd w:val="clear" w:color="auto" w:fill="auto"/>
            <w:vAlign w:val="center"/>
            <w:hideMark/>
          </w:tcPr>
          <w:p w14:paraId="6C70FB1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30,93</w:t>
            </w:r>
          </w:p>
        </w:tc>
        <w:tc>
          <w:tcPr>
            <w:tcW w:w="1064" w:type="dxa"/>
            <w:tcBorders>
              <w:top w:val="nil"/>
              <w:left w:val="nil"/>
              <w:bottom w:val="single" w:sz="4" w:space="0" w:color="000000"/>
              <w:right w:val="single" w:sz="4" w:space="0" w:color="000000"/>
            </w:tcBorders>
            <w:shd w:val="clear" w:color="auto" w:fill="auto"/>
            <w:vAlign w:val="center"/>
            <w:hideMark/>
          </w:tcPr>
          <w:p w14:paraId="455CA52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326,69</w:t>
            </w:r>
          </w:p>
        </w:tc>
        <w:tc>
          <w:tcPr>
            <w:tcW w:w="1028" w:type="dxa"/>
            <w:tcBorders>
              <w:top w:val="nil"/>
              <w:left w:val="nil"/>
              <w:bottom w:val="single" w:sz="4" w:space="0" w:color="000000"/>
              <w:right w:val="single" w:sz="4" w:space="0" w:color="000000"/>
            </w:tcBorders>
            <w:shd w:val="clear" w:color="auto" w:fill="auto"/>
            <w:vAlign w:val="center"/>
            <w:hideMark/>
          </w:tcPr>
          <w:p w14:paraId="0E37907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-0,88</w:t>
            </w:r>
          </w:p>
        </w:tc>
        <w:tc>
          <w:tcPr>
            <w:tcW w:w="944" w:type="dxa"/>
            <w:tcBorders>
              <w:top w:val="nil"/>
              <w:left w:val="nil"/>
              <w:bottom w:val="single" w:sz="4" w:space="0" w:color="000000"/>
              <w:right w:val="single" w:sz="8" w:space="0" w:color="000000"/>
            </w:tcBorders>
            <w:shd w:val="clear" w:color="auto" w:fill="auto"/>
            <w:vAlign w:val="center"/>
            <w:hideMark/>
          </w:tcPr>
          <w:p w14:paraId="04AE2F41"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6,01</w:t>
            </w:r>
          </w:p>
        </w:tc>
      </w:tr>
      <w:tr w:rsidR="00EF4BC3" w:rsidRPr="009E5B39" w14:paraId="65BB2F3A"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B0C13B5"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145161</w:t>
            </w:r>
          </w:p>
        </w:tc>
        <w:tc>
          <w:tcPr>
            <w:tcW w:w="2268" w:type="dxa"/>
            <w:tcBorders>
              <w:top w:val="nil"/>
              <w:left w:val="nil"/>
              <w:bottom w:val="single" w:sz="4" w:space="0" w:color="000000"/>
              <w:right w:val="single" w:sz="4" w:space="0" w:color="000000"/>
            </w:tcBorders>
            <w:shd w:val="clear" w:color="auto" w:fill="auto"/>
            <w:vAlign w:val="center"/>
          </w:tcPr>
          <w:p w14:paraId="395CB955" w14:textId="326A7885" w:rsidR="00D82E26" w:rsidRPr="009E5B39" w:rsidRDefault="00D82E26"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single" w:sz="4" w:space="0" w:color="000000"/>
              <w:right w:val="single" w:sz="4" w:space="0" w:color="000000"/>
            </w:tcBorders>
            <w:shd w:val="clear" w:color="auto" w:fill="auto"/>
            <w:vAlign w:val="center"/>
            <w:hideMark/>
          </w:tcPr>
          <w:p w14:paraId="353EBCA9"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-0,16</w:t>
            </w:r>
          </w:p>
        </w:tc>
        <w:tc>
          <w:tcPr>
            <w:tcW w:w="944" w:type="dxa"/>
            <w:tcBorders>
              <w:top w:val="nil"/>
              <w:left w:val="nil"/>
              <w:bottom w:val="single" w:sz="4" w:space="0" w:color="000000"/>
              <w:right w:val="single" w:sz="4" w:space="0" w:color="000000"/>
            </w:tcBorders>
            <w:shd w:val="clear" w:color="auto" w:fill="auto"/>
            <w:vAlign w:val="center"/>
            <w:hideMark/>
          </w:tcPr>
          <w:p w14:paraId="42D85D8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1,95</w:t>
            </w:r>
          </w:p>
        </w:tc>
        <w:tc>
          <w:tcPr>
            <w:tcW w:w="1064" w:type="dxa"/>
            <w:tcBorders>
              <w:top w:val="nil"/>
              <w:left w:val="nil"/>
              <w:bottom w:val="single" w:sz="4" w:space="0" w:color="000000"/>
              <w:right w:val="single" w:sz="4" w:space="0" w:color="000000"/>
            </w:tcBorders>
            <w:shd w:val="clear" w:color="auto" w:fill="auto"/>
            <w:vAlign w:val="center"/>
            <w:hideMark/>
          </w:tcPr>
          <w:p w14:paraId="01883453"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158,56</w:t>
            </w:r>
          </w:p>
        </w:tc>
        <w:tc>
          <w:tcPr>
            <w:tcW w:w="862" w:type="dxa"/>
            <w:tcBorders>
              <w:top w:val="nil"/>
              <w:left w:val="nil"/>
              <w:bottom w:val="single" w:sz="4" w:space="0" w:color="000000"/>
              <w:right w:val="single" w:sz="4" w:space="0" w:color="000000"/>
            </w:tcBorders>
            <w:shd w:val="clear" w:color="auto" w:fill="auto"/>
            <w:vAlign w:val="center"/>
            <w:hideMark/>
          </w:tcPr>
          <w:p w14:paraId="614BFD7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0,26</w:t>
            </w:r>
          </w:p>
        </w:tc>
        <w:tc>
          <w:tcPr>
            <w:tcW w:w="1064" w:type="dxa"/>
            <w:tcBorders>
              <w:top w:val="nil"/>
              <w:left w:val="nil"/>
              <w:bottom w:val="single" w:sz="4" w:space="0" w:color="000000"/>
              <w:right w:val="single" w:sz="4" w:space="0" w:color="000000"/>
            </w:tcBorders>
            <w:shd w:val="clear" w:color="auto" w:fill="auto"/>
            <w:vAlign w:val="center"/>
            <w:hideMark/>
          </w:tcPr>
          <w:p w14:paraId="3B468EC0"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159,49</w:t>
            </w:r>
          </w:p>
        </w:tc>
        <w:tc>
          <w:tcPr>
            <w:tcW w:w="1028" w:type="dxa"/>
            <w:tcBorders>
              <w:top w:val="nil"/>
              <w:left w:val="nil"/>
              <w:bottom w:val="single" w:sz="4" w:space="0" w:color="000000"/>
              <w:right w:val="single" w:sz="4" w:space="0" w:color="000000"/>
            </w:tcBorders>
            <w:shd w:val="clear" w:color="auto" w:fill="auto"/>
            <w:vAlign w:val="center"/>
            <w:hideMark/>
          </w:tcPr>
          <w:p w14:paraId="1CDF319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w:t>
            </w:r>
          </w:p>
        </w:tc>
        <w:tc>
          <w:tcPr>
            <w:tcW w:w="944" w:type="dxa"/>
            <w:tcBorders>
              <w:top w:val="nil"/>
              <w:left w:val="nil"/>
              <w:bottom w:val="single" w:sz="4" w:space="0" w:color="000000"/>
              <w:right w:val="single" w:sz="8" w:space="0" w:color="000000"/>
            </w:tcBorders>
            <w:shd w:val="clear" w:color="auto" w:fill="auto"/>
            <w:vAlign w:val="center"/>
            <w:hideMark/>
          </w:tcPr>
          <w:p w14:paraId="397F5A6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2,85</w:t>
            </w:r>
          </w:p>
        </w:tc>
      </w:tr>
      <w:tr w:rsidR="00EF4BC3" w:rsidRPr="009E5B39" w14:paraId="6C415191"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90FA4CD"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311210</w:t>
            </w:r>
          </w:p>
        </w:tc>
        <w:tc>
          <w:tcPr>
            <w:tcW w:w="2268" w:type="dxa"/>
            <w:tcBorders>
              <w:top w:val="nil"/>
              <w:left w:val="nil"/>
              <w:bottom w:val="single" w:sz="4" w:space="0" w:color="000000"/>
              <w:right w:val="single" w:sz="4" w:space="0" w:color="000000"/>
            </w:tcBorders>
            <w:shd w:val="clear" w:color="auto" w:fill="auto"/>
            <w:vAlign w:val="center"/>
            <w:hideMark/>
          </w:tcPr>
          <w:p w14:paraId="4832396B" w14:textId="77777777" w:rsidR="00D82E26" w:rsidRPr="009E5B39" w:rsidRDefault="00D82E26"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Realizarea clădirilor (21106)</w:t>
            </w:r>
          </w:p>
        </w:tc>
        <w:tc>
          <w:tcPr>
            <w:tcW w:w="992" w:type="dxa"/>
            <w:tcBorders>
              <w:top w:val="nil"/>
              <w:left w:val="nil"/>
              <w:bottom w:val="single" w:sz="4" w:space="0" w:color="000000"/>
              <w:right w:val="single" w:sz="4" w:space="0" w:color="000000"/>
            </w:tcBorders>
            <w:shd w:val="clear" w:color="auto" w:fill="auto"/>
            <w:vAlign w:val="center"/>
            <w:hideMark/>
          </w:tcPr>
          <w:p w14:paraId="49D19BC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4" w:space="0" w:color="000000"/>
            </w:tcBorders>
            <w:shd w:val="clear" w:color="auto" w:fill="auto"/>
            <w:vAlign w:val="center"/>
            <w:hideMark/>
          </w:tcPr>
          <w:p w14:paraId="09512BC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64" w:type="dxa"/>
            <w:tcBorders>
              <w:top w:val="nil"/>
              <w:left w:val="nil"/>
              <w:bottom w:val="single" w:sz="4" w:space="0" w:color="000000"/>
              <w:right w:val="single" w:sz="4" w:space="0" w:color="000000"/>
            </w:tcBorders>
            <w:shd w:val="clear" w:color="auto" w:fill="auto"/>
            <w:vAlign w:val="center"/>
            <w:hideMark/>
          </w:tcPr>
          <w:p w14:paraId="0A0A5EDF"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862" w:type="dxa"/>
            <w:tcBorders>
              <w:top w:val="nil"/>
              <w:left w:val="nil"/>
              <w:bottom w:val="single" w:sz="4" w:space="0" w:color="000000"/>
              <w:right w:val="single" w:sz="4" w:space="0" w:color="000000"/>
            </w:tcBorders>
            <w:shd w:val="clear" w:color="auto" w:fill="auto"/>
            <w:vAlign w:val="center"/>
            <w:hideMark/>
          </w:tcPr>
          <w:p w14:paraId="4AE64D1B"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-0,15</w:t>
            </w:r>
          </w:p>
        </w:tc>
        <w:tc>
          <w:tcPr>
            <w:tcW w:w="1064" w:type="dxa"/>
            <w:tcBorders>
              <w:top w:val="nil"/>
              <w:left w:val="nil"/>
              <w:bottom w:val="single" w:sz="4" w:space="0" w:color="000000"/>
              <w:right w:val="single" w:sz="4" w:space="0" w:color="000000"/>
            </w:tcBorders>
            <w:shd w:val="clear" w:color="auto" w:fill="auto"/>
            <w:vAlign w:val="center"/>
            <w:hideMark/>
          </w:tcPr>
          <w:p w14:paraId="0028D237"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1028" w:type="dxa"/>
            <w:tcBorders>
              <w:top w:val="nil"/>
              <w:left w:val="nil"/>
              <w:bottom w:val="single" w:sz="4" w:space="0" w:color="000000"/>
              <w:right w:val="single" w:sz="4" w:space="0" w:color="000000"/>
            </w:tcBorders>
            <w:shd w:val="clear" w:color="auto" w:fill="auto"/>
            <w:vAlign w:val="center"/>
            <w:hideMark/>
          </w:tcPr>
          <w:p w14:paraId="39152D72"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c>
          <w:tcPr>
            <w:tcW w:w="944" w:type="dxa"/>
            <w:tcBorders>
              <w:top w:val="nil"/>
              <w:left w:val="nil"/>
              <w:bottom w:val="single" w:sz="4" w:space="0" w:color="000000"/>
              <w:right w:val="single" w:sz="8" w:space="0" w:color="000000"/>
            </w:tcBorders>
            <w:shd w:val="clear" w:color="auto" w:fill="auto"/>
            <w:vAlign w:val="center"/>
            <w:hideMark/>
          </w:tcPr>
          <w:p w14:paraId="7C7D415C" w14:textId="77777777" w:rsidR="00D82E26" w:rsidRPr="009E5B39" w:rsidRDefault="00D82E26"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0.00</w:t>
            </w:r>
          </w:p>
        </w:tc>
      </w:tr>
      <w:tr w:rsidR="00EF4BC3" w:rsidRPr="009E5B39" w14:paraId="339D229C" w14:textId="77777777" w:rsidTr="003C5073">
        <w:trPr>
          <w:trHeight w:val="20"/>
        </w:trPr>
        <w:tc>
          <w:tcPr>
            <w:tcW w:w="920"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7913882" w14:textId="77777777" w:rsidR="00574397" w:rsidRPr="009E5B39" w:rsidRDefault="00574397" w:rsidP="00EF4BC3">
            <w:pPr>
              <w:spacing w:after="0" w:line="240" w:lineRule="auto"/>
              <w:rPr>
                <w:rFonts w:asciiTheme="majorHAnsi" w:eastAsia="Times New Roman" w:hAnsiTheme="majorHAnsi" w:cstheme="majorHAnsi"/>
                <w:sz w:val="16"/>
                <w:szCs w:val="16"/>
                <w:lang w:val="ro-MD"/>
              </w:rPr>
            </w:pPr>
          </w:p>
        </w:tc>
        <w:tc>
          <w:tcPr>
            <w:tcW w:w="2268" w:type="dxa"/>
            <w:tcBorders>
              <w:top w:val="nil"/>
              <w:left w:val="nil"/>
              <w:bottom w:val="single" w:sz="4" w:space="0" w:color="000000"/>
              <w:right w:val="single" w:sz="4" w:space="0" w:color="000000"/>
            </w:tcBorders>
            <w:shd w:val="clear" w:color="auto" w:fill="D9D9D9" w:themeFill="background1" w:themeFillShade="D9"/>
            <w:vAlign w:val="bottom"/>
          </w:tcPr>
          <w:p w14:paraId="7931C364" w14:textId="5EFF9337" w:rsidR="00574397" w:rsidRPr="009E5B39" w:rsidRDefault="00574397" w:rsidP="00EF4BC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b/>
                <w:bCs/>
                <w:sz w:val="16"/>
                <w:szCs w:val="16"/>
                <w:lang w:val="ro-MD"/>
              </w:rPr>
              <w:t>TOTAL</w:t>
            </w:r>
          </w:p>
        </w:tc>
        <w:tc>
          <w:tcPr>
            <w:tcW w:w="992" w:type="dxa"/>
            <w:tcBorders>
              <w:top w:val="nil"/>
              <w:left w:val="nil"/>
              <w:bottom w:val="single" w:sz="4" w:space="0" w:color="000000"/>
              <w:right w:val="single" w:sz="4" w:space="0" w:color="000000"/>
            </w:tcBorders>
            <w:shd w:val="clear" w:color="auto" w:fill="D9D9D9" w:themeFill="background1" w:themeFillShade="D9"/>
            <w:vAlign w:val="bottom"/>
          </w:tcPr>
          <w:p w14:paraId="0521D050" w14:textId="0DBF8FC2" w:rsidR="00574397" w:rsidRPr="009E5B39" w:rsidRDefault="00574397"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-80.032,82</w:t>
            </w:r>
          </w:p>
        </w:tc>
        <w:tc>
          <w:tcPr>
            <w:tcW w:w="944" w:type="dxa"/>
            <w:tcBorders>
              <w:top w:val="nil"/>
              <w:left w:val="nil"/>
              <w:bottom w:val="single" w:sz="4" w:space="0" w:color="000000"/>
              <w:right w:val="single" w:sz="4" w:space="0" w:color="000000"/>
            </w:tcBorders>
            <w:shd w:val="clear" w:color="auto" w:fill="D9D9D9" w:themeFill="background1" w:themeFillShade="D9"/>
            <w:vAlign w:val="bottom"/>
          </w:tcPr>
          <w:p w14:paraId="7D413FA3" w14:textId="08FAB2BD" w:rsidR="00574397" w:rsidRPr="009E5B39" w:rsidRDefault="00574397"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212.293,64</w:t>
            </w:r>
          </w:p>
        </w:tc>
        <w:tc>
          <w:tcPr>
            <w:tcW w:w="1064" w:type="dxa"/>
            <w:tcBorders>
              <w:top w:val="nil"/>
              <w:left w:val="nil"/>
              <w:bottom w:val="single" w:sz="4" w:space="0" w:color="000000"/>
              <w:right w:val="single" w:sz="4" w:space="0" w:color="000000"/>
            </w:tcBorders>
            <w:shd w:val="clear" w:color="auto" w:fill="D9D9D9" w:themeFill="background1" w:themeFillShade="D9"/>
            <w:vAlign w:val="bottom"/>
          </w:tcPr>
          <w:p w14:paraId="4B33415B" w14:textId="14A7A50D" w:rsidR="00574397" w:rsidRPr="009E5B39" w:rsidRDefault="00574397"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1.665.426,09</w:t>
            </w:r>
          </w:p>
        </w:tc>
        <w:tc>
          <w:tcPr>
            <w:tcW w:w="862" w:type="dxa"/>
            <w:tcBorders>
              <w:top w:val="nil"/>
              <w:left w:val="nil"/>
              <w:bottom w:val="single" w:sz="4" w:space="0" w:color="000000"/>
              <w:right w:val="single" w:sz="4" w:space="0" w:color="000000"/>
            </w:tcBorders>
            <w:shd w:val="clear" w:color="auto" w:fill="D9D9D9" w:themeFill="background1" w:themeFillShade="D9"/>
            <w:vAlign w:val="bottom"/>
          </w:tcPr>
          <w:p w14:paraId="085F24B1" w14:textId="7E739386" w:rsidR="00574397" w:rsidRPr="009E5B39" w:rsidRDefault="00574397"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41.125,66</w:t>
            </w:r>
          </w:p>
        </w:tc>
        <w:tc>
          <w:tcPr>
            <w:tcW w:w="1064" w:type="dxa"/>
            <w:tcBorders>
              <w:top w:val="nil"/>
              <w:left w:val="nil"/>
              <w:bottom w:val="single" w:sz="4" w:space="0" w:color="000000"/>
              <w:right w:val="single" w:sz="4" w:space="0" w:color="000000"/>
            </w:tcBorders>
            <w:shd w:val="clear" w:color="auto" w:fill="D9D9D9" w:themeFill="background1" w:themeFillShade="D9"/>
            <w:vAlign w:val="bottom"/>
          </w:tcPr>
          <w:p w14:paraId="450F4B9B" w14:textId="32EF778A" w:rsidR="00574397" w:rsidRPr="009E5B39" w:rsidRDefault="00574397"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1.734.061,63</w:t>
            </w:r>
          </w:p>
        </w:tc>
        <w:tc>
          <w:tcPr>
            <w:tcW w:w="1028" w:type="dxa"/>
            <w:tcBorders>
              <w:top w:val="nil"/>
              <w:left w:val="nil"/>
              <w:bottom w:val="single" w:sz="4" w:space="0" w:color="000000"/>
              <w:right w:val="single" w:sz="4" w:space="0" w:color="000000"/>
            </w:tcBorders>
            <w:shd w:val="clear" w:color="auto" w:fill="D9D9D9" w:themeFill="background1" w:themeFillShade="D9"/>
            <w:vAlign w:val="bottom"/>
          </w:tcPr>
          <w:p w14:paraId="76D440B6" w14:textId="27C9A65A" w:rsidR="00574397" w:rsidRPr="009E5B39" w:rsidRDefault="00574397"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w:t>
            </w:r>
            <w:r w:rsidRPr="009E5B39">
              <w:rPr>
                <w:rFonts w:asciiTheme="majorHAnsi" w:eastAsia="Times New Roman" w:hAnsiTheme="majorHAnsi" w:cstheme="majorHAnsi"/>
                <w:b/>
                <w:bCs/>
                <w:sz w:val="16"/>
                <w:szCs w:val="16"/>
                <w:lang w:val="ro-MD"/>
              </w:rPr>
              <w:t>149.938,32</w:t>
            </w:r>
          </w:p>
        </w:tc>
        <w:tc>
          <w:tcPr>
            <w:tcW w:w="944" w:type="dxa"/>
            <w:tcBorders>
              <w:top w:val="nil"/>
              <w:left w:val="nil"/>
              <w:bottom w:val="single" w:sz="4" w:space="0" w:color="000000"/>
              <w:right w:val="single" w:sz="8" w:space="0" w:color="000000"/>
            </w:tcBorders>
            <w:shd w:val="clear" w:color="auto" w:fill="D9D9D9" w:themeFill="background1" w:themeFillShade="D9"/>
            <w:vAlign w:val="bottom"/>
          </w:tcPr>
          <w:p w14:paraId="47C38A4A" w14:textId="7DFF8D87" w:rsidR="00574397" w:rsidRPr="009E5B39" w:rsidRDefault="00574397" w:rsidP="00EF4BC3">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b/>
                <w:bCs/>
                <w:sz w:val="16"/>
                <w:szCs w:val="16"/>
                <w:lang w:val="ro-MD"/>
              </w:rPr>
              <w:t>235.115,39</w:t>
            </w:r>
          </w:p>
        </w:tc>
      </w:tr>
      <w:tr w:rsidR="00EF4BC3" w:rsidRPr="009E5B39" w14:paraId="7F980E7B" w14:textId="77777777" w:rsidTr="003C5073">
        <w:trPr>
          <w:trHeight w:val="20"/>
        </w:trPr>
        <w:tc>
          <w:tcPr>
            <w:tcW w:w="920" w:type="dxa"/>
            <w:tcBorders>
              <w:top w:val="nil"/>
              <w:left w:val="nil"/>
              <w:bottom w:val="nil"/>
              <w:right w:val="nil"/>
            </w:tcBorders>
            <w:shd w:val="clear" w:color="auto" w:fill="auto"/>
            <w:noWrap/>
            <w:vAlign w:val="bottom"/>
            <w:hideMark/>
          </w:tcPr>
          <w:p w14:paraId="20E31E4A" w14:textId="77777777" w:rsidR="00574397" w:rsidRPr="009E5B39" w:rsidRDefault="00574397" w:rsidP="00EF4BC3">
            <w:pPr>
              <w:spacing w:after="0" w:line="240" w:lineRule="auto"/>
              <w:jc w:val="right"/>
              <w:rPr>
                <w:rFonts w:asciiTheme="majorHAnsi" w:eastAsia="Times New Roman" w:hAnsiTheme="majorHAnsi" w:cstheme="majorHAnsi"/>
                <w:sz w:val="16"/>
                <w:szCs w:val="16"/>
                <w:lang w:val="ro-MD"/>
              </w:rPr>
            </w:pPr>
          </w:p>
        </w:tc>
        <w:tc>
          <w:tcPr>
            <w:tcW w:w="2268" w:type="dxa"/>
            <w:tcBorders>
              <w:top w:val="nil"/>
              <w:left w:val="nil"/>
              <w:bottom w:val="nil"/>
              <w:right w:val="nil"/>
            </w:tcBorders>
            <w:shd w:val="clear" w:color="auto" w:fill="auto"/>
            <w:noWrap/>
            <w:vAlign w:val="bottom"/>
            <w:hideMark/>
          </w:tcPr>
          <w:p w14:paraId="440DC50A" w14:textId="77777777" w:rsidR="00574397" w:rsidRPr="009E5B39" w:rsidRDefault="00574397" w:rsidP="00EF4BC3">
            <w:pPr>
              <w:spacing w:after="0" w:line="240" w:lineRule="auto"/>
              <w:rPr>
                <w:rFonts w:asciiTheme="majorHAnsi" w:eastAsia="Times New Roman" w:hAnsiTheme="majorHAnsi" w:cstheme="majorHAnsi"/>
                <w:sz w:val="16"/>
                <w:szCs w:val="16"/>
                <w:lang w:val="ro-MD"/>
              </w:rPr>
            </w:pPr>
          </w:p>
        </w:tc>
        <w:tc>
          <w:tcPr>
            <w:tcW w:w="992" w:type="dxa"/>
            <w:tcBorders>
              <w:top w:val="nil"/>
              <w:left w:val="nil"/>
              <w:bottom w:val="nil"/>
              <w:right w:val="nil"/>
            </w:tcBorders>
            <w:shd w:val="clear" w:color="auto" w:fill="auto"/>
            <w:noWrap/>
            <w:vAlign w:val="bottom"/>
            <w:hideMark/>
          </w:tcPr>
          <w:p w14:paraId="5F4CE766" w14:textId="77777777" w:rsidR="00574397" w:rsidRPr="009E5B39" w:rsidRDefault="00574397" w:rsidP="00EF4BC3">
            <w:pPr>
              <w:spacing w:after="0" w:line="240" w:lineRule="auto"/>
              <w:rPr>
                <w:rFonts w:asciiTheme="majorHAnsi" w:eastAsia="Times New Roman" w:hAnsiTheme="majorHAnsi" w:cstheme="majorHAnsi"/>
                <w:sz w:val="16"/>
                <w:szCs w:val="16"/>
                <w:lang w:val="ro-MD"/>
              </w:rPr>
            </w:pPr>
          </w:p>
        </w:tc>
        <w:tc>
          <w:tcPr>
            <w:tcW w:w="944" w:type="dxa"/>
            <w:tcBorders>
              <w:top w:val="nil"/>
              <w:left w:val="nil"/>
              <w:bottom w:val="nil"/>
              <w:right w:val="nil"/>
            </w:tcBorders>
            <w:shd w:val="clear" w:color="auto" w:fill="auto"/>
            <w:noWrap/>
            <w:vAlign w:val="bottom"/>
            <w:hideMark/>
          </w:tcPr>
          <w:p w14:paraId="24561AEF" w14:textId="77777777" w:rsidR="00574397" w:rsidRPr="009E5B39" w:rsidRDefault="00574397" w:rsidP="00EF4BC3">
            <w:pPr>
              <w:spacing w:after="0" w:line="240" w:lineRule="auto"/>
              <w:rPr>
                <w:rFonts w:asciiTheme="majorHAnsi" w:eastAsia="Times New Roman" w:hAnsiTheme="majorHAnsi" w:cstheme="majorHAnsi"/>
                <w:sz w:val="16"/>
                <w:szCs w:val="16"/>
                <w:lang w:val="ro-MD"/>
              </w:rPr>
            </w:pPr>
          </w:p>
        </w:tc>
        <w:tc>
          <w:tcPr>
            <w:tcW w:w="1064" w:type="dxa"/>
            <w:tcBorders>
              <w:top w:val="nil"/>
              <w:left w:val="nil"/>
              <w:bottom w:val="nil"/>
              <w:right w:val="nil"/>
            </w:tcBorders>
            <w:shd w:val="clear" w:color="auto" w:fill="auto"/>
            <w:noWrap/>
            <w:vAlign w:val="bottom"/>
            <w:hideMark/>
          </w:tcPr>
          <w:p w14:paraId="1654055D" w14:textId="77777777" w:rsidR="00574397" w:rsidRPr="009E5B39" w:rsidRDefault="00574397" w:rsidP="00EF4BC3">
            <w:pPr>
              <w:spacing w:after="0" w:line="240" w:lineRule="auto"/>
              <w:rPr>
                <w:rFonts w:asciiTheme="majorHAnsi" w:eastAsia="Times New Roman" w:hAnsiTheme="majorHAnsi" w:cstheme="majorHAnsi"/>
                <w:sz w:val="16"/>
                <w:szCs w:val="16"/>
                <w:lang w:val="ro-MD"/>
              </w:rPr>
            </w:pPr>
          </w:p>
        </w:tc>
        <w:tc>
          <w:tcPr>
            <w:tcW w:w="862" w:type="dxa"/>
            <w:tcBorders>
              <w:top w:val="nil"/>
              <w:left w:val="nil"/>
              <w:bottom w:val="nil"/>
              <w:right w:val="nil"/>
            </w:tcBorders>
            <w:shd w:val="clear" w:color="auto" w:fill="auto"/>
            <w:noWrap/>
            <w:vAlign w:val="bottom"/>
            <w:hideMark/>
          </w:tcPr>
          <w:p w14:paraId="305E7FA7" w14:textId="77777777" w:rsidR="00574397" w:rsidRPr="009E5B39" w:rsidRDefault="00574397" w:rsidP="00EF4BC3">
            <w:pPr>
              <w:spacing w:after="0" w:line="240" w:lineRule="auto"/>
              <w:rPr>
                <w:rFonts w:asciiTheme="majorHAnsi" w:eastAsia="Times New Roman" w:hAnsiTheme="majorHAnsi" w:cstheme="majorHAnsi"/>
                <w:sz w:val="16"/>
                <w:szCs w:val="16"/>
                <w:lang w:val="ro-MD"/>
              </w:rPr>
            </w:pPr>
          </w:p>
        </w:tc>
        <w:tc>
          <w:tcPr>
            <w:tcW w:w="1064" w:type="dxa"/>
            <w:tcBorders>
              <w:top w:val="nil"/>
              <w:left w:val="nil"/>
              <w:bottom w:val="nil"/>
              <w:right w:val="nil"/>
            </w:tcBorders>
            <w:shd w:val="clear" w:color="auto" w:fill="auto"/>
            <w:noWrap/>
            <w:vAlign w:val="bottom"/>
            <w:hideMark/>
          </w:tcPr>
          <w:p w14:paraId="3453EC5B" w14:textId="77777777" w:rsidR="00574397" w:rsidRPr="009E5B39" w:rsidRDefault="00574397" w:rsidP="00EF4BC3">
            <w:pPr>
              <w:spacing w:after="0" w:line="240" w:lineRule="auto"/>
              <w:rPr>
                <w:rFonts w:asciiTheme="majorHAnsi" w:eastAsia="Times New Roman" w:hAnsiTheme="majorHAnsi" w:cstheme="majorHAnsi"/>
                <w:sz w:val="16"/>
                <w:szCs w:val="16"/>
                <w:lang w:val="ro-MD"/>
              </w:rPr>
            </w:pPr>
          </w:p>
        </w:tc>
        <w:tc>
          <w:tcPr>
            <w:tcW w:w="1028" w:type="dxa"/>
            <w:tcBorders>
              <w:top w:val="nil"/>
              <w:left w:val="nil"/>
              <w:bottom w:val="nil"/>
              <w:right w:val="nil"/>
            </w:tcBorders>
            <w:shd w:val="clear" w:color="auto" w:fill="auto"/>
            <w:noWrap/>
            <w:vAlign w:val="bottom"/>
            <w:hideMark/>
          </w:tcPr>
          <w:p w14:paraId="129F2BDD" w14:textId="77777777" w:rsidR="00574397" w:rsidRPr="009E5B39" w:rsidRDefault="00574397" w:rsidP="00EF4BC3">
            <w:pPr>
              <w:spacing w:after="0" w:line="240" w:lineRule="auto"/>
              <w:rPr>
                <w:rFonts w:asciiTheme="majorHAnsi" w:eastAsia="Times New Roman" w:hAnsiTheme="majorHAnsi" w:cstheme="majorHAnsi"/>
                <w:sz w:val="16"/>
                <w:szCs w:val="16"/>
                <w:lang w:val="ro-MD"/>
              </w:rPr>
            </w:pPr>
          </w:p>
        </w:tc>
        <w:tc>
          <w:tcPr>
            <w:tcW w:w="944" w:type="dxa"/>
            <w:tcBorders>
              <w:top w:val="nil"/>
              <w:left w:val="nil"/>
              <w:bottom w:val="nil"/>
              <w:right w:val="nil"/>
            </w:tcBorders>
            <w:shd w:val="clear" w:color="auto" w:fill="auto"/>
            <w:noWrap/>
            <w:vAlign w:val="bottom"/>
            <w:hideMark/>
          </w:tcPr>
          <w:p w14:paraId="7F6277BA" w14:textId="77777777" w:rsidR="00574397" w:rsidRPr="009E5B39" w:rsidRDefault="00574397" w:rsidP="00EF4BC3">
            <w:pPr>
              <w:spacing w:after="0" w:line="240" w:lineRule="auto"/>
              <w:rPr>
                <w:rFonts w:asciiTheme="majorHAnsi" w:eastAsia="Times New Roman" w:hAnsiTheme="majorHAnsi" w:cstheme="majorHAnsi"/>
                <w:sz w:val="16"/>
                <w:szCs w:val="16"/>
                <w:lang w:val="ro-MD"/>
              </w:rPr>
            </w:pPr>
          </w:p>
        </w:tc>
      </w:tr>
    </w:tbl>
    <w:p w14:paraId="2062947B" w14:textId="77777777" w:rsidR="00574397" w:rsidRPr="009E5B39" w:rsidRDefault="00574397" w:rsidP="00EF4BC3">
      <w:pPr>
        <w:spacing w:after="0" w:line="240" w:lineRule="auto"/>
        <w:rPr>
          <w:rFonts w:asciiTheme="majorHAnsi" w:eastAsia="Times New Roman" w:hAnsiTheme="majorHAnsi" w:cstheme="majorHAnsi"/>
          <w:sz w:val="16"/>
          <w:szCs w:val="16"/>
          <w:lang w:val="ro-MD"/>
        </w:rPr>
        <w:sectPr w:rsidR="00574397" w:rsidRPr="009E5B39" w:rsidSect="00DF1919">
          <w:pgSz w:w="11907" w:h="16840" w:code="9"/>
          <w:pgMar w:top="1134" w:right="851" w:bottom="1134" w:left="1701" w:header="709" w:footer="709" w:gutter="0"/>
          <w:cols w:space="708"/>
          <w:docGrid w:linePitch="360"/>
        </w:sectPr>
      </w:pPr>
    </w:p>
    <w:p w14:paraId="584754B3" w14:textId="77777777" w:rsidR="00F85920" w:rsidRPr="009E5B39" w:rsidRDefault="00F85920" w:rsidP="003C5073">
      <w:pPr>
        <w:pStyle w:val="Heading1"/>
        <w:jc w:val="right"/>
        <w:rPr>
          <w:rFonts w:eastAsia="Calibri"/>
          <w:b/>
          <w:lang w:val="ro-MD"/>
        </w:rPr>
      </w:pPr>
      <w:bookmarkStart w:id="21" w:name="_Toc116026886"/>
      <w:r w:rsidRPr="009E5B39">
        <w:rPr>
          <w:rFonts w:eastAsia="Calibri"/>
          <w:b/>
          <w:color w:val="auto"/>
          <w:lang w:val="ro-MD"/>
        </w:rPr>
        <w:t>Anexa nr.4</w:t>
      </w:r>
      <w:bookmarkEnd w:id="21"/>
    </w:p>
    <w:p w14:paraId="7B96F8F5" w14:textId="2B9D9AC5" w:rsidR="00D82E26" w:rsidRPr="009E5B39" w:rsidRDefault="00D82E26" w:rsidP="00EF4BC3">
      <w:pPr>
        <w:spacing w:after="0" w:line="240" w:lineRule="auto"/>
        <w:jc w:val="center"/>
        <w:rPr>
          <w:rFonts w:asciiTheme="majorHAnsi" w:eastAsia="Calibri" w:hAnsiTheme="majorHAnsi" w:cstheme="majorHAnsi"/>
          <w:b/>
          <w:sz w:val="24"/>
          <w:szCs w:val="24"/>
          <w:lang w:val="ro-MD"/>
        </w:rPr>
      </w:pPr>
      <w:r w:rsidRPr="009E5B39">
        <w:rPr>
          <w:rFonts w:asciiTheme="majorHAnsi" w:eastAsia="Calibri" w:hAnsiTheme="majorHAnsi" w:cstheme="majorHAnsi"/>
          <w:b/>
          <w:sz w:val="24"/>
          <w:szCs w:val="24"/>
          <w:lang w:val="ro-MD"/>
        </w:rPr>
        <w:t>Informația privind sumele calculate și stinse (achitate) aferente clasificației veniturilor bugetare prezentate în Forma FD-044 și Forma CC10CV, lei</w:t>
      </w:r>
    </w:p>
    <w:tbl>
      <w:tblPr>
        <w:tblW w:w="9850" w:type="dxa"/>
        <w:tblInd w:w="-294" w:type="dxa"/>
        <w:tblLayout w:type="fixed"/>
        <w:tblLook w:val="04A0" w:firstRow="1" w:lastRow="0" w:firstColumn="1" w:lastColumn="0" w:noHBand="0" w:noVBand="1"/>
      </w:tblPr>
      <w:tblGrid>
        <w:gridCol w:w="2269"/>
        <w:gridCol w:w="687"/>
        <w:gridCol w:w="1206"/>
        <w:gridCol w:w="1206"/>
        <w:gridCol w:w="1206"/>
        <w:gridCol w:w="992"/>
        <w:gridCol w:w="1206"/>
        <w:gridCol w:w="1078"/>
      </w:tblGrid>
      <w:tr w:rsidR="00EF4BC3" w:rsidRPr="009E5B39" w14:paraId="0F2F086A" w14:textId="77777777" w:rsidTr="00E111A8">
        <w:trPr>
          <w:trHeight w:val="20"/>
        </w:trPr>
        <w:tc>
          <w:tcPr>
            <w:tcW w:w="2269" w:type="dxa"/>
            <w:tcBorders>
              <w:top w:val="single" w:sz="8" w:space="0" w:color="auto"/>
              <w:left w:val="single" w:sz="8" w:space="0" w:color="auto"/>
              <w:bottom w:val="single" w:sz="8" w:space="0" w:color="auto"/>
              <w:right w:val="single" w:sz="8" w:space="0" w:color="auto"/>
            </w:tcBorders>
            <w:shd w:val="clear" w:color="auto" w:fill="FBE4D5"/>
            <w:vAlign w:val="center"/>
            <w:hideMark/>
          </w:tcPr>
          <w:p w14:paraId="69D9C3D1"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Denumirea indicatorului</w:t>
            </w:r>
          </w:p>
        </w:tc>
        <w:tc>
          <w:tcPr>
            <w:tcW w:w="687" w:type="dxa"/>
            <w:tcBorders>
              <w:top w:val="single" w:sz="8" w:space="0" w:color="auto"/>
              <w:left w:val="nil"/>
              <w:bottom w:val="single" w:sz="8" w:space="0" w:color="auto"/>
              <w:right w:val="single" w:sz="8" w:space="0" w:color="auto"/>
            </w:tcBorders>
            <w:shd w:val="clear" w:color="auto" w:fill="FBE4D5"/>
            <w:vAlign w:val="center"/>
            <w:hideMark/>
          </w:tcPr>
          <w:p w14:paraId="623A09A8"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ECO k1-k6</w:t>
            </w:r>
          </w:p>
        </w:tc>
        <w:tc>
          <w:tcPr>
            <w:tcW w:w="1206" w:type="dxa"/>
            <w:tcBorders>
              <w:top w:val="single" w:sz="8" w:space="0" w:color="auto"/>
              <w:left w:val="nil"/>
              <w:bottom w:val="single" w:sz="8" w:space="0" w:color="auto"/>
              <w:right w:val="single" w:sz="8" w:space="0" w:color="auto"/>
            </w:tcBorders>
            <w:shd w:val="clear" w:color="auto" w:fill="FBE4D5"/>
            <w:vAlign w:val="center"/>
            <w:hideMark/>
          </w:tcPr>
          <w:p w14:paraId="67915EFA"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Executat în perioada de gestiune  FD-044</w:t>
            </w:r>
          </w:p>
        </w:tc>
        <w:tc>
          <w:tcPr>
            <w:tcW w:w="1206" w:type="dxa"/>
            <w:tcBorders>
              <w:top w:val="single" w:sz="8" w:space="0" w:color="auto"/>
              <w:left w:val="nil"/>
              <w:bottom w:val="single" w:sz="8" w:space="0" w:color="auto"/>
              <w:right w:val="single" w:sz="8" w:space="0" w:color="auto"/>
            </w:tcBorders>
            <w:shd w:val="clear" w:color="auto" w:fill="FBE4D5"/>
            <w:vAlign w:val="center"/>
            <w:hideMark/>
          </w:tcPr>
          <w:p w14:paraId="4EF57AB4"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Venituri / cheltuieli efective FD-044</w:t>
            </w:r>
          </w:p>
        </w:tc>
        <w:tc>
          <w:tcPr>
            <w:tcW w:w="1206" w:type="dxa"/>
            <w:tcBorders>
              <w:top w:val="single" w:sz="8" w:space="0" w:color="auto"/>
              <w:left w:val="nil"/>
              <w:bottom w:val="single" w:sz="8" w:space="0" w:color="auto"/>
              <w:right w:val="single" w:sz="8" w:space="0" w:color="auto"/>
            </w:tcBorders>
            <w:shd w:val="clear" w:color="auto" w:fill="FBE4D5"/>
            <w:noWrap/>
            <w:vAlign w:val="center"/>
            <w:hideMark/>
          </w:tcPr>
          <w:p w14:paraId="3A713C15" w14:textId="6EDDDB6F" w:rsidR="00D82E26" w:rsidRPr="009E5B39" w:rsidRDefault="00502D2B"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S</w:t>
            </w:r>
            <w:r w:rsidR="00D82E26" w:rsidRPr="009E5B39">
              <w:rPr>
                <w:rFonts w:asciiTheme="majorHAnsi" w:eastAsia="Times New Roman" w:hAnsiTheme="majorHAnsi" w:cstheme="majorHAnsi"/>
                <w:sz w:val="14"/>
                <w:szCs w:val="14"/>
                <w:lang w:val="ro-MD"/>
              </w:rPr>
              <w:t>uma achitata CC10CV</w:t>
            </w:r>
          </w:p>
        </w:tc>
        <w:tc>
          <w:tcPr>
            <w:tcW w:w="992" w:type="dxa"/>
            <w:tcBorders>
              <w:top w:val="single" w:sz="8" w:space="0" w:color="auto"/>
              <w:left w:val="nil"/>
              <w:bottom w:val="single" w:sz="8" w:space="0" w:color="auto"/>
              <w:right w:val="single" w:sz="8" w:space="0" w:color="auto"/>
            </w:tcBorders>
            <w:shd w:val="clear" w:color="auto" w:fill="FBE4D5"/>
            <w:noWrap/>
            <w:vAlign w:val="center"/>
            <w:hideMark/>
          </w:tcPr>
          <w:p w14:paraId="251AD2AA"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Casă FD-044/achitată CC10CV</w:t>
            </w:r>
          </w:p>
        </w:tc>
        <w:tc>
          <w:tcPr>
            <w:tcW w:w="1206" w:type="dxa"/>
            <w:tcBorders>
              <w:top w:val="single" w:sz="8" w:space="0" w:color="auto"/>
              <w:left w:val="nil"/>
              <w:bottom w:val="single" w:sz="8" w:space="0" w:color="auto"/>
              <w:right w:val="single" w:sz="8" w:space="0" w:color="auto"/>
            </w:tcBorders>
            <w:shd w:val="clear" w:color="auto" w:fill="FBE4D5"/>
            <w:noWrap/>
            <w:vAlign w:val="center"/>
            <w:hideMark/>
          </w:tcPr>
          <w:p w14:paraId="11107FDA" w14:textId="5038173A" w:rsidR="00D82E26" w:rsidRPr="009E5B39" w:rsidRDefault="00502D2B"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S</w:t>
            </w:r>
            <w:r w:rsidR="00D82E26" w:rsidRPr="009E5B39">
              <w:rPr>
                <w:rFonts w:asciiTheme="majorHAnsi" w:eastAsia="Times New Roman" w:hAnsiTheme="majorHAnsi" w:cstheme="majorHAnsi"/>
                <w:sz w:val="14"/>
                <w:szCs w:val="14"/>
                <w:lang w:val="ro-MD"/>
              </w:rPr>
              <w:t>uma calculată CC10CV</w:t>
            </w:r>
          </w:p>
        </w:tc>
        <w:tc>
          <w:tcPr>
            <w:tcW w:w="1078" w:type="dxa"/>
            <w:tcBorders>
              <w:top w:val="single" w:sz="8" w:space="0" w:color="auto"/>
              <w:left w:val="nil"/>
              <w:bottom w:val="single" w:sz="8" w:space="0" w:color="auto"/>
              <w:right w:val="single" w:sz="8" w:space="0" w:color="auto"/>
            </w:tcBorders>
            <w:shd w:val="clear" w:color="auto" w:fill="FBE4D5"/>
            <w:noWrap/>
            <w:vAlign w:val="center"/>
            <w:hideMark/>
          </w:tcPr>
          <w:p w14:paraId="41059B99"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Efectiv FD-044/calculat CC10CV</w:t>
            </w:r>
          </w:p>
        </w:tc>
      </w:tr>
      <w:tr w:rsidR="00EF4BC3" w:rsidRPr="009E5B39" w14:paraId="2F820A82" w14:textId="77777777" w:rsidTr="00E111A8">
        <w:trPr>
          <w:trHeight w:val="20"/>
        </w:trPr>
        <w:tc>
          <w:tcPr>
            <w:tcW w:w="2269" w:type="dxa"/>
            <w:tcBorders>
              <w:top w:val="single" w:sz="8" w:space="0" w:color="auto"/>
              <w:left w:val="single" w:sz="8" w:space="0" w:color="auto"/>
              <w:bottom w:val="single" w:sz="8" w:space="0" w:color="auto"/>
              <w:right w:val="single" w:sz="8" w:space="0" w:color="auto"/>
            </w:tcBorders>
            <w:shd w:val="clear" w:color="auto" w:fill="FFF2CC"/>
            <w:vAlign w:val="center"/>
          </w:tcPr>
          <w:p w14:paraId="1A627718" w14:textId="77777777" w:rsidR="00D82E26" w:rsidRPr="009E5B39" w:rsidRDefault="00D82E26" w:rsidP="00EF4BC3">
            <w:pPr>
              <w:spacing w:after="0" w:line="240" w:lineRule="auto"/>
              <w:jc w:val="center"/>
              <w:rPr>
                <w:rFonts w:asciiTheme="majorHAnsi" w:eastAsia="Times New Roman" w:hAnsiTheme="majorHAnsi" w:cstheme="majorHAnsi"/>
                <w:b/>
                <w:bCs/>
                <w:sz w:val="18"/>
                <w:szCs w:val="18"/>
                <w:lang w:val="ro-MD"/>
              </w:rPr>
            </w:pPr>
            <w:r w:rsidRPr="009E5B39">
              <w:rPr>
                <w:rFonts w:asciiTheme="majorHAnsi" w:eastAsia="Times New Roman" w:hAnsiTheme="majorHAnsi" w:cstheme="majorHAnsi"/>
                <w:b/>
                <w:bCs/>
                <w:sz w:val="18"/>
                <w:szCs w:val="18"/>
                <w:lang w:val="ro-MD"/>
              </w:rPr>
              <w:t>1</w:t>
            </w:r>
          </w:p>
        </w:tc>
        <w:tc>
          <w:tcPr>
            <w:tcW w:w="687" w:type="dxa"/>
            <w:tcBorders>
              <w:top w:val="single" w:sz="8" w:space="0" w:color="auto"/>
              <w:left w:val="nil"/>
              <w:bottom w:val="single" w:sz="8" w:space="0" w:color="auto"/>
              <w:right w:val="single" w:sz="8" w:space="0" w:color="auto"/>
            </w:tcBorders>
            <w:shd w:val="clear" w:color="auto" w:fill="FFF2CC"/>
            <w:vAlign w:val="center"/>
          </w:tcPr>
          <w:p w14:paraId="4E7F8A1E" w14:textId="77777777" w:rsidR="00D82E26" w:rsidRPr="009E5B39" w:rsidRDefault="00D82E26" w:rsidP="00EF4BC3">
            <w:pPr>
              <w:spacing w:after="0" w:line="240" w:lineRule="auto"/>
              <w:jc w:val="center"/>
              <w:rPr>
                <w:rFonts w:asciiTheme="majorHAnsi" w:eastAsia="Times New Roman" w:hAnsiTheme="majorHAnsi" w:cstheme="majorHAnsi"/>
                <w:b/>
                <w:bCs/>
                <w:sz w:val="18"/>
                <w:szCs w:val="18"/>
                <w:lang w:val="ro-MD"/>
              </w:rPr>
            </w:pPr>
            <w:r w:rsidRPr="009E5B39">
              <w:rPr>
                <w:rFonts w:asciiTheme="majorHAnsi" w:eastAsia="Times New Roman" w:hAnsiTheme="majorHAnsi" w:cstheme="majorHAnsi"/>
                <w:b/>
                <w:bCs/>
                <w:sz w:val="18"/>
                <w:szCs w:val="18"/>
                <w:lang w:val="ro-MD"/>
              </w:rPr>
              <w:t>2</w:t>
            </w:r>
          </w:p>
        </w:tc>
        <w:tc>
          <w:tcPr>
            <w:tcW w:w="1206" w:type="dxa"/>
            <w:tcBorders>
              <w:top w:val="single" w:sz="8" w:space="0" w:color="auto"/>
              <w:left w:val="nil"/>
              <w:bottom w:val="single" w:sz="8" w:space="0" w:color="auto"/>
              <w:right w:val="single" w:sz="8" w:space="0" w:color="auto"/>
            </w:tcBorders>
            <w:shd w:val="clear" w:color="auto" w:fill="FFF2CC"/>
            <w:vAlign w:val="center"/>
          </w:tcPr>
          <w:p w14:paraId="0DE275CC" w14:textId="77777777" w:rsidR="00D82E26" w:rsidRPr="009E5B39" w:rsidRDefault="00D82E26" w:rsidP="00EF4BC3">
            <w:pPr>
              <w:spacing w:after="0" w:line="240" w:lineRule="auto"/>
              <w:jc w:val="center"/>
              <w:rPr>
                <w:rFonts w:asciiTheme="majorHAnsi" w:eastAsia="Times New Roman" w:hAnsiTheme="majorHAnsi" w:cstheme="majorHAnsi"/>
                <w:b/>
                <w:bCs/>
                <w:sz w:val="18"/>
                <w:szCs w:val="18"/>
                <w:lang w:val="ro-MD"/>
              </w:rPr>
            </w:pPr>
            <w:r w:rsidRPr="009E5B39">
              <w:rPr>
                <w:rFonts w:asciiTheme="majorHAnsi" w:eastAsia="Times New Roman" w:hAnsiTheme="majorHAnsi" w:cstheme="majorHAnsi"/>
                <w:b/>
                <w:bCs/>
                <w:sz w:val="18"/>
                <w:szCs w:val="18"/>
                <w:lang w:val="ro-MD"/>
              </w:rPr>
              <w:t>3</w:t>
            </w:r>
          </w:p>
        </w:tc>
        <w:tc>
          <w:tcPr>
            <w:tcW w:w="1206" w:type="dxa"/>
            <w:tcBorders>
              <w:top w:val="single" w:sz="8" w:space="0" w:color="auto"/>
              <w:left w:val="nil"/>
              <w:bottom w:val="single" w:sz="8" w:space="0" w:color="auto"/>
              <w:right w:val="single" w:sz="8" w:space="0" w:color="auto"/>
            </w:tcBorders>
            <w:shd w:val="clear" w:color="auto" w:fill="FFF2CC"/>
            <w:vAlign w:val="center"/>
          </w:tcPr>
          <w:p w14:paraId="43CDBEDE" w14:textId="77777777" w:rsidR="00D82E26" w:rsidRPr="009E5B39" w:rsidRDefault="00D82E26" w:rsidP="00EF4BC3">
            <w:pPr>
              <w:spacing w:after="0" w:line="240" w:lineRule="auto"/>
              <w:jc w:val="center"/>
              <w:rPr>
                <w:rFonts w:asciiTheme="majorHAnsi" w:eastAsia="Times New Roman" w:hAnsiTheme="majorHAnsi" w:cstheme="majorHAnsi"/>
                <w:b/>
                <w:bCs/>
                <w:sz w:val="18"/>
                <w:szCs w:val="18"/>
                <w:lang w:val="ro-MD"/>
              </w:rPr>
            </w:pPr>
            <w:r w:rsidRPr="009E5B39">
              <w:rPr>
                <w:rFonts w:asciiTheme="majorHAnsi" w:eastAsia="Times New Roman" w:hAnsiTheme="majorHAnsi" w:cstheme="majorHAnsi"/>
                <w:b/>
                <w:bCs/>
                <w:sz w:val="18"/>
                <w:szCs w:val="18"/>
                <w:lang w:val="ro-MD"/>
              </w:rPr>
              <w:t>4</w:t>
            </w:r>
          </w:p>
        </w:tc>
        <w:tc>
          <w:tcPr>
            <w:tcW w:w="1206" w:type="dxa"/>
            <w:tcBorders>
              <w:top w:val="single" w:sz="8" w:space="0" w:color="auto"/>
              <w:left w:val="nil"/>
              <w:bottom w:val="single" w:sz="8" w:space="0" w:color="auto"/>
              <w:right w:val="single" w:sz="8" w:space="0" w:color="auto"/>
            </w:tcBorders>
            <w:shd w:val="clear" w:color="auto" w:fill="FFF2CC"/>
            <w:noWrap/>
            <w:vAlign w:val="center"/>
          </w:tcPr>
          <w:p w14:paraId="4720277C" w14:textId="77777777" w:rsidR="00D82E26" w:rsidRPr="009E5B39" w:rsidRDefault="00D82E26" w:rsidP="00EF4BC3">
            <w:pPr>
              <w:spacing w:after="0" w:line="240" w:lineRule="auto"/>
              <w:jc w:val="center"/>
              <w:rPr>
                <w:rFonts w:asciiTheme="majorHAnsi" w:eastAsia="Times New Roman" w:hAnsiTheme="majorHAnsi" w:cstheme="majorHAnsi"/>
                <w:b/>
                <w:bCs/>
                <w:sz w:val="18"/>
                <w:szCs w:val="18"/>
                <w:lang w:val="ro-MD"/>
              </w:rPr>
            </w:pPr>
            <w:r w:rsidRPr="009E5B39">
              <w:rPr>
                <w:rFonts w:asciiTheme="majorHAnsi" w:eastAsia="Times New Roman" w:hAnsiTheme="majorHAnsi" w:cstheme="majorHAnsi"/>
                <w:b/>
                <w:bCs/>
                <w:sz w:val="18"/>
                <w:szCs w:val="18"/>
                <w:lang w:val="ro-MD"/>
              </w:rPr>
              <w:t>5</w:t>
            </w:r>
          </w:p>
        </w:tc>
        <w:tc>
          <w:tcPr>
            <w:tcW w:w="992" w:type="dxa"/>
            <w:tcBorders>
              <w:top w:val="single" w:sz="8" w:space="0" w:color="auto"/>
              <w:left w:val="nil"/>
              <w:bottom w:val="single" w:sz="8" w:space="0" w:color="auto"/>
              <w:right w:val="single" w:sz="8" w:space="0" w:color="auto"/>
            </w:tcBorders>
            <w:shd w:val="clear" w:color="auto" w:fill="FFF2CC"/>
            <w:noWrap/>
            <w:vAlign w:val="center"/>
          </w:tcPr>
          <w:p w14:paraId="37979BE9" w14:textId="77777777" w:rsidR="00D82E26" w:rsidRPr="009E5B39" w:rsidRDefault="00D82E26" w:rsidP="00EF4BC3">
            <w:pPr>
              <w:spacing w:after="0" w:line="240" w:lineRule="auto"/>
              <w:jc w:val="center"/>
              <w:rPr>
                <w:rFonts w:asciiTheme="majorHAnsi" w:eastAsia="Times New Roman" w:hAnsiTheme="majorHAnsi" w:cstheme="majorHAnsi"/>
                <w:b/>
                <w:bCs/>
                <w:sz w:val="18"/>
                <w:szCs w:val="18"/>
                <w:lang w:val="ro-MD"/>
              </w:rPr>
            </w:pPr>
            <w:r w:rsidRPr="009E5B39">
              <w:rPr>
                <w:rFonts w:asciiTheme="majorHAnsi" w:eastAsia="Times New Roman" w:hAnsiTheme="majorHAnsi" w:cstheme="majorHAnsi"/>
                <w:b/>
                <w:bCs/>
                <w:sz w:val="18"/>
                <w:szCs w:val="18"/>
                <w:lang w:val="ro-MD"/>
              </w:rPr>
              <w:t>6=3-5</w:t>
            </w:r>
          </w:p>
        </w:tc>
        <w:tc>
          <w:tcPr>
            <w:tcW w:w="1206" w:type="dxa"/>
            <w:tcBorders>
              <w:top w:val="single" w:sz="8" w:space="0" w:color="auto"/>
              <w:left w:val="nil"/>
              <w:bottom w:val="single" w:sz="8" w:space="0" w:color="auto"/>
              <w:right w:val="single" w:sz="8" w:space="0" w:color="auto"/>
            </w:tcBorders>
            <w:shd w:val="clear" w:color="auto" w:fill="FFF2CC"/>
            <w:noWrap/>
            <w:vAlign w:val="center"/>
          </w:tcPr>
          <w:p w14:paraId="4E4507A5" w14:textId="77777777" w:rsidR="00D82E26" w:rsidRPr="009E5B39" w:rsidRDefault="00D82E26" w:rsidP="00EF4BC3">
            <w:pPr>
              <w:spacing w:after="0" w:line="240" w:lineRule="auto"/>
              <w:jc w:val="center"/>
              <w:rPr>
                <w:rFonts w:asciiTheme="majorHAnsi" w:eastAsia="Times New Roman" w:hAnsiTheme="majorHAnsi" w:cstheme="majorHAnsi"/>
                <w:b/>
                <w:bCs/>
                <w:sz w:val="18"/>
                <w:szCs w:val="18"/>
                <w:lang w:val="ro-MD"/>
              </w:rPr>
            </w:pPr>
            <w:r w:rsidRPr="009E5B39">
              <w:rPr>
                <w:rFonts w:asciiTheme="majorHAnsi" w:eastAsia="Times New Roman" w:hAnsiTheme="majorHAnsi" w:cstheme="majorHAnsi"/>
                <w:b/>
                <w:bCs/>
                <w:sz w:val="18"/>
                <w:szCs w:val="18"/>
                <w:lang w:val="ro-MD"/>
              </w:rPr>
              <w:t>7</w:t>
            </w:r>
          </w:p>
        </w:tc>
        <w:tc>
          <w:tcPr>
            <w:tcW w:w="1078" w:type="dxa"/>
            <w:tcBorders>
              <w:top w:val="single" w:sz="8" w:space="0" w:color="auto"/>
              <w:left w:val="nil"/>
              <w:bottom w:val="single" w:sz="8" w:space="0" w:color="auto"/>
              <w:right w:val="single" w:sz="8" w:space="0" w:color="auto"/>
            </w:tcBorders>
            <w:shd w:val="clear" w:color="auto" w:fill="FFF2CC"/>
            <w:noWrap/>
            <w:vAlign w:val="center"/>
          </w:tcPr>
          <w:p w14:paraId="49432227" w14:textId="77777777" w:rsidR="00D82E26" w:rsidRPr="009E5B39" w:rsidRDefault="00D82E26" w:rsidP="00EF4BC3">
            <w:pPr>
              <w:spacing w:after="0" w:line="240" w:lineRule="auto"/>
              <w:jc w:val="center"/>
              <w:rPr>
                <w:rFonts w:asciiTheme="majorHAnsi" w:eastAsia="Times New Roman" w:hAnsiTheme="majorHAnsi" w:cstheme="majorHAnsi"/>
                <w:b/>
                <w:bCs/>
                <w:sz w:val="18"/>
                <w:szCs w:val="18"/>
                <w:lang w:val="ro-MD"/>
              </w:rPr>
            </w:pPr>
            <w:r w:rsidRPr="009E5B39">
              <w:rPr>
                <w:rFonts w:asciiTheme="majorHAnsi" w:eastAsia="Times New Roman" w:hAnsiTheme="majorHAnsi" w:cstheme="majorHAnsi"/>
                <w:b/>
                <w:bCs/>
                <w:sz w:val="18"/>
                <w:szCs w:val="18"/>
                <w:lang w:val="ro-MD"/>
              </w:rPr>
              <w:t>8=4-7</w:t>
            </w:r>
          </w:p>
        </w:tc>
      </w:tr>
      <w:tr w:rsidR="00EF4BC3" w:rsidRPr="009E5B39" w14:paraId="42296825"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D9D9D9"/>
            <w:vAlign w:val="center"/>
            <w:hideMark/>
          </w:tcPr>
          <w:p w14:paraId="2AD9FCFD" w14:textId="77777777" w:rsidR="00D82E26" w:rsidRPr="009E5B39" w:rsidRDefault="00D82E26" w:rsidP="00EF4BC3">
            <w:pPr>
              <w:spacing w:after="0" w:line="240" w:lineRule="auto"/>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TOTAL</w:t>
            </w:r>
          </w:p>
        </w:tc>
        <w:tc>
          <w:tcPr>
            <w:tcW w:w="687" w:type="dxa"/>
            <w:tcBorders>
              <w:top w:val="nil"/>
              <w:left w:val="nil"/>
              <w:bottom w:val="single" w:sz="8" w:space="0" w:color="auto"/>
              <w:right w:val="single" w:sz="8" w:space="0" w:color="auto"/>
            </w:tcBorders>
            <w:shd w:val="clear" w:color="auto" w:fill="D9D9D9"/>
            <w:vAlign w:val="center"/>
            <w:hideMark/>
          </w:tcPr>
          <w:p w14:paraId="07CB2EA2"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 </w:t>
            </w:r>
          </w:p>
        </w:tc>
        <w:tc>
          <w:tcPr>
            <w:tcW w:w="1206" w:type="dxa"/>
            <w:tcBorders>
              <w:top w:val="nil"/>
              <w:left w:val="nil"/>
              <w:bottom w:val="single" w:sz="8" w:space="0" w:color="auto"/>
              <w:right w:val="single" w:sz="8" w:space="0" w:color="auto"/>
            </w:tcBorders>
            <w:shd w:val="clear" w:color="auto" w:fill="D9D9D9"/>
            <w:vAlign w:val="center"/>
            <w:hideMark/>
          </w:tcPr>
          <w:p w14:paraId="18C8C396"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X</w:t>
            </w:r>
          </w:p>
        </w:tc>
        <w:tc>
          <w:tcPr>
            <w:tcW w:w="1206" w:type="dxa"/>
            <w:tcBorders>
              <w:top w:val="nil"/>
              <w:left w:val="nil"/>
              <w:bottom w:val="single" w:sz="8" w:space="0" w:color="auto"/>
              <w:right w:val="single" w:sz="8" w:space="0" w:color="auto"/>
            </w:tcBorders>
            <w:shd w:val="clear" w:color="auto" w:fill="D9D9D9"/>
            <w:vAlign w:val="center"/>
            <w:hideMark/>
          </w:tcPr>
          <w:p w14:paraId="690416F3"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X</w:t>
            </w:r>
          </w:p>
        </w:tc>
        <w:tc>
          <w:tcPr>
            <w:tcW w:w="1206" w:type="dxa"/>
            <w:tcBorders>
              <w:top w:val="nil"/>
              <w:left w:val="nil"/>
              <w:bottom w:val="single" w:sz="8" w:space="0" w:color="auto"/>
              <w:right w:val="single" w:sz="8" w:space="0" w:color="auto"/>
            </w:tcBorders>
            <w:shd w:val="clear" w:color="auto" w:fill="D9D9D9"/>
            <w:vAlign w:val="center"/>
            <w:hideMark/>
          </w:tcPr>
          <w:p w14:paraId="5CF150BA"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X</w:t>
            </w:r>
          </w:p>
        </w:tc>
        <w:tc>
          <w:tcPr>
            <w:tcW w:w="992" w:type="dxa"/>
            <w:tcBorders>
              <w:top w:val="nil"/>
              <w:left w:val="nil"/>
              <w:bottom w:val="single" w:sz="8" w:space="0" w:color="auto"/>
              <w:right w:val="single" w:sz="8" w:space="0" w:color="auto"/>
            </w:tcBorders>
            <w:shd w:val="clear" w:color="auto" w:fill="D9D9D9"/>
            <w:noWrap/>
            <w:vAlign w:val="center"/>
            <w:hideMark/>
          </w:tcPr>
          <w:p w14:paraId="30B2D15A"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1,608.43</w:t>
            </w:r>
          </w:p>
        </w:tc>
        <w:tc>
          <w:tcPr>
            <w:tcW w:w="1206" w:type="dxa"/>
            <w:tcBorders>
              <w:top w:val="nil"/>
              <w:left w:val="nil"/>
              <w:bottom w:val="single" w:sz="8" w:space="0" w:color="auto"/>
              <w:right w:val="single" w:sz="8" w:space="0" w:color="auto"/>
            </w:tcBorders>
            <w:shd w:val="clear" w:color="auto" w:fill="D9D9D9"/>
            <w:noWrap/>
            <w:vAlign w:val="center"/>
            <w:hideMark/>
          </w:tcPr>
          <w:p w14:paraId="5716451B"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X</w:t>
            </w:r>
          </w:p>
        </w:tc>
        <w:tc>
          <w:tcPr>
            <w:tcW w:w="1078" w:type="dxa"/>
            <w:tcBorders>
              <w:top w:val="nil"/>
              <w:left w:val="nil"/>
              <w:bottom w:val="single" w:sz="8" w:space="0" w:color="auto"/>
              <w:right w:val="single" w:sz="8" w:space="0" w:color="auto"/>
            </w:tcBorders>
            <w:shd w:val="clear" w:color="auto" w:fill="D9D9D9"/>
            <w:noWrap/>
            <w:vAlign w:val="center"/>
            <w:hideMark/>
          </w:tcPr>
          <w:p w14:paraId="0C660DBB"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33,879,894.48</w:t>
            </w:r>
          </w:p>
        </w:tc>
      </w:tr>
      <w:tr w:rsidR="00EF4BC3" w:rsidRPr="009E5B39" w14:paraId="0F2DCB8E"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98D2989"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Impozit pe venitul reținut din salariu</w:t>
            </w:r>
          </w:p>
        </w:tc>
        <w:tc>
          <w:tcPr>
            <w:tcW w:w="687" w:type="dxa"/>
            <w:tcBorders>
              <w:top w:val="nil"/>
              <w:left w:val="nil"/>
              <w:bottom w:val="single" w:sz="8" w:space="0" w:color="auto"/>
              <w:right w:val="single" w:sz="8" w:space="0" w:color="auto"/>
            </w:tcBorders>
            <w:shd w:val="clear" w:color="auto" w:fill="auto"/>
            <w:vAlign w:val="center"/>
            <w:hideMark/>
          </w:tcPr>
          <w:p w14:paraId="477F3B4B"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111110</w:t>
            </w:r>
          </w:p>
        </w:tc>
        <w:tc>
          <w:tcPr>
            <w:tcW w:w="1206" w:type="dxa"/>
            <w:tcBorders>
              <w:top w:val="nil"/>
              <w:left w:val="nil"/>
              <w:bottom w:val="single" w:sz="8" w:space="0" w:color="auto"/>
              <w:right w:val="single" w:sz="8" w:space="0" w:color="auto"/>
            </w:tcBorders>
            <w:shd w:val="clear" w:color="auto" w:fill="auto"/>
            <w:vAlign w:val="center"/>
            <w:hideMark/>
          </w:tcPr>
          <w:p w14:paraId="771293DE"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1,151,717,936.54</w:t>
            </w:r>
          </w:p>
        </w:tc>
        <w:tc>
          <w:tcPr>
            <w:tcW w:w="1206" w:type="dxa"/>
            <w:tcBorders>
              <w:top w:val="nil"/>
              <w:left w:val="nil"/>
              <w:bottom w:val="single" w:sz="8" w:space="0" w:color="auto"/>
              <w:right w:val="single" w:sz="8" w:space="0" w:color="auto"/>
            </w:tcBorders>
            <w:shd w:val="clear" w:color="auto" w:fill="auto"/>
            <w:vAlign w:val="center"/>
            <w:hideMark/>
          </w:tcPr>
          <w:p w14:paraId="1EBFB3DF"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1,151,717,936.54</w:t>
            </w:r>
          </w:p>
        </w:tc>
        <w:tc>
          <w:tcPr>
            <w:tcW w:w="1206" w:type="dxa"/>
            <w:tcBorders>
              <w:top w:val="nil"/>
              <w:left w:val="nil"/>
              <w:bottom w:val="single" w:sz="8" w:space="0" w:color="auto"/>
              <w:right w:val="single" w:sz="8" w:space="0" w:color="auto"/>
            </w:tcBorders>
            <w:shd w:val="clear" w:color="auto" w:fill="auto"/>
            <w:noWrap/>
            <w:vAlign w:val="center"/>
            <w:hideMark/>
          </w:tcPr>
          <w:p w14:paraId="3B642E2E"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1,151,696,894.66</w:t>
            </w:r>
          </w:p>
        </w:tc>
        <w:tc>
          <w:tcPr>
            <w:tcW w:w="992" w:type="dxa"/>
            <w:tcBorders>
              <w:top w:val="nil"/>
              <w:left w:val="nil"/>
              <w:bottom w:val="single" w:sz="8" w:space="0" w:color="auto"/>
              <w:right w:val="single" w:sz="8" w:space="0" w:color="auto"/>
            </w:tcBorders>
            <w:shd w:val="clear" w:color="auto" w:fill="auto"/>
            <w:noWrap/>
            <w:vAlign w:val="center"/>
            <w:hideMark/>
          </w:tcPr>
          <w:p w14:paraId="0D4C6F15"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21,041.88</w:t>
            </w:r>
          </w:p>
        </w:tc>
        <w:tc>
          <w:tcPr>
            <w:tcW w:w="1206" w:type="dxa"/>
            <w:tcBorders>
              <w:top w:val="nil"/>
              <w:left w:val="nil"/>
              <w:bottom w:val="single" w:sz="8" w:space="0" w:color="auto"/>
              <w:right w:val="single" w:sz="8" w:space="0" w:color="auto"/>
            </w:tcBorders>
            <w:shd w:val="clear" w:color="auto" w:fill="auto"/>
            <w:noWrap/>
            <w:vAlign w:val="center"/>
            <w:hideMark/>
          </w:tcPr>
          <w:p w14:paraId="484E4056"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1,143,769,795.11</w:t>
            </w:r>
          </w:p>
        </w:tc>
        <w:tc>
          <w:tcPr>
            <w:tcW w:w="1078" w:type="dxa"/>
            <w:tcBorders>
              <w:top w:val="nil"/>
              <w:left w:val="nil"/>
              <w:bottom w:val="single" w:sz="8" w:space="0" w:color="auto"/>
              <w:right w:val="single" w:sz="8" w:space="0" w:color="auto"/>
            </w:tcBorders>
            <w:shd w:val="clear" w:color="auto" w:fill="auto"/>
            <w:noWrap/>
            <w:vAlign w:val="center"/>
            <w:hideMark/>
          </w:tcPr>
          <w:p w14:paraId="7D06F68F"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7,948,141.43</w:t>
            </w:r>
          </w:p>
        </w:tc>
      </w:tr>
      <w:tr w:rsidR="00EF4BC3" w:rsidRPr="009E5B39" w14:paraId="325C774B"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AE6C6F2"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Impozitul pe venitul persoanelor fizice spre plata/achitat</w:t>
            </w:r>
          </w:p>
        </w:tc>
        <w:tc>
          <w:tcPr>
            <w:tcW w:w="687" w:type="dxa"/>
            <w:tcBorders>
              <w:top w:val="nil"/>
              <w:left w:val="nil"/>
              <w:bottom w:val="single" w:sz="8" w:space="0" w:color="auto"/>
              <w:right w:val="single" w:sz="8" w:space="0" w:color="auto"/>
            </w:tcBorders>
            <w:shd w:val="clear" w:color="auto" w:fill="auto"/>
            <w:vAlign w:val="center"/>
            <w:hideMark/>
          </w:tcPr>
          <w:p w14:paraId="326B333E"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111121</w:t>
            </w:r>
          </w:p>
        </w:tc>
        <w:tc>
          <w:tcPr>
            <w:tcW w:w="1206" w:type="dxa"/>
            <w:tcBorders>
              <w:top w:val="nil"/>
              <w:left w:val="nil"/>
              <w:bottom w:val="single" w:sz="8" w:space="0" w:color="auto"/>
              <w:right w:val="single" w:sz="8" w:space="0" w:color="auto"/>
            </w:tcBorders>
            <w:shd w:val="clear" w:color="auto" w:fill="auto"/>
            <w:vAlign w:val="center"/>
            <w:hideMark/>
          </w:tcPr>
          <w:p w14:paraId="559998C7"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51,555,842.37</w:t>
            </w:r>
          </w:p>
        </w:tc>
        <w:tc>
          <w:tcPr>
            <w:tcW w:w="1206" w:type="dxa"/>
            <w:tcBorders>
              <w:top w:val="nil"/>
              <w:left w:val="nil"/>
              <w:bottom w:val="single" w:sz="8" w:space="0" w:color="auto"/>
              <w:right w:val="single" w:sz="8" w:space="0" w:color="auto"/>
            </w:tcBorders>
            <w:shd w:val="clear" w:color="auto" w:fill="auto"/>
            <w:vAlign w:val="center"/>
            <w:hideMark/>
          </w:tcPr>
          <w:p w14:paraId="00870089"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51,555,842.37</w:t>
            </w:r>
          </w:p>
        </w:tc>
        <w:tc>
          <w:tcPr>
            <w:tcW w:w="1206" w:type="dxa"/>
            <w:tcBorders>
              <w:top w:val="nil"/>
              <w:left w:val="nil"/>
              <w:bottom w:val="single" w:sz="8" w:space="0" w:color="auto"/>
              <w:right w:val="single" w:sz="8" w:space="0" w:color="auto"/>
            </w:tcBorders>
            <w:shd w:val="clear" w:color="auto" w:fill="auto"/>
            <w:noWrap/>
            <w:vAlign w:val="center"/>
            <w:hideMark/>
          </w:tcPr>
          <w:p w14:paraId="562C2D02"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51,582,530.46</w:t>
            </w:r>
          </w:p>
        </w:tc>
        <w:tc>
          <w:tcPr>
            <w:tcW w:w="992" w:type="dxa"/>
            <w:tcBorders>
              <w:top w:val="nil"/>
              <w:left w:val="nil"/>
              <w:bottom w:val="single" w:sz="8" w:space="0" w:color="auto"/>
              <w:right w:val="single" w:sz="8" w:space="0" w:color="auto"/>
            </w:tcBorders>
            <w:shd w:val="clear" w:color="auto" w:fill="auto"/>
            <w:noWrap/>
            <w:vAlign w:val="center"/>
            <w:hideMark/>
          </w:tcPr>
          <w:p w14:paraId="77C78A21"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-26,688.09</w:t>
            </w:r>
          </w:p>
        </w:tc>
        <w:tc>
          <w:tcPr>
            <w:tcW w:w="1206" w:type="dxa"/>
            <w:tcBorders>
              <w:top w:val="nil"/>
              <w:left w:val="nil"/>
              <w:bottom w:val="single" w:sz="8" w:space="0" w:color="auto"/>
              <w:right w:val="single" w:sz="8" w:space="0" w:color="auto"/>
            </w:tcBorders>
            <w:shd w:val="clear" w:color="auto" w:fill="auto"/>
            <w:noWrap/>
            <w:vAlign w:val="center"/>
            <w:hideMark/>
          </w:tcPr>
          <w:p w14:paraId="3D0B0894"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55,715,641.41</w:t>
            </w:r>
          </w:p>
        </w:tc>
        <w:tc>
          <w:tcPr>
            <w:tcW w:w="1078" w:type="dxa"/>
            <w:tcBorders>
              <w:top w:val="nil"/>
              <w:left w:val="nil"/>
              <w:bottom w:val="single" w:sz="8" w:space="0" w:color="auto"/>
              <w:right w:val="single" w:sz="8" w:space="0" w:color="auto"/>
            </w:tcBorders>
            <w:shd w:val="clear" w:color="auto" w:fill="auto"/>
            <w:noWrap/>
            <w:vAlign w:val="center"/>
            <w:hideMark/>
          </w:tcPr>
          <w:p w14:paraId="6B54E184"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-4,159,799.04</w:t>
            </w:r>
          </w:p>
        </w:tc>
      </w:tr>
      <w:tr w:rsidR="00EF4BC3" w:rsidRPr="009E5B39" w14:paraId="79F900B8"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0595948"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Impozitul pe venitul persoanelor fizice ce desfășoară activități independente in domeniul comerțului</w:t>
            </w:r>
          </w:p>
        </w:tc>
        <w:tc>
          <w:tcPr>
            <w:tcW w:w="687" w:type="dxa"/>
            <w:tcBorders>
              <w:top w:val="nil"/>
              <w:left w:val="nil"/>
              <w:bottom w:val="single" w:sz="8" w:space="0" w:color="auto"/>
              <w:right w:val="single" w:sz="8" w:space="0" w:color="auto"/>
            </w:tcBorders>
            <w:shd w:val="clear" w:color="auto" w:fill="auto"/>
            <w:vAlign w:val="center"/>
            <w:hideMark/>
          </w:tcPr>
          <w:p w14:paraId="1EC2DB40"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111124</w:t>
            </w:r>
          </w:p>
        </w:tc>
        <w:tc>
          <w:tcPr>
            <w:tcW w:w="1206" w:type="dxa"/>
            <w:tcBorders>
              <w:top w:val="nil"/>
              <w:left w:val="nil"/>
              <w:bottom w:val="single" w:sz="8" w:space="0" w:color="auto"/>
              <w:right w:val="single" w:sz="8" w:space="0" w:color="auto"/>
            </w:tcBorders>
            <w:shd w:val="clear" w:color="auto" w:fill="auto"/>
            <w:vAlign w:val="center"/>
            <w:hideMark/>
          </w:tcPr>
          <w:p w14:paraId="3461F3A7"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674,920.76</w:t>
            </w:r>
          </w:p>
        </w:tc>
        <w:tc>
          <w:tcPr>
            <w:tcW w:w="1206" w:type="dxa"/>
            <w:tcBorders>
              <w:top w:val="nil"/>
              <w:left w:val="nil"/>
              <w:bottom w:val="single" w:sz="8" w:space="0" w:color="auto"/>
              <w:right w:val="single" w:sz="8" w:space="0" w:color="auto"/>
            </w:tcBorders>
            <w:shd w:val="clear" w:color="auto" w:fill="auto"/>
            <w:vAlign w:val="center"/>
            <w:hideMark/>
          </w:tcPr>
          <w:p w14:paraId="2CCD197F"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674,920.76</w:t>
            </w:r>
          </w:p>
        </w:tc>
        <w:tc>
          <w:tcPr>
            <w:tcW w:w="1206" w:type="dxa"/>
            <w:tcBorders>
              <w:top w:val="nil"/>
              <w:left w:val="nil"/>
              <w:bottom w:val="single" w:sz="8" w:space="0" w:color="auto"/>
              <w:right w:val="single" w:sz="8" w:space="0" w:color="auto"/>
            </w:tcBorders>
            <w:shd w:val="clear" w:color="auto" w:fill="auto"/>
            <w:noWrap/>
            <w:vAlign w:val="center"/>
            <w:hideMark/>
          </w:tcPr>
          <w:p w14:paraId="5357F015"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674,920.76</w:t>
            </w:r>
          </w:p>
        </w:tc>
        <w:tc>
          <w:tcPr>
            <w:tcW w:w="992" w:type="dxa"/>
            <w:tcBorders>
              <w:top w:val="nil"/>
              <w:left w:val="nil"/>
              <w:bottom w:val="single" w:sz="8" w:space="0" w:color="auto"/>
              <w:right w:val="single" w:sz="8" w:space="0" w:color="auto"/>
            </w:tcBorders>
            <w:shd w:val="clear" w:color="auto" w:fill="auto"/>
            <w:noWrap/>
            <w:vAlign w:val="center"/>
            <w:hideMark/>
          </w:tcPr>
          <w:p w14:paraId="6FA23263"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3C73FB39"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681,888.42</w:t>
            </w:r>
          </w:p>
        </w:tc>
        <w:tc>
          <w:tcPr>
            <w:tcW w:w="1078" w:type="dxa"/>
            <w:tcBorders>
              <w:top w:val="nil"/>
              <w:left w:val="nil"/>
              <w:bottom w:val="single" w:sz="8" w:space="0" w:color="auto"/>
              <w:right w:val="single" w:sz="8" w:space="0" w:color="auto"/>
            </w:tcBorders>
            <w:shd w:val="clear" w:color="auto" w:fill="auto"/>
            <w:noWrap/>
            <w:vAlign w:val="center"/>
            <w:hideMark/>
          </w:tcPr>
          <w:p w14:paraId="48798BE7"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-6,967.66</w:t>
            </w:r>
          </w:p>
        </w:tc>
      </w:tr>
      <w:tr w:rsidR="00EF4BC3" w:rsidRPr="009E5B39" w14:paraId="5948E98E"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09D90F2"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Impozit pe venitul persoanelor fizice in domeniul transportului rutier de persoane in regim de taxi</w:t>
            </w:r>
          </w:p>
        </w:tc>
        <w:tc>
          <w:tcPr>
            <w:tcW w:w="687" w:type="dxa"/>
            <w:tcBorders>
              <w:top w:val="nil"/>
              <w:left w:val="nil"/>
              <w:bottom w:val="single" w:sz="8" w:space="0" w:color="auto"/>
              <w:right w:val="single" w:sz="8" w:space="0" w:color="auto"/>
            </w:tcBorders>
            <w:shd w:val="clear" w:color="auto" w:fill="auto"/>
            <w:vAlign w:val="center"/>
            <w:hideMark/>
          </w:tcPr>
          <w:p w14:paraId="17CE88BB"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111125</w:t>
            </w:r>
          </w:p>
        </w:tc>
        <w:tc>
          <w:tcPr>
            <w:tcW w:w="1206" w:type="dxa"/>
            <w:tcBorders>
              <w:top w:val="nil"/>
              <w:left w:val="nil"/>
              <w:bottom w:val="single" w:sz="8" w:space="0" w:color="auto"/>
              <w:right w:val="single" w:sz="8" w:space="0" w:color="auto"/>
            </w:tcBorders>
            <w:shd w:val="clear" w:color="auto" w:fill="auto"/>
            <w:vAlign w:val="center"/>
            <w:hideMark/>
          </w:tcPr>
          <w:p w14:paraId="6960283A"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5,034,092.04</w:t>
            </w:r>
          </w:p>
        </w:tc>
        <w:tc>
          <w:tcPr>
            <w:tcW w:w="1206" w:type="dxa"/>
            <w:tcBorders>
              <w:top w:val="nil"/>
              <w:left w:val="nil"/>
              <w:bottom w:val="single" w:sz="8" w:space="0" w:color="auto"/>
              <w:right w:val="single" w:sz="8" w:space="0" w:color="auto"/>
            </w:tcBorders>
            <w:shd w:val="clear" w:color="auto" w:fill="auto"/>
            <w:vAlign w:val="center"/>
            <w:hideMark/>
          </w:tcPr>
          <w:p w14:paraId="28F41F0D"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5,034,092.04</w:t>
            </w:r>
          </w:p>
        </w:tc>
        <w:tc>
          <w:tcPr>
            <w:tcW w:w="1206" w:type="dxa"/>
            <w:tcBorders>
              <w:top w:val="nil"/>
              <w:left w:val="nil"/>
              <w:bottom w:val="single" w:sz="8" w:space="0" w:color="auto"/>
              <w:right w:val="single" w:sz="8" w:space="0" w:color="auto"/>
            </w:tcBorders>
            <w:shd w:val="clear" w:color="auto" w:fill="auto"/>
            <w:noWrap/>
            <w:vAlign w:val="center"/>
            <w:hideMark/>
          </w:tcPr>
          <w:p w14:paraId="3857F15E"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5,034,092.91</w:t>
            </w:r>
          </w:p>
        </w:tc>
        <w:tc>
          <w:tcPr>
            <w:tcW w:w="992" w:type="dxa"/>
            <w:tcBorders>
              <w:top w:val="nil"/>
              <w:left w:val="nil"/>
              <w:bottom w:val="single" w:sz="8" w:space="0" w:color="auto"/>
              <w:right w:val="single" w:sz="8" w:space="0" w:color="auto"/>
            </w:tcBorders>
            <w:shd w:val="clear" w:color="auto" w:fill="auto"/>
            <w:noWrap/>
            <w:vAlign w:val="center"/>
            <w:hideMark/>
          </w:tcPr>
          <w:p w14:paraId="20D36D1B"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-0.87</w:t>
            </w:r>
          </w:p>
        </w:tc>
        <w:tc>
          <w:tcPr>
            <w:tcW w:w="1206" w:type="dxa"/>
            <w:tcBorders>
              <w:top w:val="nil"/>
              <w:left w:val="nil"/>
              <w:bottom w:val="single" w:sz="8" w:space="0" w:color="auto"/>
              <w:right w:val="single" w:sz="8" w:space="0" w:color="auto"/>
            </w:tcBorders>
            <w:shd w:val="clear" w:color="auto" w:fill="auto"/>
            <w:noWrap/>
            <w:vAlign w:val="center"/>
            <w:hideMark/>
          </w:tcPr>
          <w:p w14:paraId="6A0D62FF"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5,183,377.04</w:t>
            </w:r>
          </w:p>
        </w:tc>
        <w:tc>
          <w:tcPr>
            <w:tcW w:w="1078" w:type="dxa"/>
            <w:tcBorders>
              <w:top w:val="nil"/>
              <w:left w:val="nil"/>
              <w:bottom w:val="single" w:sz="8" w:space="0" w:color="auto"/>
              <w:right w:val="single" w:sz="8" w:space="0" w:color="auto"/>
            </w:tcBorders>
            <w:shd w:val="clear" w:color="auto" w:fill="auto"/>
            <w:noWrap/>
            <w:vAlign w:val="center"/>
            <w:hideMark/>
          </w:tcPr>
          <w:p w14:paraId="1E9BC7B3"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-149,285.00</w:t>
            </w:r>
          </w:p>
        </w:tc>
      </w:tr>
      <w:tr w:rsidR="00EF4BC3" w:rsidRPr="009E5B39" w14:paraId="3084710E"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D34CA05"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Impozit pe venitul aferent operațiunilor de predare in posesie si/sau folosință a proprietății imobiliare</w:t>
            </w:r>
          </w:p>
        </w:tc>
        <w:tc>
          <w:tcPr>
            <w:tcW w:w="687" w:type="dxa"/>
            <w:tcBorders>
              <w:top w:val="nil"/>
              <w:left w:val="nil"/>
              <w:bottom w:val="single" w:sz="8" w:space="0" w:color="auto"/>
              <w:right w:val="single" w:sz="8" w:space="0" w:color="auto"/>
            </w:tcBorders>
            <w:shd w:val="clear" w:color="auto" w:fill="auto"/>
            <w:vAlign w:val="center"/>
            <w:hideMark/>
          </w:tcPr>
          <w:p w14:paraId="4D370F10"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111130</w:t>
            </w:r>
          </w:p>
        </w:tc>
        <w:tc>
          <w:tcPr>
            <w:tcW w:w="1206" w:type="dxa"/>
            <w:tcBorders>
              <w:top w:val="nil"/>
              <w:left w:val="nil"/>
              <w:bottom w:val="single" w:sz="8" w:space="0" w:color="auto"/>
              <w:right w:val="single" w:sz="8" w:space="0" w:color="auto"/>
            </w:tcBorders>
            <w:shd w:val="clear" w:color="auto" w:fill="auto"/>
            <w:vAlign w:val="center"/>
            <w:hideMark/>
          </w:tcPr>
          <w:p w14:paraId="5449AC35"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10,256,378.07</w:t>
            </w:r>
          </w:p>
        </w:tc>
        <w:tc>
          <w:tcPr>
            <w:tcW w:w="1206" w:type="dxa"/>
            <w:tcBorders>
              <w:top w:val="nil"/>
              <w:left w:val="nil"/>
              <w:bottom w:val="single" w:sz="8" w:space="0" w:color="auto"/>
              <w:right w:val="single" w:sz="8" w:space="0" w:color="auto"/>
            </w:tcBorders>
            <w:shd w:val="clear" w:color="auto" w:fill="auto"/>
            <w:vAlign w:val="center"/>
            <w:hideMark/>
          </w:tcPr>
          <w:p w14:paraId="29604D77"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10,256,378.07</w:t>
            </w:r>
          </w:p>
        </w:tc>
        <w:tc>
          <w:tcPr>
            <w:tcW w:w="1206" w:type="dxa"/>
            <w:tcBorders>
              <w:top w:val="nil"/>
              <w:left w:val="nil"/>
              <w:bottom w:val="single" w:sz="8" w:space="0" w:color="auto"/>
              <w:right w:val="single" w:sz="8" w:space="0" w:color="auto"/>
            </w:tcBorders>
            <w:shd w:val="clear" w:color="auto" w:fill="auto"/>
            <w:noWrap/>
            <w:vAlign w:val="center"/>
            <w:hideMark/>
          </w:tcPr>
          <w:p w14:paraId="6E888A65"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10,256,730.04</w:t>
            </w:r>
          </w:p>
        </w:tc>
        <w:tc>
          <w:tcPr>
            <w:tcW w:w="992" w:type="dxa"/>
            <w:tcBorders>
              <w:top w:val="nil"/>
              <w:left w:val="nil"/>
              <w:bottom w:val="single" w:sz="8" w:space="0" w:color="auto"/>
              <w:right w:val="single" w:sz="8" w:space="0" w:color="auto"/>
            </w:tcBorders>
            <w:shd w:val="clear" w:color="auto" w:fill="auto"/>
            <w:noWrap/>
            <w:vAlign w:val="center"/>
            <w:hideMark/>
          </w:tcPr>
          <w:p w14:paraId="07323F6E"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-351.97</w:t>
            </w:r>
          </w:p>
        </w:tc>
        <w:tc>
          <w:tcPr>
            <w:tcW w:w="1206" w:type="dxa"/>
            <w:tcBorders>
              <w:top w:val="nil"/>
              <w:left w:val="nil"/>
              <w:bottom w:val="single" w:sz="8" w:space="0" w:color="auto"/>
              <w:right w:val="single" w:sz="8" w:space="0" w:color="auto"/>
            </w:tcBorders>
            <w:shd w:val="clear" w:color="auto" w:fill="auto"/>
            <w:noWrap/>
            <w:vAlign w:val="center"/>
            <w:hideMark/>
          </w:tcPr>
          <w:p w14:paraId="2DB80075"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115,326.85</w:t>
            </w:r>
          </w:p>
        </w:tc>
        <w:tc>
          <w:tcPr>
            <w:tcW w:w="1078" w:type="dxa"/>
            <w:tcBorders>
              <w:top w:val="nil"/>
              <w:left w:val="nil"/>
              <w:bottom w:val="single" w:sz="8" w:space="0" w:color="auto"/>
              <w:right w:val="single" w:sz="8" w:space="0" w:color="auto"/>
            </w:tcBorders>
            <w:shd w:val="clear" w:color="auto" w:fill="auto"/>
            <w:noWrap/>
            <w:vAlign w:val="center"/>
            <w:hideMark/>
          </w:tcPr>
          <w:p w14:paraId="06F64367"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10,141,051.22</w:t>
            </w:r>
          </w:p>
        </w:tc>
      </w:tr>
      <w:tr w:rsidR="00EF4BC3" w:rsidRPr="009E5B39" w14:paraId="2C1568C4"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3F1E71F"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Impozitul funciar al persoanelor juridice si fizice, înregistrate in calitate de întreprinzător</w:t>
            </w:r>
          </w:p>
        </w:tc>
        <w:tc>
          <w:tcPr>
            <w:tcW w:w="687" w:type="dxa"/>
            <w:tcBorders>
              <w:top w:val="nil"/>
              <w:left w:val="nil"/>
              <w:bottom w:val="single" w:sz="8" w:space="0" w:color="auto"/>
              <w:right w:val="single" w:sz="8" w:space="0" w:color="auto"/>
            </w:tcBorders>
            <w:shd w:val="clear" w:color="auto" w:fill="auto"/>
            <w:vAlign w:val="center"/>
            <w:hideMark/>
          </w:tcPr>
          <w:p w14:paraId="523C8393"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113161</w:t>
            </w:r>
          </w:p>
        </w:tc>
        <w:tc>
          <w:tcPr>
            <w:tcW w:w="1206" w:type="dxa"/>
            <w:tcBorders>
              <w:top w:val="nil"/>
              <w:left w:val="nil"/>
              <w:bottom w:val="single" w:sz="8" w:space="0" w:color="auto"/>
              <w:right w:val="single" w:sz="8" w:space="0" w:color="auto"/>
            </w:tcBorders>
            <w:shd w:val="clear" w:color="auto" w:fill="auto"/>
            <w:vAlign w:val="center"/>
            <w:hideMark/>
          </w:tcPr>
          <w:p w14:paraId="76908D25"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2,944,644.30</w:t>
            </w:r>
          </w:p>
        </w:tc>
        <w:tc>
          <w:tcPr>
            <w:tcW w:w="1206" w:type="dxa"/>
            <w:tcBorders>
              <w:top w:val="nil"/>
              <w:left w:val="nil"/>
              <w:bottom w:val="single" w:sz="8" w:space="0" w:color="auto"/>
              <w:right w:val="single" w:sz="8" w:space="0" w:color="auto"/>
            </w:tcBorders>
            <w:shd w:val="clear" w:color="auto" w:fill="auto"/>
            <w:vAlign w:val="center"/>
            <w:hideMark/>
          </w:tcPr>
          <w:p w14:paraId="2283B01E"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2,944,644.30</w:t>
            </w:r>
          </w:p>
        </w:tc>
        <w:tc>
          <w:tcPr>
            <w:tcW w:w="1206" w:type="dxa"/>
            <w:tcBorders>
              <w:top w:val="nil"/>
              <w:left w:val="nil"/>
              <w:bottom w:val="single" w:sz="8" w:space="0" w:color="auto"/>
              <w:right w:val="single" w:sz="8" w:space="0" w:color="auto"/>
            </w:tcBorders>
            <w:shd w:val="clear" w:color="auto" w:fill="auto"/>
            <w:noWrap/>
            <w:vAlign w:val="center"/>
            <w:hideMark/>
          </w:tcPr>
          <w:p w14:paraId="31082320"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2,944,583.51</w:t>
            </w:r>
          </w:p>
        </w:tc>
        <w:tc>
          <w:tcPr>
            <w:tcW w:w="992" w:type="dxa"/>
            <w:tcBorders>
              <w:top w:val="nil"/>
              <w:left w:val="nil"/>
              <w:bottom w:val="single" w:sz="8" w:space="0" w:color="auto"/>
              <w:right w:val="single" w:sz="8" w:space="0" w:color="auto"/>
            </w:tcBorders>
            <w:shd w:val="clear" w:color="auto" w:fill="auto"/>
            <w:noWrap/>
            <w:vAlign w:val="center"/>
            <w:hideMark/>
          </w:tcPr>
          <w:p w14:paraId="20384D41"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60.79</w:t>
            </w:r>
          </w:p>
        </w:tc>
        <w:tc>
          <w:tcPr>
            <w:tcW w:w="1206" w:type="dxa"/>
            <w:tcBorders>
              <w:top w:val="nil"/>
              <w:left w:val="nil"/>
              <w:bottom w:val="single" w:sz="8" w:space="0" w:color="auto"/>
              <w:right w:val="single" w:sz="8" w:space="0" w:color="auto"/>
            </w:tcBorders>
            <w:shd w:val="clear" w:color="auto" w:fill="auto"/>
            <w:noWrap/>
            <w:vAlign w:val="center"/>
            <w:hideMark/>
          </w:tcPr>
          <w:p w14:paraId="2AF88D28"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3,335,332.46</w:t>
            </w:r>
          </w:p>
        </w:tc>
        <w:tc>
          <w:tcPr>
            <w:tcW w:w="1078" w:type="dxa"/>
            <w:tcBorders>
              <w:top w:val="nil"/>
              <w:left w:val="nil"/>
              <w:bottom w:val="single" w:sz="8" w:space="0" w:color="auto"/>
              <w:right w:val="single" w:sz="8" w:space="0" w:color="auto"/>
            </w:tcBorders>
            <w:shd w:val="clear" w:color="auto" w:fill="auto"/>
            <w:noWrap/>
            <w:vAlign w:val="center"/>
            <w:hideMark/>
          </w:tcPr>
          <w:p w14:paraId="1C4C0981"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-390,688.16</w:t>
            </w:r>
          </w:p>
        </w:tc>
      </w:tr>
      <w:tr w:rsidR="00EF4BC3" w:rsidRPr="009E5B39" w14:paraId="3FF28033"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C60E4F2"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Impozitul funciar al persoanelor fizice-cetățeni</w:t>
            </w:r>
          </w:p>
        </w:tc>
        <w:tc>
          <w:tcPr>
            <w:tcW w:w="687" w:type="dxa"/>
            <w:tcBorders>
              <w:top w:val="nil"/>
              <w:left w:val="nil"/>
              <w:bottom w:val="single" w:sz="8" w:space="0" w:color="auto"/>
              <w:right w:val="single" w:sz="8" w:space="0" w:color="auto"/>
            </w:tcBorders>
            <w:shd w:val="clear" w:color="auto" w:fill="auto"/>
            <w:vAlign w:val="center"/>
            <w:hideMark/>
          </w:tcPr>
          <w:p w14:paraId="3C3BE52A"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113171</w:t>
            </w:r>
          </w:p>
        </w:tc>
        <w:tc>
          <w:tcPr>
            <w:tcW w:w="1206" w:type="dxa"/>
            <w:tcBorders>
              <w:top w:val="nil"/>
              <w:left w:val="nil"/>
              <w:bottom w:val="single" w:sz="8" w:space="0" w:color="auto"/>
              <w:right w:val="single" w:sz="8" w:space="0" w:color="auto"/>
            </w:tcBorders>
            <w:shd w:val="clear" w:color="auto" w:fill="auto"/>
            <w:vAlign w:val="center"/>
            <w:hideMark/>
          </w:tcPr>
          <w:p w14:paraId="60D36083"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14,056.68</w:t>
            </w:r>
          </w:p>
        </w:tc>
        <w:tc>
          <w:tcPr>
            <w:tcW w:w="1206" w:type="dxa"/>
            <w:tcBorders>
              <w:top w:val="nil"/>
              <w:left w:val="nil"/>
              <w:bottom w:val="single" w:sz="8" w:space="0" w:color="auto"/>
              <w:right w:val="single" w:sz="8" w:space="0" w:color="auto"/>
            </w:tcBorders>
            <w:shd w:val="clear" w:color="auto" w:fill="auto"/>
            <w:vAlign w:val="center"/>
            <w:hideMark/>
          </w:tcPr>
          <w:p w14:paraId="282A5CC8"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14,056.68</w:t>
            </w:r>
          </w:p>
        </w:tc>
        <w:tc>
          <w:tcPr>
            <w:tcW w:w="1206" w:type="dxa"/>
            <w:tcBorders>
              <w:top w:val="nil"/>
              <w:left w:val="nil"/>
              <w:bottom w:val="single" w:sz="8" w:space="0" w:color="auto"/>
              <w:right w:val="single" w:sz="8" w:space="0" w:color="auto"/>
            </w:tcBorders>
            <w:shd w:val="clear" w:color="auto" w:fill="auto"/>
            <w:noWrap/>
            <w:vAlign w:val="center"/>
            <w:hideMark/>
          </w:tcPr>
          <w:p w14:paraId="7C361A4D"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14,000.70</w:t>
            </w:r>
          </w:p>
        </w:tc>
        <w:tc>
          <w:tcPr>
            <w:tcW w:w="992" w:type="dxa"/>
            <w:tcBorders>
              <w:top w:val="nil"/>
              <w:left w:val="nil"/>
              <w:bottom w:val="single" w:sz="8" w:space="0" w:color="auto"/>
              <w:right w:val="single" w:sz="8" w:space="0" w:color="auto"/>
            </w:tcBorders>
            <w:shd w:val="clear" w:color="auto" w:fill="auto"/>
            <w:noWrap/>
            <w:vAlign w:val="center"/>
            <w:hideMark/>
          </w:tcPr>
          <w:p w14:paraId="429BFE46"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55.98</w:t>
            </w:r>
          </w:p>
        </w:tc>
        <w:tc>
          <w:tcPr>
            <w:tcW w:w="1206" w:type="dxa"/>
            <w:tcBorders>
              <w:top w:val="nil"/>
              <w:left w:val="nil"/>
              <w:bottom w:val="single" w:sz="8" w:space="0" w:color="auto"/>
              <w:right w:val="single" w:sz="8" w:space="0" w:color="auto"/>
            </w:tcBorders>
            <w:shd w:val="clear" w:color="auto" w:fill="auto"/>
            <w:noWrap/>
            <w:vAlign w:val="center"/>
            <w:hideMark/>
          </w:tcPr>
          <w:p w14:paraId="75769878"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903.71</w:t>
            </w:r>
          </w:p>
        </w:tc>
        <w:tc>
          <w:tcPr>
            <w:tcW w:w="1078" w:type="dxa"/>
            <w:tcBorders>
              <w:top w:val="nil"/>
              <w:left w:val="nil"/>
              <w:bottom w:val="single" w:sz="8" w:space="0" w:color="auto"/>
              <w:right w:val="single" w:sz="8" w:space="0" w:color="auto"/>
            </w:tcBorders>
            <w:shd w:val="clear" w:color="auto" w:fill="auto"/>
            <w:noWrap/>
            <w:vAlign w:val="center"/>
            <w:hideMark/>
          </w:tcPr>
          <w:p w14:paraId="61C43A03"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13,152.97</w:t>
            </w:r>
          </w:p>
        </w:tc>
      </w:tr>
      <w:tr w:rsidR="00EF4BC3" w:rsidRPr="009E5B39" w14:paraId="4C5D4260"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52CE8B6"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Impozitul pe bunurile imobiliare ale persoanelor juridice</w:t>
            </w:r>
          </w:p>
        </w:tc>
        <w:tc>
          <w:tcPr>
            <w:tcW w:w="687" w:type="dxa"/>
            <w:tcBorders>
              <w:top w:val="nil"/>
              <w:left w:val="nil"/>
              <w:bottom w:val="single" w:sz="8" w:space="0" w:color="auto"/>
              <w:right w:val="single" w:sz="8" w:space="0" w:color="auto"/>
            </w:tcBorders>
            <w:shd w:val="clear" w:color="auto" w:fill="auto"/>
            <w:vAlign w:val="center"/>
            <w:hideMark/>
          </w:tcPr>
          <w:p w14:paraId="36E87332"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113210</w:t>
            </w:r>
          </w:p>
        </w:tc>
        <w:tc>
          <w:tcPr>
            <w:tcW w:w="1206" w:type="dxa"/>
            <w:tcBorders>
              <w:top w:val="nil"/>
              <w:left w:val="nil"/>
              <w:bottom w:val="single" w:sz="8" w:space="0" w:color="auto"/>
              <w:right w:val="single" w:sz="8" w:space="0" w:color="auto"/>
            </w:tcBorders>
            <w:shd w:val="clear" w:color="auto" w:fill="auto"/>
            <w:vAlign w:val="center"/>
            <w:hideMark/>
          </w:tcPr>
          <w:p w14:paraId="0E982048"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12,713,985.54</w:t>
            </w:r>
          </w:p>
        </w:tc>
        <w:tc>
          <w:tcPr>
            <w:tcW w:w="1206" w:type="dxa"/>
            <w:tcBorders>
              <w:top w:val="nil"/>
              <w:left w:val="nil"/>
              <w:bottom w:val="single" w:sz="8" w:space="0" w:color="auto"/>
              <w:right w:val="single" w:sz="8" w:space="0" w:color="auto"/>
            </w:tcBorders>
            <w:shd w:val="clear" w:color="auto" w:fill="auto"/>
            <w:vAlign w:val="center"/>
            <w:hideMark/>
          </w:tcPr>
          <w:p w14:paraId="7D1B18D5"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12,713,985.54</w:t>
            </w:r>
          </w:p>
        </w:tc>
        <w:tc>
          <w:tcPr>
            <w:tcW w:w="1206" w:type="dxa"/>
            <w:tcBorders>
              <w:top w:val="nil"/>
              <w:left w:val="nil"/>
              <w:bottom w:val="single" w:sz="8" w:space="0" w:color="auto"/>
              <w:right w:val="single" w:sz="8" w:space="0" w:color="auto"/>
            </w:tcBorders>
            <w:shd w:val="clear" w:color="auto" w:fill="auto"/>
            <w:noWrap/>
            <w:vAlign w:val="center"/>
            <w:hideMark/>
          </w:tcPr>
          <w:p w14:paraId="1394A9CE"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12,710,550.17</w:t>
            </w:r>
          </w:p>
        </w:tc>
        <w:tc>
          <w:tcPr>
            <w:tcW w:w="992" w:type="dxa"/>
            <w:tcBorders>
              <w:top w:val="nil"/>
              <w:left w:val="nil"/>
              <w:bottom w:val="single" w:sz="8" w:space="0" w:color="auto"/>
              <w:right w:val="single" w:sz="8" w:space="0" w:color="auto"/>
            </w:tcBorders>
            <w:shd w:val="clear" w:color="auto" w:fill="auto"/>
            <w:noWrap/>
            <w:vAlign w:val="center"/>
            <w:hideMark/>
          </w:tcPr>
          <w:p w14:paraId="4942F237"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3,435.37</w:t>
            </w:r>
          </w:p>
        </w:tc>
        <w:tc>
          <w:tcPr>
            <w:tcW w:w="1206" w:type="dxa"/>
            <w:tcBorders>
              <w:top w:val="nil"/>
              <w:left w:val="nil"/>
              <w:bottom w:val="single" w:sz="8" w:space="0" w:color="auto"/>
              <w:right w:val="single" w:sz="8" w:space="0" w:color="auto"/>
            </w:tcBorders>
            <w:shd w:val="clear" w:color="auto" w:fill="auto"/>
            <w:noWrap/>
            <w:vAlign w:val="center"/>
            <w:hideMark/>
          </w:tcPr>
          <w:p w14:paraId="28531288"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13,253,391.29</w:t>
            </w:r>
          </w:p>
        </w:tc>
        <w:tc>
          <w:tcPr>
            <w:tcW w:w="1078" w:type="dxa"/>
            <w:tcBorders>
              <w:top w:val="nil"/>
              <w:left w:val="nil"/>
              <w:bottom w:val="single" w:sz="8" w:space="0" w:color="auto"/>
              <w:right w:val="single" w:sz="8" w:space="0" w:color="auto"/>
            </w:tcBorders>
            <w:shd w:val="clear" w:color="auto" w:fill="auto"/>
            <w:noWrap/>
            <w:vAlign w:val="center"/>
            <w:hideMark/>
          </w:tcPr>
          <w:p w14:paraId="15FAAA20"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-539,405.75</w:t>
            </w:r>
          </w:p>
        </w:tc>
      </w:tr>
      <w:tr w:rsidR="00EF4BC3" w:rsidRPr="009E5B39" w14:paraId="21852275"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0C831EB"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Impozitul pe bunurile imobiliare ale persoanelor fizice</w:t>
            </w:r>
          </w:p>
        </w:tc>
        <w:tc>
          <w:tcPr>
            <w:tcW w:w="687" w:type="dxa"/>
            <w:tcBorders>
              <w:top w:val="nil"/>
              <w:left w:val="nil"/>
              <w:bottom w:val="single" w:sz="8" w:space="0" w:color="auto"/>
              <w:right w:val="single" w:sz="8" w:space="0" w:color="auto"/>
            </w:tcBorders>
            <w:shd w:val="clear" w:color="auto" w:fill="auto"/>
            <w:vAlign w:val="center"/>
            <w:hideMark/>
          </w:tcPr>
          <w:p w14:paraId="0B2FE46F"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113220</w:t>
            </w:r>
          </w:p>
        </w:tc>
        <w:tc>
          <w:tcPr>
            <w:tcW w:w="1206" w:type="dxa"/>
            <w:tcBorders>
              <w:top w:val="nil"/>
              <w:left w:val="nil"/>
              <w:bottom w:val="single" w:sz="8" w:space="0" w:color="auto"/>
              <w:right w:val="single" w:sz="8" w:space="0" w:color="auto"/>
            </w:tcBorders>
            <w:shd w:val="clear" w:color="auto" w:fill="auto"/>
            <w:vAlign w:val="center"/>
            <w:hideMark/>
          </w:tcPr>
          <w:p w14:paraId="475B248E"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84,713.34</w:t>
            </w:r>
          </w:p>
        </w:tc>
        <w:tc>
          <w:tcPr>
            <w:tcW w:w="1206" w:type="dxa"/>
            <w:tcBorders>
              <w:top w:val="nil"/>
              <w:left w:val="nil"/>
              <w:bottom w:val="single" w:sz="8" w:space="0" w:color="auto"/>
              <w:right w:val="single" w:sz="8" w:space="0" w:color="auto"/>
            </w:tcBorders>
            <w:shd w:val="clear" w:color="auto" w:fill="auto"/>
            <w:vAlign w:val="center"/>
            <w:hideMark/>
          </w:tcPr>
          <w:p w14:paraId="0E963833"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84,713.34</w:t>
            </w:r>
          </w:p>
        </w:tc>
        <w:tc>
          <w:tcPr>
            <w:tcW w:w="1206" w:type="dxa"/>
            <w:tcBorders>
              <w:top w:val="nil"/>
              <w:left w:val="nil"/>
              <w:bottom w:val="single" w:sz="8" w:space="0" w:color="auto"/>
              <w:right w:val="single" w:sz="8" w:space="0" w:color="auto"/>
            </w:tcBorders>
            <w:shd w:val="clear" w:color="auto" w:fill="auto"/>
            <w:noWrap/>
            <w:vAlign w:val="center"/>
            <w:hideMark/>
          </w:tcPr>
          <w:p w14:paraId="33F6C37C"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84,464.39</w:t>
            </w:r>
          </w:p>
        </w:tc>
        <w:tc>
          <w:tcPr>
            <w:tcW w:w="992" w:type="dxa"/>
            <w:tcBorders>
              <w:top w:val="nil"/>
              <w:left w:val="nil"/>
              <w:bottom w:val="single" w:sz="8" w:space="0" w:color="auto"/>
              <w:right w:val="single" w:sz="8" w:space="0" w:color="auto"/>
            </w:tcBorders>
            <w:shd w:val="clear" w:color="auto" w:fill="auto"/>
            <w:noWrap/>
            <w:vAlign w:val="center"/>
            <w:hideMark/>
          </w:tcPr>
          <w:p w14:paraId="1CB6466A"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248.95</w:t>
            </w:r>
          </w:p>
        </w:tc>
        <w:tc>
          <w:tcPr>
            <w:tcW w:w="1206" w:type="dxa"/>
            <w:tcBorders>
              <w:top w:val="nil"/>
              <w:left w:val="nil"/>
              <w:bottom w:val="single" w:sz="8" w:space="0" w:color="auto"/>
              <w:right w:val="single" w:sz="8" w:space="0" w:color="auto"/>
            </w:tcBorders>
            <w:shd w:val="clear" w:color="auto" w:fill="auto"/>
            <w:noWrap/>
            <w:vAlign w:val="center"/>
            <w:hideMark/>
          </w:tcPr>
          <w:p w14:paraId="17B8063C"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5,627.95</w:t>
            </w:r>
          </w:p>
        </w:tc>
        <w:tc>
          <w:tcPr>
            <w:tcW w:w="1078" w:type="dxa"/>
            <w:tcBorders>
              <w:top w:val="nil"/>
              <w:left w:val="nil"/>
              <w:bottom w:val="single" w:sz="8" w:space="0" w:color="auto"/>
              <w:right w:val="single" w:sz="8" w:space="0" w:color="auto"/>
            </w:tcBorders>
            <w:shd w:val="clear" w:color="auto" w:fill="auto"/>
            <w:noWrap/>
            <w:vAlign w:val="center"/>
            <w:hideMark/>
          </w:tcPr>
          <w:p w14:paraId="09D3E858"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79,085.39</w:t>
            </w:r>
          </w:p>
        </w:tc>
      </w:tr>
      <w:tr w:rsidR="00EF4BC3" w:rsidRPr="009E5B39" w14:paraId="244E625E"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B87959C"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Impozitul pe bunurile imobiliare achitat de către persoanele juridice si fizice înregistrate in calitate de întreprinzător din valoarea estimata (de piață) a bunurilor imobiliare</w:t>
            </w:r>
          </w:p>
        </w:tc>
        <w:tc>
          <w:tcPr>
            <w:tcW w:w="687" w:type="dxa"/>
            <w:tcBorders>
              <w:top w:val="nil"/>
              <w:left w:val="nil"/>
              <w:bottom w:val="single" w:sz="8" w:space="0" w:color="auto"/>
              <w:right w:val="single" w:sz="8" w:space="0" w:color="auto"/>
            </w:tcBorders>
            <w:shd w:val="clear" w:color="auto" w:fill="auto"/>
            <w:vAlign w:val="center"/>
            <w:hideMark/>
          </w:tcPr>
          <w:p w14:paraId="6B833080"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113230</w:t>
            </w:r>
          </w:p>
        </w:tc>
        <w:tc>
          <w:tcPr>
            <w:tcW w:w="1206" w:type="dxa"/>
            <w:tcBorders>
              <w:top w:val="nil"/>
              <w:left w:val="nil"/>
              <w:bottom w:val="single" w:sz="8" w:space="0" w:color="auto"/>
              <w:right w:val="single" w:sz="8" w:space="0" w:color="auto"/>
            </w:tcBorders>
            <w:shd w:val="clear" w:color="auto" w:fill="auto"/>
            <w:vAlign w:val="center"/>
            <w:hideMark/>
          </w:tcPr>
          <w:p w14:paraId="22E88C7F"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110,365,816.54</w:t>
            </w:r>
          </w:p>
        </w:tc>
        <w:tc>
          <w:tcPr>
            <w:tcW w:w="1206" w:type="dxa"/>
            <w:tcBorders>
              <w:top w:val="nil"/>
              <w:left w:val="nil"/>
              <w:bottom w:val="single" w:sz="8" w:space="0" w:color="auto"/>
              <w:right w:val="single" w:sz="8" w:space="0" w:color="auto"/>
            </w:tcBorders>
            <w:shd w:val="clear" w:color="auto" w:fill="auto"/>
            <w:vAlign w:val="center"/>
            <w:hideMark/>
          </w:tcPr>
          <w:p w14:paraId="4E62B07D"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110,365,816.54</w:t>
            </w:r>
          </w:p>
        </w:tc>
        <w:tc>
          <w:tcPr>
            <w:tcW w:w="1206" w:type="dxa"/>
            <w:tcBorders>
              <w:top w:val="nil"/>
              <w:left w:val="nil"/>
              <w:bottom w:val="single" w:sz="8" w:space="0" w:color="auto"/>
              <w:right w:val="single" w:sz="8" w:space="0" w:color="auto"/>
            </w:tcBorders>
            <w:shd w:val="clear" w:color="auto" w:fill="auto"/>
            <w:noWrap/>
            <w:vAlign w:val="center"/>
            <w:hideMark/>
          </w:tcPr>
          <w:p w14:paraId="3B1988C5"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110,369,299.26</w:t>
            </w:r>
          </w:p>
        </w:tc>
        <w:tc>
          <w:tcPr>
            <w:tcW w:w="992" w:type="dxa"/>
            <w:tcBorders>
              <w:top w:val="nil"/>
              <w:left w:val="nil"/>
              <w:bottom w:val="single" w:sz="8" w:space="0" w:color="auto"/>
              <w:right w:val="single" w:sz="8" w:space="0" w:color="auto"/>
            </w:tcBorders>
            <w:shd w:val="clear" w:color="auto" w:fill="auto"/>
            <w:noWrap/>
            <w:vAlign w:val="center"/>
            <w:hideMark/>
          </w:tcPr>
          <w:p w14:paraId="5DA0D3D8"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-3,482.72</w:t>
            </w:r>
          </w:p>
        </w:tc>
        <w:tc>
          <w:tcPr>
            <w:tcW w:w="1206" w:type="dxa"/>
            <w:tcBorders>
              <w:top w:val="nil"/>
              <w:left w:val="nil"/>
              <w:bottom w:val="single" w:sz="8" w:space="0" w:color="auto"/>
              <w:right w:val="single" w:sz="8" w:space="0" w:color="auto"/>
            </w:tcBorders>
            <w:shd w:val="clear" w:color="auto" w:fill="auto"/>
            <w:noWrap/>
            <w:vAlign w:val="center"/>
            <w:hideMark/>
          </w:tcPr>
          <w:p w14:paraId="7DEBDCFB"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109,284,965.14</w:t>
            </w:r>
          </w:p>
        </w:tc>
        <w:tc>
          <w:tcPr>
            <w:tcW w:w="1078" w:type="dxa"/>
            <w:tcBorders>
              <w:top w:val="nil"/>
              <w:left w:val="nil"/>
              <w:bottom w:val="single" w:sz="8" w:space="0" w:color="auto"/>
              <w:right w:val="single" w:sz="8" w:space="0" w:color="auto"/>
            </w:tcBorders>
            <w:shd w:val="clear" w:color="auto" w:fill="auto"/>
            <w:noWrap/>
            <w:vAlign w:val="center"/>
            <w:hideMark/>
          </w:tcPr>
          <w:p w14:paraId="5C898F61"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1,080,851.40</w:t>
            </w:r>
          </w:p>
        </w:tc>
      </w:tr>
      <w:tr w:rsidR="00EF4BC3" w:rsidRPr="009E5B39" w14:paraId="5DA03D78"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E2079BA"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Impozitul pe bunurile imobiliare achitat de către persoanele fizice cetățeni din valoarea estimata (de piață) a bunurilor imobiliare</w:t>
            </w:r>
          </w:p>
        </w:tc>
        <w:tc>
          <w:tcPr>
            <w:tcW w:w="687" w:type="dxa"/>
            <w:tcBorders>
              <w:top w:val="nil"/>
              <w:left w:val="nil"/>
              <w:bottom w:val="single" w:sz="8" w:space="0" w:color="auto"/>
              <w:right w:val="single" w:sz="8" w:space="0" w:color="auto"/>
            </w:tcBorders>
            <w:shd w:val="clear" w:color="auto" w:fill="auto"/>
            <w:vAlign w:val="center"/>
            <w:hideMark/>
          </w:tcPr>
          <w:p w14:paraId="6EEABCA5"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113240</w:t>
            </w:r>
          </w:p>
        </w:tc>
        <w:tc>
          <w:tcPr>
            <w:tcW w:w="1206" w:type="dxa"/>
            <w:tcBorders>
              <w:top w:val="nil"/>
              <w:left w:val="nil"/>
              <w:bottom w:val="single" w:sz="8" w:space="0" w:color="auto"/>
              <w:right w:val="single" w:sz="8" w:space="0" w:color="auto"/>
            </w:tcBorders>
            <w:shd w:val="clear" w:color="auto" w:fill="auto"/>
            <w:vAlign w:val="center"/>
            <w:hideMark/>
          </w:tcPr>
          <w:p w14:paraId="3E53EB52"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100,770,786.70</w:t>
            </w:r>
          </w:p>
        </w:tc>
        <w:tc>
          <w:tcPr>
            <w:tcW w:w="1206" w:type="dxa"/>
            <w:tcBorders>
              <w:top w:val="nil"/>
              <w:left w:val="nil"/>
              <w:bottom w:val="single" w:sz="8" w:space="0" w:color="auto"/>
              <w:right w:val="single" w:sz="8" w:space="0" w:color="auto"/>
            </w:tcBorders>
            <w:shd w:val="clear" w:color="auto" w:fill="auto"/>
            <w:vAlign w:val="center"/>
            <w:hideMark/>
          </w:tcPr>
          <w:p w14:paraId="3477797D"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100,770,786.70</w:t>
            </w:r>
          </w:p>
        </w:tc>
        <w:tc>
          <w:tcPr>
            <w:tcW w:w="1206" w:type="dxa"/>
            <w:tcBorders>
              <w:top w:val="nil"/>
              <w:left w:val="nil"/>
              <w:bottom w:val="single" w:sz="8" w:space="0" w:color="auto"/>
              <w:right w:val="single" w:sz="8" w:space="0" w:color="auto"/>
            </w:tcBorders>
            <w:shd w:val="clear" w:color="auto" w:fill="auto"/>
            <w:noWrap/>
            <w:vAlign w:val="center"/>
            <w:hideMark/>
          </w:tcPr>
          <w:p w14:paraId="667C7BF0"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100,771,209.38</w:t>
            </w:r>
          </w:p>
        </w:tc>
        <w:tc>
          <w:tcPr>
            <w:tcW w:w="992" w:type="dxa"/>
            <w:tcBorders>
              <w:top w:val="nil"/>
              <w:left w:val="nil"/>
              <w:bottom w:val="single" w:sz="8" w:space="0" w:color="auto"/>
              <w:right w:val="single" w:sz="8" w:space="0" w:color="auto"/>
            </w:tcBorders>
            <w:shd w:val="clear" w:color="auto" w:fill="auto"/>
            <w:noWrap/>
            <w:vAlign w:val="center"/>
            <w:hideMark/>
          </w:tcPr>
          <w:p w14:paraId="50AB839F"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-422.68</w:t>
            </w:r>
          </w:p>
        </w:tc>
        <w:tc>
          <w:tcPr>
            <w:tcW w:w="1206" w:type="dxa"/>
            <w:tcBorders>
              <w:top w:val="nil"/>
              <w:left w:val="nil"/>
              <w:bottom w:val="single" w:sz="8" w:space="0" w:color="auto"/>
              <w:right w:val="single" w:sz="8" w:space="0" w:color="auto"/>
            </w:tcBorders>
            <w:shd w:val="clear" w:color="auto" w:fill="auto"/>
            <w:noWrap/>
            <w:vAlign w:val="center"/>
            <w:hideMark/>
          </w:tcPr>
          <w:p w14:paraId="5EE55801"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101,385,456.05</w:t>
            </w:r>
          </w:p>
        </w:tc>
        <w:tc>
          <w:tcPr>
            <w:tcW w:w="1078" w:type="dxa"/>
            <w:tcBorders>
              <w:top w:val="nil"/>
              <w:left w:val="nil"/>
              <w:bottom w:val="single" w:sz="8" w:space="0" w:color="auto"/>
              <w:right w:val="single" w:sz="8" w:space="0" w:color="auto"/>
            </w:tcBorders>
            <w:shd w:val="clear" w:color="auto" w:fill="auto"/>
            <w:noWrap/>
            <w:vAlign w:val="center"/>
            <w:hideMark/>
          </w:tcPr>
          <w:p w14:paraId="1F6E1820"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-614,669.35</w:t>
            </w:r>
          </w:p>
        </w:tc>
      </w:tr>
      <w:tr w:rsidR="00EF4BC3" w:rsidRPr="009E5B39" w14:paraId="69A990C7"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763071F"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Impozit privat încasat în bugetul local de nivelul II</w:t>
            </w:r>
          </w:p>
        </w:tc>
        <w:tc>
          <w:tcPr>
            <w:tcW w:w="687" w:type="dxa"/>
            <w:tcBorders>
              <w:top w:val="nil"/>
              <w:left w:val="nil"/>
              <w:bottom w:val="single" w:sz="8" w:space="0" w:color="auto"/>
              <w:right w:val="single" w:sz="8" w:space="0" w:color="auto"/>
            </w:tcBorders>
            <w:shd w:val="clear" w:color="auto" w:fill="auto"/>
            <w:vAlign w:val="center"/>
            <w:hideMark/>
          </w:tcPr>
          <w:p w14:paraId="5D152AFE"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113312</w:t>
            </w:r>
          </w:p>
        </w:tc>
        <w:tc>
          <w:tcPr>
            <w:tcW w:w="1206" w:type="dxa"/>
            <w:tcBorders>
              <w:top w:val="nil"/>
              <w:left w:val="nil"/>
              <w:bottom w:val="single" w:sz="8" w:space="0" w:color="auto"/>
              <w:right w:val="single" w:sz="8" w:space="0" w:color="auto"/>
            </w:tcBorders>
            <w:shd w:val="clear" w:color="auto" w:fill="auto"/>
            <w:vAlign w:val="center"/>
            <w:hideMark/>
          </w:tcPr>
          <w:p w14:paraId="101F4059"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484,817.43</w:t>
            </w:r>
          </w:p>
        </w:tc>
        <w:tc>
          <w:tcPr>
            <w:tcW w:w="1206" w:type="dxa"/>
            <w:tcBorders>
              <w:top w:val="nil"/>
              <w:left w:val="nil"/>
              <w:bottom w:val="single" w:sz="8" w:space="0" w:color="auto"/>
              <w:right w:val="single" w:sz="8" w:space="0" w:color="auto"/>
            </w:tcBorders>
            <w:shd w:val="clear" w:color="auto" w:fill="auto"/>
            <w:vAlign w:val="center"/>
            <w:hideMark/>
          </w:tcPr>
          <w:p w14:paraId="19F4434B"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484,817.43</w:t>
            </w:r>
          </w:p>
        </w:tc>
        <w:tc>
          <w:tcPr>
            <w:tcW w:w="1206" w:type="dxa"/>
            <w:tcBorders>
              <w:top w:val="nil"/>
              <w:left w:val="nil"/>
              <w:bottom w:val="single" w:sz="8" w:space="0" w:color="auto"/>
              <w:right w:val="single" w:sz="8" w:space="0" w:color="auto"/>
            </w:tcBorders>
            <w:shd w:val="clear" w:color="auto" w:fill="auto"/>
            <w:noWrap/>
            <w:vAlign w:val="center"/>
            <w:hideMark/>
          </w:tcPr>
          <w:p w14:paraId="4AC6471F"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484,817.43</w:t>
            </w:r>
          </w:p>
        </w:tc>
        <w:tc>
          <w:tcPr>
            <w:tcW w:w="992" w:type="dxa"/>
            <w:tcBorders>
              <w:top w:val="nil"/>
              <w:left w:val="nil"/>
              <w:bottom w:val="single" w:sz="8" w:space="0" w:color="auto"/>
              <w:right w:val="single" w:sz="8" w:space="0" w:color="auto"/>
            </w:tcBorders>
            <w:shd w:val="clear" w:color="auto" w:fill="auto"/>
            <w:noWrap/>
            <w:vAlign w:val="center"/>
            <w:hideMark/>
          </w:tcPr>
          <w:p w14:paraId="33A356EA"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1C4A2301"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w:t>
            </w:r>
          </w:p>
        </w:tc>
        <w:tc>
          <w:tcPr>
            <w:tcW w:w="1078" w:type="dxa"/>
            <w:tcBorders>
              <w:top w:val="nil"/>
              <w:left w:val="nil"/>
              <w:bottom w:val="single" w:sz="8" w:space="0" w:color="auto"/>
              <w:right w:val="single" w:sz="8" w:space="0" w:color="auto"/>
            </w:tcBorders>
            <w:shd w:val="clear" w:color="auto" w:fill="auto"/>
            <w:noWrap/>
            <w:vAlign w:val="center"/>
            <w:hideMark/>
          </w:tcPr>
          <w:p w14:paraId="632DA897"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484,817.43</w:t>
            </w:r>
          </w:p>
        </w:tc>
      </w:tr>
      <w:tr w:rsidR="00EF4BC3" w:rsidRPr="009E5B39" w14:paraId="060CFEF9"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9242006"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de piață</w:t>
            </w:r>
          </w:p>
        </w:tc>
        <w:tc>
          <w:tcPr>
            <w:tcW w:w="687" w:type="dxa"/>
            <w:tcBorders>
              <w:top w:val="nil"/>
              <w:left w:val="nil"/>
              <w:bottom w:val="single" w:sz="8" w:space="0" w:color="auto"/>
              <w:right w:val="single" w:sz="8" w:space="0" w:color="auto"/>
            </w:tcBorders>
            <w:shd w:val="clear" w:color="auto" w:fill="auto"/>
            <w:vAlign w:val="center"/>
            <w:hideMark/>
          </w:tcPr>
          <w:p w14:paraId="69ED5813"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114411</w:t>
            </w:r>
          </w:p>
        </w:tc>
        <w:tc>
          <w:tcPr>
            <w:tcW w:w="1206" w:type="dxa"/>
            <w:tcBorders>
              <w:top w:val="nil"/>
              <w:left w:val="nil"/>
              <w:bottom w:val="single" w:sz="8" w:space="0" w:color="auto"/>
              <w:right w:val="single" w:sz="8" w:space="0" w:color="auto"/>
            </w:tcBorders>
            <w:shd w:val="clear" w:color="auto" w:fill="auto"/>
            <w:vAlign w:val="center"/>
            <w:hideMark/>
          </w:tcPr>
          <w:p w14:paraId="5158BF32"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8,273,351.76</w:t>
            </w:r>
          </w:p>
        </w:tc>
        <w:tc>
          <w:tcPr>
            <w:tcW w:w="1206" w:type="dxa"/>
            <w:tcBorders>
              <w:top w:val="nil"/>
              <w:left w:val="nil"/>
              <w:bottom w:val="single" w:sz="8" w:space="0" w:color="auto"/>
              <w:right w:val="single" w:sz="8" w:space="0" w:color="auto"/>
            </w:tcBorders>
            <w:shd w:val="clear" w:color="auto" w:fill="auto"/>
            <w:vAlign w:val="center"/>
            <w:hideMark/>
          </w:tcPr>
          <w:p w14:paraId="54ABC963"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8,273,351.76</w:t>
            </w:r>
          </w:p>
        </w:tc>
        <w:tc>
          <w:tcPr>
            <w:tcW w:w="1206" w:type="dxa"/>
            <w:tcBorders>
              <w:top w:val="nil"/>
              <w:left w:val="nil"/>
              <w:bottom w:val="single" w:sz="8" w:space="0" w:color="auto"/>
              <w:right w:val="single" w:sz="8" w:space="0" w:color="auto"/>
            </w:tcBorders>
            <w:shd w:val="clear" w:color="auto" w:fill="auto"/>
            <w:noWrap/>
            <w:vAlign w:val="center"/>
            <w:hideMark/>
          </w:tcPr>
          <w:p w14:paraId="5D59CE34"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8,273,353.01</w:t>
            </w:r>
          </w:p>
        </w:tc>
        <w:tc>
          <w:tcPr>
            <w:tcW w:w="992" w:type="dxa"/>
            <w:tcBorders>
              <w:top w:val="nil"/>
              <w:left w:val="nil"/>
              <w:bottom w:val="single" w:sz="8" w:space="0" w:color="auto"/>
              <w:right w:val="single" w:sz="8" w:space="0" w:color="auto"/>
            </w:tcBorders>
            <w:shd w:val="clear" w:color="auto" w:fill="auto"/>
            <w:noWrap/>
            <w:vAlign w:val="center"/>
            <w:hideMark/>
          </w:tcPr>
          <w:p w14:paraId="594888AA"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-1.25</w:t>
            </w:r>
          </w:p>
        </w:tc>
        <w:tc>
          <w:tcPr>
            <w:tcW w:w="1206" w:type="dxa"/>
            <w:tcBorders>
              <w:top w:val="nil"/>
              <w:left w:val="nil"/>
              <w:bottom w:val="single" w:sz="8" w:space="0" w:color="auto"/>
              <w:right w:val="single" w:sz="8" w:space="0" w:color="auto"/>
            </w:tcBorders>
            <w:shd w:val="clear" w:color="auto" w:fill="auto"/>
            <w:noWrap/>
            <w:vAlign w:val="center"/>
            <w:hideMark/>
          </w:tcPr>
          <w:p w14:paraId="4EAFD18D"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8,115,331.65</w:t>
            </w:r>
          </w:p>
        </w:tc>
        <w:tc>
          <w:tcPr>
            <w:tcW w:w="1078" w:type="dxa"/>
            <w:tcBorders>
              <w:top w:val="nil"/>
              <w:left w:val="nil"/>
              <w:bottom w:val="single" w:sz="8" w:space="0" w:color="auto"/>
              <w:right w:val="single" w:sz="8" w:space="0" w:color="auto"/>
            </w:tcBorders>
            <w:shd w:val="clear" w:color="auto" w:fill="auto"/>
            <w:noWrap/>
            <w:vAlign w:val="center"/>
            <w:hideMark/>
          </w:tcPr>
          <w:p w14:paraId="4A06E85C"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158,020.11</w:t>
            </w:r>
          </w:p>
        </w:tc>
      </w:tr>
      <w:tr w:rsidR="00EF4BC3" w:rsidRPr="009E5B39" w14:paraId="2B4EBC2A"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B9E3900"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amenajarea teritoriului</w:t>
            </w:r>
          </w:p>
        </w:tc>
        <w:tc>
          <w:tcPr>
            <w:tcW w:w="687" w:type="dxa"/>
            <w:tcBorders>
              <w:top w:val="nil"/>
              <w:left w:val="nil"/>
              <w:bottom w:val="single" w:sz="8" w:space="0" w:color="auto"/>
              <w:right w:val="single" w:sz="8" w:space="0" w:color="auto"/>
            </w:tcBorders>
            <w:shd w:val="clear" w:color="auto" w:fill="auto"/>
            <w:vAlign w:val="center"/>
            <w:hideMark/>
          </w:tcPr>
          <w:p w14:paraId="3FFD84B9"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114412</w:t>
            </w:r>
          </w:p>
        </w:tc>
        <w:tc>
          <w:tcPr>
            <w:tcW w:w="1206" w:type="dxa"/>
            <w:tcBorders>
              <w:top w:val="nil"/>
              <w:left w:val="nil"/>
              <w:bottom w:val="single" w:sz="8" w:space="0" w:color="auto"/>
              <w:right w:val="single" w:sz="8" w:space="0" w:color="auto"/>
            </w:tcBorders>
            <w:shd w:val="clear" w:color="auto" w:fill="auto"/>
            <w:vAlign w:val="center"/>
            <w:hideMark/>
          </w:tcPr>
          <w:p w14:paraId="7BD9913C"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25,294,198.34</w:t>
            </w:r>
          </w:p>
        </w:tc>
        <w:tc>
          <w:tcPr>
            <w:tcW w:w="1206" w:type="dxa"/>
            <w:tcBorders>
              <w:top w:val="nil"/>
              <w:left w:val="nil"/>
              <w:bottom w:val="single" w:sz="8" w:space="0" w:color="auto"/>
              <w:right w:val="single" w:sz="8" w:space="0" w:color="auto"/>
            </w:tcBorders>
            <w:shd w:val="clear" w:color="auto" w:fill="auto"/>
            <w:vAlign w:val="center"/>
            <w:hideMark/>
          </w:tcPr>
          <w:p w14:paraId="64A59771"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25,294,198.34</w:t>
            </w:r>
          </w:p>
        </w:tc>
        <w:tc>
          <w:tcPr>
            <w:tcW w:w="1206" w:type="dxa"/>
            <w:tcBorders>
              <w:top w:val="nil"/>
              <w:left w:val="nil"/>
              <w:bottom w:val="single" w:sz="8" w:space="0" w:color="auto"/>
              <w:right w:val="single" w:sz="8" w:space="0" w:color="auto"/>
            </w:tcBorders>
            <w:shd w:val="clear" w:color="auto" w:fill="auto"/>
            <w:noWrap/>
            <w:vAlign w:val="center"/>
            <w:hideMark/>
          </w:tcPr>
          <w:p w14:paraId="3FAFB293"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25,296,548.52</w:t>
            </w:r>
          </w:p>
        </w:tc>
        <w:tc>
          <w:tcPr>
            <w:tcW w:w="992" w:type="dxa"/>
            <w:tcBorders>
              <w:top w:val="nil"/>
              <w:left w:val="nil"/>
              <w:bottom w:val="single" w:sz="8" w:space="0" w:color="auto"/>
              <w:right w:val="single" w:sz="8" w:space="0" w:color="auto"/>
            </w:tcBorders>
            <w:shd w:val="clear" w:color="auto" w:fill="auto"/>
            <w:noWrap/>
            <w:vAlign w:val="center"/>
            <w:hideMark/>
          </w:tcPr>
          <w:p w14:paraId="52629A27"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-2,350.18</w:t>
            </w:r>
          </w:p>
        </w:tc>
        <w:tc>
          <w:tcPr>
            <w:tcW w:w="1206" w:type="dxa"/>
            <w:tcBorders>
              <w:top w:val="nil"/>
              <w:left w:val="nil"/>
              <w:bottom w:val="single" w:sz="8" w:space="0" w:color="auto"/>
              <w:right w:val="single" w:sz="8" w:space="0" w:color="auto"/>
            </w:tcBorders>
            <w:shd w:val="clear" w:color="auto" w:fill="auto"/>
            <w:noWrap/>
            <w:vAlign w:val="center"/>
            <w:hideMark/>
          </w:tcPr>
          <w:p w14:paraId="2BC0A176"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25,687,606.68</w:t>
            </w:r>
          </w:p>
        </w:tc>
        <w:tc>
          <w:tcPr>
            <w:tcW w:w="1078" w:type="dxa"/>
            <w:tcBorders>
              <w:top w:val="nil"/>
              <w:left w:val="nil"/>
              <w:bottom w:val="single" w:sz="8" w:space="0" w:color="auto"/>
              <w:right w:val="single" w:sz="8" w:space="0" w:color="auto"/>
            </w:tcBorders>
            <w:shd w:val="clear" w:color="auto" w:fill="auto"/>
            <w:noWrap/>
            <w:vAlign w:val="center"/>
            <w:hideMark/>
          </w:tcPr>
          <w:p w14:paraId="17FEF6CC"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-393,408.34</w:t>
            </w:r>
          </w:p>
        </w:tc>
      </w:tr>
      <w:tr w:rsidR="00EF4BC3" w:rsidRPr="009E5B39" w14:paraId="1ACDF844"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69558C0"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prestarea serviciilor de transport auto de calatori pe teritoriul municipiilor, orașelor si satelor (comunelor)</w:t>
            </w:r>
          </w:p>
        </w:tc>
        <w:tc>
          <w:tcPr>
            <w:tcW w:w="687" w:type="dxa"/>
            <w:tcBorders>
              <w:top w:val="nil"/>
              <w:left w:val="nil"/>
              <w:bottom w:val="single" w:sz="8" w:space="0" w:color="auto"/>
              <w:right w:val="single" w:sz="8" w:space="0" w:color="auto"/>
            </w:tcBorders>
            <w:shd w:val="clear" w:color="auto" w:fill="auto"/>
            <w:vAlign w:val="center"/>
            <w:hideMark/>
          </w:tcPr>
          <w:p w14:paraId="2A7A67C9"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114413</w:t>
            </w:r>
          </w:p>
        </w:tc>
        <w:tc>
          <w:tcPr>
            <w:tcW w:w="1206" w:type="dxa"/>
            <w:tcBorders>
              <w:top w:val="nil"/>
              <w:left w:val="nil"/>
              <w:bottom w:val="single" w:sz="8" w:space="0" w:color="auto"/>
              <w:right w:val="single" w:sz="8" w:space="0" w:color="auto"/>
            </w:tcBorders>
            <w:shd w:val="clear" w:color="auto" w:fill="auto"/>
            <w:vAlign w:val="center"/>
            <w:hideMark/>
          </w:tcPr>
          <w:p w14:paraId="34EC600A"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8,641,288.72</w:t>
            </w:r>
          </w:p>
        </w:tc>
        <w:tc>
          <w:tcPr>
            <w:tcW w:w="1206" w:type="dxa"/>
            <w:tcBorders>
              <w:top w:val="nil"/>
              <w:left w:val="nil"/>
              <w:bottom w:val="single" w:sz="8" w:space="0" w:color="auto"/>
              <w:right w:val="single" w:sz="8" w:space="0" w:color="auto"/>
            </w:tcBorders>
            <w:shd w:val="clear" w:color="auto" w:fill="auto"/>
            <w:vAlign w:val="center"/>
            <w:hideMark/>
          </w:tcPr>
          <w:p w14:paraId="6B2D2730"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8,641,288.72</w:t>
            </w:r>
          </w:p>
        </w:tc>
        <w:tc>
          <w:tcPr>
            <w:tcW w:w="1206" w:type="dxa"/>
            <w:tcBorders>
              <w:top w:val="nil"/>
              <w:left w:val="nil"/>
              <w:bottom w:val="single" w:sz="8" w:space="0" w:color="auto"/>
              <w:right w:val="single" w:sz="8" w:space="0" w:color="auto"/>
            </w:tcBorders>
            <w:shd w:val="clear" w:color="auto" w:fill="auto"/>
            <w:noWrap/>
            <w:vAlign w:val="center"/>
            <w:hideMark/>
          </w:tcPr>
          <w:p w14:paraId="3E45482F"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8,641,332.06</w:t>
            </w:r>
          </w:p>
        </w:tc>
        <w:tc>
          <w:tcPr>
            <w:tcW w:w="992" w:type="dxa"/>
            <w:tcBorders>
              <w:top w:val="nil"/>
              <w:left w:val="nil"/>
              <w:bottom w:val="single" w:sz="8" w:space="0" w:color="auto"/>
              <w:right w:val="single" w:sz="8" w:space="0" w:color="auto"/>
            </w:tcBorders>
            <w:shd w:val="clear" w:color="auto" w:fill="auto"/>
            <w:noWrap/>
            <w:vAlign w:val="center"/>
            <w:hideMark/>
          </w:tcPr>
          <w:p w14:paraId="02EF14B6"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-43.34</w:t>
            </w:r>
          </w:p>
        </w:tc>
        <w:tc>
          <w:tcPr>
            <w:tcW w:w="1206" w:type="dxa"/>
            <w:tcBorders>
              <w:top w:val="nil"/>
              <w:left w:val="nil"/>
              <w:bottom w:val="single" w:sz="8" w:space="0" w:color="auto"/>
              <w:right w:val="single" w:sz="8" w:space="0" w:color="auto"/>
            </w:tcBorders>
            <w:shd w:val="clear" w:color="auto" w:fill="auto"/>
            <w:noWrap/>
            <w:vAlign w:val="center"/>
            <w:hideMark/>
          </w:tcPr>
          <w:p w14:paraId="28FA313B"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10,514,987.82</w:t>
            </w:r>
          </w:p>
        </w:tc>
        <w:tc>
          <w:tcPr>
            <w:tcW w:w="1078" w:type="dxa"/>
            <w:tcBorders>
              <w:top w:val="nil"/>
              <w:left w:val="nil"/>
              <w:bottom w:val="single" w:sz="8" w:space="0" w:color="auto"/>
              <w:right w:val="single" w:sz="8" w:space="0" w:color="auto"/>
            </w:tcBorders>
            <w:shd w:val="clear" w:color="auto" w:fill="auto"/>
            <w:noWrap/>
            <w:vAlign w:val="center"/>
            <w:hideMark/>
          </w:tcPr>
          <w:p w14:paraId="213F773C"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-1,873,699.10</w:t>
            </w:r>
          </w:p>
        </w:tc>
      </w:tr>
      <w:tr w:rsidR="00EF4BC3" w:rsidRPr="009E5B39" w14:paraId="63D60EEB"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AB9F668"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de plasare (amplasare) a publicității (reclamei)</w:t>
            </w:r>
          </w:p>
        </w:tc>
        <w:tc>
          <w:tcPr>
            <w:tcW w:w="687" w:type="dxa"/>
            <w:tcBorders>
              <w:top w:val="nil"/>
              <w:left w:val="nil"/>
              <w:bottom w:val="single" w:sz="8" w:space="0" w:color="auto"/>
              <w:right w:val="single" w:sz="8" w:space="0" w:color="auto"/>
            </w:tcBorders>
            <w:shd w:val="clear" w:color="auto" w:fill="auto"/>
            <w:vAlign w:val="center"/>
            <w:hideMark/>
          </w:tcPr>
          <w:p w14:paraId="7B2EEC56"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114414</w:t>
            </w:r>
          </w:p>
        </w:tc>
        <w:tc>
          <w:tcPr>
            <w:tcW w:w="1206" w:type="dxa"/>
            <w:tcBorders>
              <w:top w:val="nil"/>
              <w:left w:val="nil"/>
              <w:bottom w:val="single" w:sz="8" w:space="0" w:color="auto"/>
              <w:right w:val="single" w:sz="8" w:space="0" w:color="auto"/>
            </w:tcBorders>
            <w:shd w:val="clear" w:color="auto" w:fill="auto"/>
            <w:vAlign w:val="center"/>
            <w:hideMark/>
          </w:tcPr>
          <w:p w14:paraId="522DA969"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849,016.94</w:t>
            </w:r>
          </w:p>
        </w:tc>
        <w:tc>
          <w:tcPr>
            <w:tcW w:w="1206" w:type="dxa"/>
            <w:tcBorders>
              <w:top w:val="nil"/>
              <w:left w:val="nil"/>
              <w:bottom w:val="single" w:sz="8" w:space="0" w:color="auto"/>
              <w:right w:val="single" w:sz="8" w:space="0" w:color="auto"/>
            </w:tcBorders>
            <w:shd w:val="clear" w:color="auto" w:fill="auto"/>
            <w:vAlign w:val="center"/>
            <w:hideMark/>
          </w:tcPr>
          <w:p w14:paraId="3CC8F8E3"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849,016.94</w:t>
            </w:r>
          </w:p>
        </w:tc>
        <w:tc>
          <w:tcPr>
            <w:tcW w:w="1206" w:type="dxa"/>
            <w:tcBorders>
              <w:top w:val="nil"/>
              <w:left w:val="nil"/>
              <w:bottom w:val="single" w:sz="8" w:space="0" w:color="auto"/>
              <w:right w:val="single" w:sz="8" w:space="0" w:color="auto"/>
            </w:tcBorders>
            <w:shd w:val="clear" w:color="auto" w:fill="auto"/>
            <w:noWrap/>
            <w:vAlign w:val="center"/>
            <w:hideMark/>
          </w:tcPr>
          <w:p w14:paraId="0500EAD8"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849,016.94</w:t>
            </w:r>
          </w:p>
        </w:tc>
        <w:tc>
          <w:tcPr>
            <w:tcW w:w="992" w:type="dxa"/>
            <w:tcBorders>
              <w:top w:val="nil"/>
              <w:left w:val="nil"/>
              <w:bottom w:val="single" w:sz="8" w:space="0" w:color="auto"/>
              <w:right w:val="single" w:sz="8" w:space="0" w:color="auto"/>
            </w:tcBorders>
            <w:shd w:val="clear" w:color="auto" w:fill="auto"/>
            <w:noWrap/>
            <w:vAlign w:val="center"/>
            <w:hideMark/>
          </w:tcPr>
          <w:p w14:paraId="0F3E13CC"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5B8A3CD8"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1,057,034.56</w:t>
            </w:r>
          </w:p>
        </w:tc>
        <w:tc>
          <w:tcPr>
            <w:tcW w:w="1078" w:type="dxa"/>
            <w:tcBorders>
              <w:top w:val="nil"/>
              <w:left w:val="nil"/>
              <w:bottom w:val="single" w:sz="8" w:space="0" w:color="auto"/>
              <w:right w:val="single" w:sz="8" w:space="0" w:color="auto"/>
            </w:tcBorders>
            <w:shd w:val="clear" w:color="auto" w:fill="auto"/>
            <w:noWrap/>
            <w:vAlign w:val="center"/>
            <w:hideMark/>
          </w:tcPr>
          <w:p w14:paraId="614D0C19"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-208,017.62</w:t>
            </w:r>
          </w:p>
        </w:tc>
      </w:tr>
      <w:tr w:rsidR="00EF4BC3" w:rsidRPr="009E5B39" w14:paraId="4DB6BBB9"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6074688"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dispozitivele publicitare</w:t>
            </w:r>
          </w:p>
        </w:tc>
        <w:tc>
          <w:tcPr>
            <w:tcW w:w="687" w:type="dxa"/>
            <w:tcBorders>
              <w:top w:val="nil"/>
              <w:left w:val="nil"/>
              <w:bottom w:val="single" w:sz="8" w:space="0" w:color="auto"/>
              <w:right w:val="single" w:sz="8" w:space="0" w:color="auto"/>
            </w:tcBorders>
            <w:shd w:val="clear" w:color="auto" w:fill="auto"/>
            <w:vAlign w:val="center"/>
            <w:hideMark/>
          </w:tcPr>
          <w:p w14:paraId="00299E3C"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114415</w:t>
            </w:r>
          </w:p>
        </w:tc>
        <w:tc>
          <w:tcPr>
            <w:tcW w:w="1206" w:type="dxa"/>
            <w:tcBorders>
              <w:top w:val="nil"/>
              <w:left w:val="nil"/>
              <w:bottom w:val="single" w:sz="8" w:space="0" w:color="auto"/>
              <w:right w:val="single" w:sz="8" w:space="0" w:color="auto"/>
            </w:tcBorders>
            <w:shd w:val="clear" w:color="auto" w:fill="auto"/>
            <w:vAlign w:val="center"/>
            <w:hideMark/>
          </w:tcPr>
          <w:p w14:paraId="57A81A91"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25,129,636.20</w:t>
            </w:r>
          </w:p>
        </w:tc>
        <w:tc>
          <w:tcPr>
            <w:tcW w:w="1206" w:type="dxa"/>
            <w:tcBorders>
              <w:top w:val="nil"/>
              <w:left w:val="nil"/>
              <w:bottom w:val="single" w:sz="8" w:space="0" w:color="auto"/>
              <w:right w:val="single" w:sz="8" w:space="0" w:color="auto"/>
            </w:tcBorders>
            <w:shd w:val="clear" w:color="auto" w:fill="auto"/>
            <w:vAlign w:val="center"/>
            <w:hideMark/>
          </w:tcPr>
          <w:p w14:paraId="67102469"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25,129,636.20</w:t>
            </w:r>
          </w:p>
        </w:tc>
        <w:tc>
          <w:tcPr>
            <w:tcW w:w="1206" w:type="dxa"/>
            <w:tcBorders>
              <w:top w:val="nil"/>
              <w:left w:val="nil"/>
              <w:bottom w:val="single" w:sz="8" w:space="0" w:color="auto"/>
              <w:right w:val="single" w:sz="8" w:space="0" w:color="auto"/>
            </w:tcBorders>
            <w:shd w:val="clear" w:color="auto" w:fill="auto"/>
            <w:noWrap/>
            <w:vAlign w:val="center"/>
            <w:hideMark/>
          </w:tcPr>
          <w:p w14:paraId="7151C268"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25,131,856.39</w:t>
            </w:r>
          </w:p>
        </w:tc>
        <w:tc>
          <w:tcPr>
            <w:tcW w:w="992" w:type="dxa"/>
            <w:tcBorders>
              <w:top w:val="nil"/>
              <w:left w:val="nil"/>
              <w:bottom w:val="single" w:sz="8" w:space="0" w:color="auto"/>
              <w:right w:val="single" w:sz="8" w:space="0" w:color="auto"/>
            </w:tcBorders>
            <w:shd w:val="clear" w:color="auto" w:fill="auto"/>
            <w:noWrap/>
            <w:vAlign w:val="center"/>
            <w:hideMark/>
          </w:tcPr>
          <w:p w14:paraId="689C100E"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-2,220.19</w:t>
            </w:r>
          </w:p>
        </w:tc>
        <w:tc>
          <w:tcPr>
            <w:tcW w:w="1206" w:type="dxa"/>
            <w:tcBorders>
              <w:top w:val="nil"/>
              <w:left w:val="nil"/>
              <w:bottom w:val="single" w:sz="8" w:space="0" w:color="auto"/>
              <w:right w:val="single" w:sz="8" w:space="0" w:color="auto"/>
            </w:tcBorders>
            <w:shd w:val="clear" w:color="auto" w:fill="auto"/>
            <w:noWrap/>
            <w:vAlign w:val="center"/>
            <w:hideMark/>
          </w:tcPr>
          <w:p w14:paraId="4620E817"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24,776,728.75</w:t>
            </w:r>
          </w:p>
        </w:tc>
        <w:tc>
          <w:tcPr>
            <w:tcW w:w="1078" w:type="dxa"/>
            <w:tcBorders>
              <w:top w:val="nil"/>
              <w:left w:val="nil"/>
              <w:bottom w:val="single" w:sz="8" w:space="0" w:color="auto"/>
              <w:right w:val="single" w:sz="8" w:space="0" w:color="auto"/>
            </w:tcBorders>
            <w:shd w:val="clear" w:color="auto" w:fill="auto"/>
            <w:noWrap/>
            <w:vAlign w:val="center"/>
            <w:hideMark/>
          </w:tcPr>
          <w:p w14:paraId="77748F9F"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352,907.45</w:t>
            </w:r>
          </w:p>
        </w:tc>
      </w:tr>
      <w:tr w:rsidR="00EF4BC3" w:rsidRPr="009E5B39" w14:paraId="49567CAC"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64C96E0"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parcare</w:t>
            </w:r>
          </w:p>
        </w:tc>
        <w:tc>
          <w:tcPr>
            <w:tcW w:w="687" w:type="dxa"/>
            <w:tcBorders>
              <w:top w:val="nil"/>
              <w:left w:val="nil"/>
              <w:bottom w:val="single" w:sz="8" w:space="0" w:color="auto"/>
              <w:right w:val="single" w:sz="8" w:space="0" w:color="auto"/>
            </w:tcBorders>
            <w:shd w:val="clear" w:color="auto" w:fill="auto"/>
            <w:vAlign w:val="center"/>
            <w:hideMark/>
          </w:tcPr>
          <w:p w14:paraId="7344F413"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114416</w:t>
            </w:r>
          </w:p>
        </w:tc>
        <w:tc>
          <w:tcPr>
            <w:tcW w:w="1206" w:type="dxa"/>
            <w:tcBorders>
              <w:top w:val="nil"/>
              <w:left w:val="nil"/>
              <w:bottom w:val="single" w:sz="8" w:space="0" w:color="auto"/>
              <w:right w:val="single" w:sz="8" w:space="0" w:color="auto"/>
            </w:tcBorders>
            <w:shd w:val="clear" w:color="auto" w:fill="auto"/>
            <w:vAlign w:val="center"/>
            <w:hideMark/>
          </w:tcPr>
          <w:p w14:paraId="375481E7"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4,605,567.71</w:t>
            </w:r>
          </w:p>
        </w:tc>
        <w:tc>
          <w:tcPr>
            <w:tcW w:w="1206" w:type="dxa"/>
            <w:tcBorders>
              <w:top w:val="nil"/>
              <w:left w:val="nil"/>
              <w:bottom w:val="single" w:sz="8" w:space="0" w:color="auto"/>
              <w:right w:val="single" w:sz="8" w:space="0" w:color="auto"/>
            </w:tcBorders>
            <w:shd w:val="clear" w:color="auto" w:fill="auto"/>
            <w:vAlign w:val="center"/>
            <w:hideMark/>
          </w:tcPr>
          <w:p w14:paraId="40083E47"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4,605,567.71</w:t>
            </w:r>
          </w:p>
        </w:tc>
        <w:tc>
          <w:tcPr>
            <w:tcW w:w="1206" w:type="dxa"/>
            <w:tcBorders>
              <w:top w:val="nil"/>
              <w:left w:val="nil"/>
              <w:bottom w:val="single" w:sz="8" w:space="0" w:color="auto"/>
              <w:right w:val="single" w:sz="8" w:space="0" w:color="auto"/>
            </w:tcBorders>
            <w:shd w:val="clear" w:color="auto" w:fill="auto"/>
            <w:noWrap/>
            <w:vAlign w:val="center"/>
            <w:hideMark/>
          </w:tcPr>
          <w:p w14:paraId="174A0EF3"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4,605,567.71</w:t>
            </w:r>
          </w:p>
        </w:tc>
        <w:tc>
          <w:tcPr>
            <w:tcW w:w="992" w:type="dxa"/>
            <w:tcBorders>
              <w:top w:val="nil"/>
              <w:left w:val="nil"/>
              <w:bottom w:val="single" w:sz="8" w:space="0" w:color="auto"/>
              <w:right w:val="single" w:sz="8" w:space="0" w:color="auto"/>
            </w:tcBorders>
            <w:shd w:val="clear" w:color="auto" w:fill="auto"/>
            <w:noWrap/>
            <w:vAlign w:val="center"/>
            <w:hideMark/>
          </w:tcPr>
          <w:p w14:paraId="0F2C3C00"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2F067690"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4,638,105.06</w:t>
            </w:r>
          </w:p>
        </w:tc>
        <w:tc>
          <w:tcPr>
            <w:tcW w:w="1078" w:type="dxa"/>
            <w:tcBorders>
              <w:top w:val="nil"/>
              <w:left w:val="nil"/>
              <w:bottom w:val="single" w:sz="8" w:space="0" w:color="auto"/>
              <w:right w:val="single" w:sz="8" w:space="0" w:color="auto"/>
            </w:tcBorders>
            <w:shd w:val="clear" w:color="auto" w:fill="auto"/>
            <w:noWrap/>
            <w:vAlign w:val="center"/>
            <w:hideMark/>
          </w:tcPr>
          <w:p w14:paraId="25FF2C62"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-32,537.35</w:t>
            </w:r>
          </w:p>
        </w:tc>
      </w:tr>
      <w:tr w:rsidR="00EF4BC3" w:rsidRPr="009E5B39" w14:paraId="72BF213A"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15F9C0DB"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parcaj</w:t>
            </w:r>
          </w:p>
        </w:tc>
        <w:tc>
          <w:tcPr>
            <w:tcW w:w="687" w:type="dxa"/>
            <w:tcBorders>
              <w:top w:val="nil"/>
              <w:left w:val="nil"/>
              <w:bottom w:val="single" w:sz="8" w:space="0" w:color="auto"/>
              <w:right w:val="single" w:sz="8" w:space="0" w:color="auto"/>
            </w:tcBorders>
            <w:shd w:val="clear" w:color="auto" w:fill="auto"/>
            <w:vAlign w:val="center"/>
            <w:hideMark/>
          </w:tcPr>
          <w:p w14:paraId="29685A64"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114417</w:t>
            </w:r>
          </w:p>
        </w:tc>
        <w:tc>
          <w:tcPr>
            <w:tcW w:w="1206" w:type="dxa"/>
            <w:tcBorders>
              <w:top w:val="nil"/>
              <w:left w:val="nil"/>
              <w:bottom w:val="single" w:sz="8" w:space="0" w:color="auto"/>
              <w:right w:val="single" w:sz="8" w:space="0" w:color="auto"/>
            </w:tcBorders>
            <w:shd w:val="clear" w:color="auto" w:fill="auto"/>
            <w:vAlign w:val="center"/>
            <w:hideMark/>
          </w:tcPr>
          <w:p w14:paraId="23607716"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-111</w:t>
            </w:r>
          </w:p>
        </w:tc>
        <w:tc>
          <w:tcPr>
            <w:tcW w:w="1206" w:type="dxa"/>
            <w:tcBorders>
              <w:top w:val="nil"/>
              <w:left w:val="nil"/>
              <w:bottom w:val="single" w:sz="8" w:space="0" w:color="auto"/>
              <w:right w:val="single" w:sz="8" w:space="0" w:color="auto"/>
            </w:tcBorders>
            <w:shd w:val="clear" w:color="auto" w:fill="auto"/>
            <w:vAlign w:val="center"/>
            <w:hideMark/>
          </w:tcPr>
          <w:p w14:paraId="46C548C7"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-111</w:t>
            </w:r>
          </w:p>
        </w:tc>
        <w:tc>
          <w:tcPr>
            <w:tcW w:w="1206" w:type="dxa"/>
            <w:tcBorders>
              <w:top w:val="nil"/>
              <w:left w:val="nil"/>
              <w:bottom w:val="single" w:sz="8" w:space="0" w:color="auto"/>
              <w:right w:val="single" w:sz="8" w:space="0" w:color="auto"/>
            </w:tcBorders>
            <w:shd w:val="clear" w:color="auto" w:fill="auto"/>
            <w:noWrap/>
            <w:vAlign w:val="center"/>
            <w:hideMark/>
          </w:tcPr>
          <w:p w14:paraId="1985E691"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-111</w:t>
            </w:r>
          </w:p>
        </w:tc>
        <w:tc>
          <w:tcPr>
            <w:tcW w:w="992" w:type="dxa"/>
            <w:tcBorders>
              <w:top w:val="nil"/>
              <w:left w:val="nil"/>
              <w:bottom w:val="single" w:sz="8" w:space="0" w:color="auto"/>
              <w:right w:val="single" w:sz="8" w:space="0" w:color="auto"/>
            </w:tcBorders>
            <w:shd w:val="clear" w:color="auto" w:fill="auto"/>
            <w:noWrap/>
            <w:vAlign w:val="center"/>
            <w:hideMark/>
          </w:tcPr>
          <w:p w14:paraId="40EB0E36"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148CF6AD"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w:t>
            </w:r>
          </w:p>
        </w:tc>
        <w:tc>
          <w:tcPr>
            <w:tcW w:w="1078" w:type="dxa"/>
            <w:tcBorders>
              <w:top w:val="nil"/>
              <w:left w:val="nil"/>
              <w:bottom w:val="single" w:sz="8" w:space="0" w:color="auto"/>
              <w:right w:val="single" w:sz="8" w:space="0" w:color="auto"/>
            </w:tcBorders>
            <w:shd w:val="clear" w:color="auto" w:fill="auto"/>
            <w:noWrap/>
            <w:vAlign w:val="center"/>
            <w:hideMark/>
          </w:tcPr>
          <w:p w14:paraId="7EE00224"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-111.00</w:t>
            </w:r>
          </w:p>
        </w:tc>
      </w:tr>
      <w:tr w:rsidR="00EF4BC3" w:rsidRPr="009E5B39" w14:paraId="0DDAB1EB"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96A9B8B"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unitățile comerciale si/sau de prestări servicii</w:t>
            </w:r>
          </w:p>
        </w:tc>
        <w:tc>
          <w:tcPr>
            <w:tcW w:w="687" w:type="dxa"/>
            <w:tcBorders>
              <w:top w:val="nil"/>
              <w:left w:val="nil"/>
              <w:bottom w:val="single" w:sz="8" w:space="0" w:color="auto"/>
              <w:right w:val="single" w:sz="8" w:space="0" w:color="auto"/>
            </w:tcBorders>
            <w:shd w:val="clear" w:color="auto" w:fill="auto"/>
            <w:vAlign w:val="center"/>
            <w:hideMark/>
          </w:tcPr>
          <w:p w14:paraId="79DDE581"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114418</w:t>
            </w:r>
          </w:p>
        </w:tc>
        <w:tc>
          <w:tcPr>
            <w:tcW w:w="1206" w:type="dxa"/>
            <w:tcBorders>
              <w:top w:val="nil"/>
              <w:left w:val="nil"/>
              <w:bottom w:val="single" w:sz="8" w:space="0" w:color="auto"/>
              <w:right w:val="single" w:sz="8" w:space="0" w:color="auto"/>
            </w:tcBorders>
            <w:shd w:val="clear" w:color="auto" w:fill="auto"/>
            <w:vAlign w:val="center"/>
            <w:hideMark/>
          </w:tcPr>
          <w:p w14:paraId="50BA870A"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141,746,727.82</w:t>
            </w:r>
          </w:p>
        </w:tc>
        <w:tc>
          <w:tcPr>
            <w:tcW w:w="1206" w:type="dxa"/>
            <w:tcBorders>
              <w:top w:val="nil"/>
              <w:left w:val="nil"/>
              <w:bottom w:val="single" w:sz="8" w:space="0" w:color="auto"/>
              <w:right w:val="single" w:sz="8" w:space="0" w:color="auto"/>
            </w:tcBorders>
            <w:shd w:val="clear" w:color="auto" w:fill="auto"/>
            <w:vAlign w:val="center"/>
            <w:hideMark/>
          </w:tcPr>
          <w:p w14:paraId="1EDB6A2B"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141,746,727.82</w:t>
            </w:r>
          </w:p>
        </w:tc>
        <w:tc>
          <w:tcPr>
            <w:tcW w:w="1206" w:type="dxa"/>
            <w:tcBorders>
              <w:top w:val="nil"/>
              <w:left w:val="nil"/>
              <w:bottom w:val="single" w:sz="8" w:space="0" w:color="auto"/>
              <w:right w:val="single" w:sz="8" w:space="0" w:color="auto"/>
            </w:tcBorders>
            <w:shd w:val="clear" w:color="auto" w:fill="auto"/>
            <w:noWrap/>
            <w:vAlign w:val="center"/>
            <w:hideMark/>
          </w:tcPr>
          <w:p w14:paraId="6284BDCC"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141,755,358.68</w:t>
            </w:r>
          </w:p>
        </w:tc>
        <w:tc>
          <w:tcPr>
            <w:tcW w:w="992" w:type="dxa"/>
            <w:tcBorders>
              <w:top w:val="nil"/>
              <w:left w:val="nil"/>
              <w:bottom w:val="single" w:sz="8" w:space="0" w:color="auto"/>
              <w:right w:val="single" w:sz="8" w:space="0" w:color="auto"/>
            </w:tcBorders>
            <w:shd w:val="clear" w:color="auto" w:fill="auto"/>
            <w:noWrap/>
            <w:vAlign w:val="center"/>
            <w:hideMark/>
          </w:tcPr>
          <w:p w14:paraId="19723492"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-8,630.86</w:t>
            </w:r>
          </w:p>
        </w:tc>
        <w:tc>
          <w:tcPr>
            <w:tcW w:w="1206" w:type="dxa"/>
            <w:tcBorders>
              <w:top w:val="nil"/>
              <w:left w:val="nil"/>
              <w:bottom w:val="single" w:sz="8" w:space="0" w:color="auto"/>
              <w:right w:val="single" w:sz="8" w:space="0" w:color="auto"/>
            </w:tcBorders>
            <w:shd w:val="clear" w:color="auto" w:fill="auto"/>
            <w:noWrap/>
            <w:vAlign w:val="center"/>
            <w:hideMark/>
          </w:tcPr>
          <w:p w14:paraId="4D578960"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142,501,574.06</w:t>
            </w:r>
          </w:p>
        </w:tc>
        <w:tc>
          <w:tcPr>
            <w:tcW w:w="1078" w:type="dxa"/>
            <w:tcBorders>
              <w:top w:val="nil"/>
              <w:left w:val="nil"/>
              <w:bottom w:val="single" w:sz="8" w:space="0" w:color="auto"/>
              <w:right w:val="single" w:sz="8" w:space="0" w:color="auto"/>
            </w:tcBorders>
            <w:shd w:val="clear" w:color="auto" w:fill="auto"/>
            <w:noWrap/>
            <w:vAlign w:val="center"/>
            <w:hideMark/>
          </w:tcPr>
          <w:p w14:paraId="323DF487"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-754,846.24</w:t>
            </w:r>
          </w:p>
        </w:tc>
      </w:tr>
      <w:tr w:rsidR="00EF4BC3" w:rsidRPr="009E5B39" w14:paraId="7E73C5B8"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19E833CE"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cazare</w:t>
            </w:r>
          </w:p>
        </w:tc>
        <w:tc>
          <w:tcPr>
            <w:tcW w:w="687" w:type="dxa"/>
            <w:tcBorders>
              <w:top w:val="nil"/>
              <w:left w:val="nil"/>
              <w:bottom w:val="single" w:sz="8" w:space="0" w:color="auto"/>
              <w:right w:val="single" w:sz="8" w:space="0" w:color="auto"/>
            </w:tcBorders>
            <w:shd w:val="clear" w:color="auto" w:fill="auto"/>
            <w:vAlign w:val="center"/>
            <w:hideMark/>
          </w:tcPr>
          <w:p w14:paraId="7C18187C"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114421</w:t>
            </w:r>
          </w:p>
        </w:tc>
        <w:tc>
          <w:tcPr>
            <w:tcW w:w="1206" w:type="dxa"/>
            <w:tcBorders>
              <w:top w:val="nil"/>
              <w:left w:val="nil"/>
              <w:bottom w:val="single" w:sz="8" w:space="0" w:color="auto"/>
              <w:right w:val="single" w:sz="8" w:space="0" w:color="auto"/>
            </w:tcBorders>
            <w:shd w:val="clear" w:color="auto" w:fill="auto"/>
            <w:vAlign w:val="center"/>
            <w:hideMark/>
          </w:tcPr>
          <w:p w14:paraId="43704528"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6,511,658.99</w:t>
            </w:r>
          </w:p>
        </w:tc>
        <w:tc>
          <w:tcPr>
            <w:tcW w:w="1206" w:type="dxa"/>
            <w:tcBorders>
              <w:top w:val="nil"/>
              <w:left w:val="nil"/>
              <w:bottom w:val="single" w:sz="8" w:space="0" w:color="auto"/>
              <w:right w:val="single" w:sz="8" w:space="0" w:color="auto"/>
            </w:tcBorders>
            <w:shd w:val="clear" w:color="auto" w:fill="auto"/>
            <w:vAlign w:val="center"/>
            <w:hideMark/>
          </w:tcPr>
          <w:p w14:paraId="4519EFF7"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6,511,658.99</w:t>
            </w:r>
          </w:p>
        </w:tc>
        <w:tc>
          <w:tcPr>
            <w:tcW w:w="1206" w:type="dxa"/>
            <w:tcBorders>
              <w:top w:val="nil"/>
              <w:left w:val="nil"/>
              <w:bottom w:val="single" w:sz="8" w:space="0" w:color="auto"/>
              <w:right w:val="single" w:sz="8" w:space="0" w:color="auto"/>
            </w:tcBorders>
            <w:shd w:val="clear" w:color="auto" w:fill="auto"/>
            <w:noWrap/>
            <w:vAlign w:val="center"/>
            <w:hideMark/>
          </w:tcPr>
          <w:p w14:paraId="0F17A7CE"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6,511,658.99</w:t>
            </w:r>
          </w:p>
        </w:tc>
        <w:tc>
          <w:tcPr>
            <w:tcW w:w="992" w:type="dxa"/>
            <w:tcBorders>
              <w:top w:val="nil"/>
              <w:left w:val="nil"/>
              <w:bottom w:val="single" w:sz="8" w:space="0" w:color="auto"/>
              <w:right w:val="single" w:sz="8" w:space="0" w:color="auto"/>
            </w:tcBorders>
            <w:shd w:val="clear" w:color="auto" w:fill="auto"/>
            <w:noWrap/>
            <w:vAlign w:val="center"/>
            <w:hideMark/>
          </w:tcPr>
          <w:p w14:paraId="198D51D8"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5D89944C"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7,050,685.74</w:t>
            </w:r>
          </w:p>
        </w:tc>
        <w:tc>
          <w:tcPr>
            <w:tcW w:w="1078" w:type="dxa"/>
            <w:tcBorders>
              <w:top w:val="nil"/>
              <w:left w:val="nil"/>
              <w:bottom w:val="single" w:sz="8" w:space="0" w:color="auto"/>
              <w:right w:val="single" w:sz="8" w:space="0" w:color="auto"/>
            </w:tcBorders>
            <w:shd w:val="clear" w:color="auto" w:fill="auto"/>
            <w:noWrap/>
            <w:vAlign w:val="center"/>
            <w:hideMark/>
          </w:tcPr>
          <w:p w14:paraId="020B16BB"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-539,026.75</w:t>
            </w:r>
          </w:p>
        </w:tc>
      </w:tr>
      <w:tr w:rsidR="00EF4BC3" w:rsidRPr="009E5B39" w14:paraId="37922924" w14:textId="77777777" w:rsidTr="0090556E">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A75101E"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balneară</w:t>
            </w:r>
          </w:p>
        </w:tc>
        <w:tc>
          <w:tcPr>
            <w:tcW w:w="687" w:type="dxa"/>
            <w:tcBorders>
              <w:top w:val="nil"/>
              <w:left w:val="nil"/>
              <w:bottom w:val="single" w:sz="8" w:space="0" w:color="auto"/>
              <w:right w:val="single" w:sz="8" w:space="0" w:color="auto"/>
            </w:tcBorders>
            <w:shd w:val="clear" w:color="auto" w:fill="auto"/>
            <w:vAlign w:val="center"/>
            <w:hideMark/>
          </w:tcPr>
          <w:p w14:paraId="37F82B70"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114422</w:t>
            </w:r>
          </w:p>
        </w:tc>
        <w:tc>
          <w:tcPr>
            <w:tcW w:w="1206" w:type="dxa"/>
            <w:tcBorders>
              <w:top w:val="nil"/>
              <w:left w:val="nil"/>
              <w:bottom w:val="single" w:sz="8" w:space="0" w:color="auto"/>
              <w:right w:val="single" w:sz="8" w:space="0" w:color="auto"/>
            </w:tcBorders>
            <w:shd w:val="clear" w:color="auto" w:fill="auto"/>
            <w:vAlign w:val="center"/>
            <w:hideMark/>
          </w:tcPr>
          <w:p w14:paraId="46A727AD"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0.00</w:t>
            </w:r>
          </w:p>
        </w:tc>
        <w:tc>
          <w:tcPr>
            <w:tcW w:w="1206" w:type="dxa"/>
            <w:tcBorders>
              <w:top w:val="nil"/>
              <w:left w:val="nil"/>
              <w:bottom w:val="single" w:sz="8" w:space="0" w:color="auto"/>
              <w:right w:val="single" w:sz="8" w:space="0" w:color="auto"/>
            </w:tcBorders>
            <w:shd w:val="clear" w:color="auto" w:fill="auto"/>
            <w:vAlign w:val="center"/>
            <w:hideMark/>
          </w:tcPr>
          <w:p w14:paraId="15A9F656"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345BF698"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0.00</w:t>
            </w:r>
          </w:p>
        </w:tc>
        <w:tc>
          <w:tcPr>
            <w:tcW w:w="992" w:type="dxa"/>
            <w:tcBorders>
              <w:top w:val="nil"/>
              <w:left w:val="nil"/>
              <w:bottom w:val="single" w:sz="8" w:space="0" w:color="auto"/>
              <w:right w:val="single" w:sz="8" w:space="0" w:color="auto"/>
            </w:tcBorders>
            <w:shd w:val="clear" w:color="auto" w:fill="auto"/>
            <w:noWrap/>
            <w:vAlign w:val="center"/>
            <w:hideMark/>
          </w:tcPr>
          <w:p w14:paraId="470FE548"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47DBE09C"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1543,61</w:t>
            </w:r>
          </w:p>
        </w:tc>
        <w:tc>
          <w:tcPr>
            <w:tcW w:w="1078" w:type="dxa"/>
            <w:tcBorders>
              <w:top w:val="nil"/>
              <w:left w:val="nil"/>
              <w:bottom w:val="single" w:sz="8" w:space="0" w:color="auto"/>
              <w:right w:val="single" w:sz="8" w:space="0" w:color="auto"/>
            </w:tcBorders>
            <w:shd w:val="clear" w:color="auto" w:fill="auto"/>
            <w:noWrap/>
            <w:vAlign w:val="center"/>
            <w:hideMark/>
          </w:tcPr>
          <w:p w14:paraId="59449843"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-1,543.61</w:t>
            </w:r>
          </w:p>
        </w:tc>
      </w:tr>
      <w:tr w:rsidR="00EF4BC3" w:rsidRPr="009E5B39" w14:paraId="595E15B1"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D412C02"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aplicarea simbolicii locale</w:t>
            </w:r>
          </w:p>
        </w:tc>
        <w:tc>
          <w:tcPr>
            <w:tcW w:w="687" w:type="dxa"/>
            <w:tcBorders>
              <w:top w:val="nil"/>
              <w:left w:val="nil"/>
              <w:bottom w:val="single" w:sz="8" w:space="0" w:color="auto"/>
              <w:right w:val="single" w:sz="8" w:space="0" w:color="auto"/>
            </w:tcBorders>
            <w:shd w:val="clear" w:color="auto" w:fill="auto"/>
            <w:vAlign w:val="center"/>
            <w:hideMark/>
          </w:tcPr>
          <w:p w14:paraId="48423213"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114423</w:t>
            </w:r>
          </w:p>
        </w:tc>
        <w:tc>
          <w:tcPr>
            <w:tcW w:w="1206" w:type="dxa"/>
            <w:tcBorders>
              <w:top w:val="nil"/>
              <w:left w:val="nil"/>
              <w:bottom w:val="single" w:sz="8" w:space="0" w:color="auto"/>
              <w:right w:val="single" w:sz="8" w:space="0" w:color="auto"/>
            </w:tcBorders>
            <w:shd w:val="clear" w:color="auto" w:fill="auto"/>
            <w:vAlign w:val="center"/>
            <w:hideMark/>
          </w:tcPr>
          <w:p w14:paraId="2E87EBBA"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736,309.69</w:t>
            </w:r>
          </w:p>
        </w:tc>
        <w:tc>
          <w:tcPr>
            <w:tcW w:w="1206" w:type="dxa"/>
            <w:tcBorders>
              <w:top w:val="nil"/>
              <w:left w:val="nil"/>
              <w:bottom w:val="single" w:sz="8" w:space="0" w:color="auto"/>
              <w:right w:val="single" w:sz="8" w:space="0" w:color="auto"/>
            </w:tcBorders>
            <w:shd w:val="clear" w:color="auto" w:fill="auto"/>
            <w:vAlign w:val="center"/>
            <w:hideMark/>
          </w:tcPr>
          <w:p w14:paraId="2F6B1CD5"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736,309.69</w:t>
            </w:r>
          </w:p>
        </w:tc>
        <w:tc>
          <w:tcPr>
            <w:tcW w:w="1206" w:type="dxa"/>
            <w:tcBorders>
              <w:top w:val="nil"/>
              <w:left w:val="nil"/>
              <w:bottom w:val="single" w:sz="8" w:space="0" w:color="auto"/>
              <w:right w:val="single" w:sz="8" w:space="0" w:color="auto"/>
            </w:tcBorders>
            <w:shd w:val="clear" w:color="auto" w:fill="auto"/>
            <w:noWrap/>
            <w:vAlign w:val="center"/>
            <w:hideMark/>
          </w:tcPr>
          <w:p w14:paraId="3B3DDE30"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736,309.69</w:t>
            </w:r>
          </w:p>
        </w:tc>
        <w:tc>
          <w:tcPr>
            <w:tcW w:w="992" w:type="dxa"/>
            <w:tcBorders>
              <w:top w:val="nil"/>
              <w:left w:val="nil"/>
              <w:bottom w:val="single" w:sz="8" w:space="0" w:color="auto"/>
              <w:right w:val="single" w:sz="8" w:space="0" w:color="auto"/>
            </w:tcBorders>
            <w:shd w:val="clear" w:color="auto" w:fill="auto"/>
            <w:noWrap/>
            <w:vAlign w:val="center"/>
            <w:hideMark/>
          </w:tcPr>
          <w:p w14:paraId="4F81A3DD"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3B78399D"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745,661.73</w:t>
            </w:r>
          </w:p>
        </w:tc>
        <w:tc>
          <w:tcPr>
            <w:tcW w:w="1078" w:type="dxa"/>
            <w:tcBorders>
              <w:top w:val="nil"/>
              <w:left w:val="nil"/>
              <w:bottom w:val="single" w:sz="8" w:space="0" w:color="auto"/>
              <w:right w:val="single" w:sz="8" w:space="0" w:color="auto"/>
            </w:tcBorders>
            <w:shd w:val="clear" w:color="auto" w:fill="auto"/>
            <w:noWrap/>
            <w:vAlign w:val="center"/>
            <w:hideMark/>
          </w:tcPr>
          <w:p w14:paraId="0E471E32"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-9,352.04</w:t>
            </w:r>
          </w:p>
        </w:tc>
      </w:tr>
      <w:tr w:rsidR="00EF4BC3" w:rsidRPr="009E5B39" w14:paraId="57BFA2F7"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973039E"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salubrizare</w:t>
            </w:r>
          </w:p>
        </w:tc>
        <w:tc>
          <w:tcPr>
            <w:tcW w:w="687" w:type="dxa"/>
            <w:tcBorders>
              <w:top w:val="nil"/>
              <w:left w:val="nil"/>
              <w:bottom w:val="single" w:sz="8" w:space="0" w:color="auto"/>
              <w:right w:val="single" w:sz="8" w:space="0" w:color="auto"/>
            </w:tcBorders>
            <w:shd w:val="clear" w:color="auto" w:fill="auto"/>
            <w:vAlign w:val="center"/>
            <w:hideMark/>
          </w:tcPr>
          <w:p w14:paraId="1C5E6F7C"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114426</w:t>
            </w:r>
          </w:p>
        </w:tc>
        <w:tc>
          <w:tcPr>
            <w:tcW w:w="1206" w:type="dxa"/>
            <w:tcBorders>
              <w:top w:val="nil"/>
              <w:left w:val="nil"/>
              <w:bottom w:val="single" w:sz="8" w:space="0" w:color="auto"/>
              <w:right w:val="single" w:sz="8" w:space="0" w:color="auto"/>
            </w:tcBorders>
            <w:shd w:val="clear" w:color="auto" w:fill="auto"/>
            <w:vAlign w:val="center"/>
            <w:hideMark/>
          </w:tcPr>
          <w:p w14:paraId="6DE7AC87"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86.15</w:t>
            </w:r>
          </w:p>
        </w:tc>
        <w:tc>
          <w:tcPr>
            <w:tcW w:w="1206" w:type="dxa"/>
            <w:tcBorders>
              <w:top w:val="nil"/>
              <w:left w:val="nil"/>
              <w:bottom w:val="single" w:sz="8" w:space="0" w:color="auto"/>
              <w:right w:val="single" w:sz="8" w:space="0" w:color="auto"/>
            </w:tcBorders>
            <w:shd w:val="clear" w:color="auto" w:fill="auto"/>
            <w:vAlign w:val="center"/>
            <w:hideMark/>
          </w:tcPr>
          <w:p w14:paraId="6BD2B7FE"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86.15</w:t>
            </w:r>
          </w:p>
        </w:tc>
        <w:tc>
          <w:tcPr>
            <w:tcW w:w="1206" w:type="dxa"/>
            <w:tcBorders>
              <w:top w:val="nil"/>
              <w:left w:val="nil"/>
              <w:bottom w:val="single" w:sz="8" w:space="0" w:color="auto"/>
              <w:right w:val="single" w:sz="8" w:space="0" w:color="auto"/>
            </w:tcBorders>
            <w:shd w:val="clear" w:color="auto" w:fill="auto"/>
            <w:noWrap/>
            <w:vAlign w:val="center"/>
            <w:hideMark/>
          </w:tcPr>
          <w:p w14:paraId="0DE97C58"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110.15</w:t>
            </w:r>
          </w:p>
        </w:tc>
        <w:tc>
          <w:tcPr>
            <w:tcW w:w="992" w:type="dxa"/>
            <w:tcBorders>
              <w:top w:val="nil"/>
              <w:left w:val="nil"/>
              <w:bottom w:val="single" w:sz="8" w:space="0" w:color="auto"/>
              <w:right w:val="single" w:sz="8" w:space="0" w:color="auto"/>
            </w:tcBorders>
            <w:shd w:val="clear" w:color="auto" w:fill="auto"/>
            <w:noWrap/>
            <w:vAlign w:val="center"/>
            <w:hideMark/>
          </w:tcPr>
          <w:p w14:paraId="5153F331"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-24.00</w:t>
            </w:r>
          </w:p>
        </w:tc>
        <w:tc>
          <w:tcPr>
            <w:tcW w:w="1206" w:type="dxa"/>
            <w:tcBorders>
              <w:top w:val="nil"/>
              <w:left w:val="nil"/>
              <w:bottom w:val="single" w:sz="8" w:space="0" w:color="auto"/>
              <w:right w:val="single" w:sz="8" w:space="0" w:color="auto"/>
            </w:tcBorders>
            <w:shd w:val="clear" w:color="auto" w:fill="auto"/>
            <w:noWrap/>
            <w:vAlign w:val="center"/>
            <w:hideMark/>
          </w:tcPr>
          <w:p w14:paraId="1CA5739F"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256.07</w:t>
            </w:r>
          </w:p>
        </w:tc>
        <w:tc>
          <w:tcPr>
            <w:tcW w:w="1078" w:type="dxa"/>
            <w:tcBorders>
              <w:top w:val="nil"/>
              <w:left w:val="nil"/>
              <w:bottom w:val="single" w:sz="8" w:space="0" w:color="auto"/>
              <w:right w:val="single" w:sz="8" w:space="0" w:color="auto"/>
            </w:tcBorders>
            <w:shd w:val="clear" w:color="auto" w:fill="auto"/>
            <w:noWrap/>
            <w:vAlign w:val="center"/>
            <w:hideMark/>
          </w:tcPr>
          <w:p w14:paraId="125165EB"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-169.92</w:t>
            </w:r>
          </w:p>
        </w:tc>
      </w:tr>
      <w:tr w:rsidR="00EF4BC3" w:rsidRPr="009E5B39" w14:paraId="7FDD06AA"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DDBB937"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patenta de întreprinzător</w:t>
            </w:r>
          </w:p>
        </w:tc>
        <w:tc>
          <w:tcPr>
            <w:tcW w:w="687" w:type="dxa"/>
            <w:tcBorders>
              <w:top w:val="nil"/>
              <w:left w:val="nil"/>
              <w:bottom w:val="single" w:sz="8" w:space="0" w:color="auto"/>
              <w:right w:val="single" w:sz="8" w:space="0" w:color="auto"/>
            </w:tcBorders>
            <w:shd w:val="clear" w:color="auto" w:fill="auto"/>
            <w:vAlign w:val="center"/>
            <w:hideMark/>
          </w:tcPr>
          <w:p w14:paraId="215D6ADE"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114522</w:t>
            </w:r>
          </w:p>
        </w:tc>
        <w:tc>
          <w:tcPr>
            <w:tcW w:w="1206" w:type="dxa"/>
            <w:tcBorders>
              <w:top w:val="nil"/>
              <w:left w:val="nil"/>
              <w:bottom w:val="single" w:sz="8" w:space="0" w:color="auto"/>
              <w:right w:val="single" w:sz="8" w:space="0" w:color="auto"/>
            </w:tcBorders>
            <w:shd w:val="clear" w:color="auto" w:fill="auto"/>
            <w:vAlign w:val="center"/>
            <w:hideMark/>
          </w:tcPr>
          <w:p w14:paraId="17D9921B"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9,975,131.00</w:t>
            </w:r>
          </w:p>
        </w:tc>
        <w:tc>
          <w:tcPr>
            <w:tcW w:w="1206" w:type="dxa"/>
            <w:tcBorders>
              <w:top w:val="nil"/>
              <w:left w:val="nil"/>
              <w:bottom w:val="single" w:sz="8" w:space="0" w:color="auto"/>
              <w:right w:val="single" w:sz="8" w:space="0" w:color="auto"/>
            </w:tcBorders>
            <w:shd w:val="clear" w:color="auto" w:fill="auto"/>
            <w:vAlign w:val="center"/>
            <w:hideMark/>
          </w:tcPr>
          <w:p w14:paraId="10C6C5EA"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9,975,131.00</w:t>
            </w:r>
          </w:p>
        </w:tc>
        <w:tc>
          <w:tcPr>
            <w:tcW w:w="1206" w:type="dxa"/>
            <w:tcBorders>
              <w:top w:val="nil"/>
              <w:left w:val="nil"/>
              <w:bottom w:val="single" w:sz="8" w:space="0" w:color="auto"/>
              <w:right w:val="single" w:sz="8" w:space="0" w:color="auto"/>
            </w:tcBorders>
            <w:shd w:val="clear" w:color="auto" w:fill="auto"/>
            <w:noWrap/>
            <w:vAlign w:val="center"/>
            <w:hideMark/>
          </w:tcPr>
          <w:p w14:paraId="34A36D03"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9,975,131.00</w:t>
            </w:r>
          </w:p>
        </w:tc>
        <w:tc>
          <w:tcPr>
            <w:tcW w:w="992" w:type="dxa"/>
            <w:tcBorders>
              <w:top w:val="nil"/>
              <w:left w:val="nil"/>
              <w:bottom w:val="single" w:sz="8" w:space="0" w:color="auto"/>
              <w:right w:val="single" w:sz="8" w:space="0" w:color="auto"/>
            </w:tcBorders>
            <w:shd w:val="clear" w:color="auto" w:fill="auto"/>
            <w:noWrap/>
            <w:vAlign w:val="center"/>
            <w:hideMark/>
          </w:tcPr>
          <w:p w14:paraId="7C99DF1B"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361118E7"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w:t>
            </w:r>
          </w:p>
        </w:tc>
        <w:tc>
          <w:tcPr>
            <w:tcW w:w="1078" w:type="dxa"/>
            <w:tcBorders>
              <w:top w:val="nil"/>
              <w:left w:val="nil"/>
              <w:bottom w:val="single" w:sz="8" w:space="0" w:color="auto"/>
              <w:right w:val="single" w:sz="8" w:space="0" w:color="auto"/>
            </w:tcBorders>
            <w:shd w:val="clear" w:color="auto" w:fill="auto"/>
            <w:noWrap/>
            <w:vAlign w:val="center"/>
            <w:hideMark/>
          </w:tcPr>
          <w:p w14:paraId="48F526C4"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9,975,131.00</w:t>
            </w:r>
          </w:p>
        </w:tc>
      </w:tr>
      <w:tr w:rsidR="00EF4BC3" w:rsidRPr="009E5B39" w14:paraId="79B6FB97"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D55A350"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apa</w:t>
            </w:r>
          </w:p>
        </w:tc>
        <w:tc>
          <w:tcPr>
            <w:tcW w:w="687" w:type="dxa"/>
            <w:tcBorders>
              <w:top w:val="nil"/>
              <w:left w:val="nil"/>
              <w:bottom w:val="single" w:sz="8" w:space="0" w:color="auto"/>
              <w:right w:val="single" w:sz="8" w:space="0" w:color="auto"/>
            </w:tcBorders>
            <w:shd w:val="clear" w:color="auto" w:fill="auto"/>
            <w:vAlign w:val="center"/>
            <w:hideMark/>
          </w:tcPr>
          <w:p w14:paraId="39672222"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114611</w:t>
            </w:r>
          </w:p>
        </w:tc>
        <w:tc>
          <w:tcPr>
            <w:tcW w:w="1206" w:type="dxa"/>
            <w:tcBorders>
              <w:top w:val="nil"/>
              <w:left w:val="nil"/>
              <w:bottom w:val="single" w:sz="8" w:space="0" w:color="auto"/>
              <w:right w:val="single" w:sz="8" w:space="0" w:color="auto"/>
            </w:tcBorders>
            <w:shd w:val="clear" w:color="auto" w:fill="auto"/>
            <w:vAlign w:val="center"/>
            <w:hideMark/>
          </w:tcPr>
          <w:p w14:paraId="449545AC"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305,924.56</w:t>
            </w:r>
          </w:p>
        </w:tc>
        <w:tc>
          <w:tcPr>
            <w:tcW w:w="1206" w:type="dxa"/>
            <w:tcBorders>
              <w:top w:val="nil"/>
              <w:left w:val="nil"/>
              <w:bottom w:val="single" w:sz="8" w:space="0" w:color="auto"/>
              <w:right w:val="single" w:sz="8" w:space="0" w:color="auto"/>
            </w:tcBorders>
            <w:shd w:val="clear" w:color="auto" w:fill="auto"/>
            <w:vAlign w:val="center"/>
            <w:hideMark/>
          </w:tcPr>
          <w:p w14:paraId="2D9EB0BA"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305,924.56</w:t>
            </w:r>
          </w:p>
        </w:tc>
        <w:tc>
          <w:tcPr>
            <w:tcW w:w="1206" w:type="dxa"/>
            <w:tcBorders>
              <w:top w:val="nil"/>
              <w:left w:val="nil"/>
              <w:bottom w:val="single" w:sz="8" w:space="0" w:color="auto"/>
              <w:right w:val="single" w:sz="8" w:space="0" w:color="auto"/>
            </w:tcBorders>
            <w:shd w:val="clear" w:color="auto" w:fill="auto"/>
            <w:noWrap/>
            <w:vAlign w:val="center"/>
            <w:hideMark/>
          </w:tcPr>
          <w:p w14:paraId="3BEE8FDC"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305,938.32</w:t>
            </w:r>
          </w:p>
        </w:tc>
        <w:tc>
          <w:tcPr>
            <w:tcW w:w="992" w:type="dxa"/>
            <w:tcBorders>
              <w:top w:val="nil"/>
              <w:left w:val="nil"/>
              <w:bottom w:val="single" w:sz="8" w:space="0" w:color="auto"/>
              <w:right w:val="single" w:sz="8" w:space="0" w:color="auto"/>
            </w:tcBorders>
            <w:shd w:val="clear" w:color="auto" w:fill="auto"/>
            <w:noWrap/>
            <w:vAlign w:val="center"/>
            <w:hideMark/>
          </w:tcPr>
          <w:p w14:paraId="4A11BEEB"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-13.76</w:t>
            </w:r>
          </w:p>
        </w:tc>
        <w:tc>
          <w:tcPr>
            <w:tcW w:w="1206" w:type="dxa"/>
            <w:tcBorders>
              <w:top w:val="nil"/>
              <w:left w:val="nil"/>
              <w:bottom w:val="single" w:sz="8" w:space="0" w:color="auto"/>
              <w:right w:val="single" w:sz="8" w:space="0" w:color="auto"/>
            </w:tcBorders>
            <w:shd w:val="clear" w:color="auto" w:fill="auto"/>
            <w:noWrap/>
            <w:vAlign w:val="center"/>
            <w:hideMark/>
          </w:tcPr>
          <w:p w14:paraId="25D6089A"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319,907.02</w:t>
            </w:r>
          </w:p>
        </w:tc>
        <w:tc>
          <w:tcPr>
            <w:tcW w:w="1078" w:type="dxa"/>
            <w:tcBorders>
              <w:top w:val="nil"/>
              <w:left w:val="nil"/>
              <w:bottom w:val="single" w:sz="8" w:space="0" w:color="auto"/>
              <w:right w:val="single" w:sz="8" w:space="0" w:color="auto"/>
            </w:tcBorders>
            <w:shd w:val="clear" w:color="auto" w:fill="auto"/>
            <w:noWrap/>
            <w:vAlign w:val="center"/>
            <w:hideMark/>
          </w:tcPr>
          <w:p w14:paraId="1F14BD83"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-13,982.46</w:t>
            </w:r>
          </w:p>
        </w:tc>
      </w:tr>
      <w:tr w:rsidR="00EF4BC3" w:rsidRPr="009E5B39" w14:paraId="2A9F6C3D"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BDEC81D"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extragerea mineralelor utile</w:t>
            </w:r>
          </w:p>
        </w:tc>
        <w:tc>
          <w:tcPr>
            <w:tcW w:w="687" w:type="dxa"/>
            <w:tcBorders>
              <w:top w:val="nil"/>
              <w:left w:val="nil"/>
              <w:bottom w:val="single" w:sz="8" w:space="0" w:color="auto"/>
              <w:right w:val="single" w:sz="8" w:space="0" w:color="auto"/>
            </w:tcBorders>
            <w:shd w:val="clear" w:color="auto" w:fill="auto"/>
            <w:vAlign w:val="center"/>
            <w:hideMark/>
          </w:tcPr>
          <w:p w14:paraId="2CAFEEE8"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114612</w:t>
            </w:r>
          </w:p>
        </w:tc>
        <w:tc>
          <w:tcPr>
            <w:tcW w:w="1206" w:type="dxa"/>
            <w:tcBorders>
              <w:top w:val="nil"/>
              <w:left w:val="nil"/>
              <w:bottom w:val="single" w:sz="8" w:space="0" w:color="auto"/>
              <w:right w:val="single" w:sz="8" w:space="0" w:color="auto"/>
            </w:tcBorders>
            <w:shd w:val="clear" w:color="auto" w:fill="auto"/>
            <w:vAlign w:val="center"/>
            <w:hideMark/>
          </w:tcPr>
          <w:p w14:paraId="746D032F"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22,983.71</w:t>
            </w:r>
          </w:p>
        </w:tc>
        <w:tc>
          <w:tcPr>
            <w:tcW w:w="1206" w:type="dxa"/>
            <w:tcBorders>
              <w:top w:val="nil"/>
              <w:left w:val="nil"/>
              <w:bottom w:val="single" w:sz="8" w:space="0" w:color="auto"/>
              <w:right w:val="single" w:sz="8" w:space="0" w:color="auto"/>
            </w:tcBorders>
            <w:shd w:val="clear" w:color="auto" w:fill="auto"/>
            <w:vAlign w:val="center"/>
            <w:hideMark/>
          </w:tcPr>
          <w:p w14:paraId="1520182A"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22,983.71</w:t>
            </w:r>
          </w:p>
        </w:tc>
        <w:tc>
          <w:tcPr>
            <w:tcW w:w="1206" w:type="dxa"/>
            <w:tcBorders>
              <w:top w:val="nil"/>
              <w:left w:val="nil"/>
              <w:bottom w:val="single" w:sz="8" w:space="0" w:color="auto"/>
              <w:right w:val="single" w:sz="8" w:space="0" w:color="auto"/>
            </w:tcBorders>
            <w:shd w:val="clear" w:color="auto" w:fill="auto"/>
            <w:noWrap/>
            <w:vAlign w:val="center"/>
            <w:hideMark/>
          </w:tcPr>
          <w:p w14:paraId="0B4BC0ED"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22,983.71</w:t>
            </w:r>
          </w:p>
        </w:tc>
        <w:tc>
          <w:tcPr>
            <w:tcW w:w="992" w:type="dxa"/>
            <w:tcBorders>
              <w:top w:val="nil"/>
              <w:left w:val="nil"/>
              <w:bottom w:val="single" w:sz="8" w:space="0" w:color="auto"/>
              <w:right w:val="single" w:sz="8" w:space="0" w:color="auto"/>
            </w:tcBorders>
            <w:shd w:val="clear" w:color="auto" w:fill="auto"/>
            <w:noWrap/>
            <w:vAlign w:val="center"/>
            <w:hideMark/>
          </w:tcPr>
          <w:p w14:paraId="74350A61"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31DC139D"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109,807.76</w:t>
            </w:r>
          </w:p>
        </w:tc>
        <w:tc>
          <w:tcPr>
            <w:tcW w:w="1078" w:type="dxa"/>
            <w:tcBorders>
              <w:top w:val="nil"/>
              <w:left w:val="nil"/>
              <w:bottom w:val="single" w:sz="8" w:space="0" w:color="auto"/>
              <w:right w:val="single" w:sz="8" w:space="0" w:color="auto"/>
            </w:tcBorders>
            <w:shd w:val="clear" w:color="auto" w:fill="auto"/>
            <w:noWrap/>
            <w:vAlign w:val="center"/>
            <w:hideMark/>
          </w:tcPr>
          <w:p w14:paraId="62E948EC"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-86,824.05</w:t>
            </w:r>
          </w:p>
        </w:tc>
      </w:tr>
      <w:tr w:rsidR="00EF4BC3" w:rsidRPr="009E5B39" w14:paraId="0606F0C0"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1082638"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lemnul eliberat pe picior</w:t>
            </w:r>
          </w:p>
        </w:tc>
        <w:tc>
          <w:tcPr>
            <w:tcW w:w="687" w:type="dxa"/>
            <w:tcBorders>
              <w:top w:val="nil"/>
              <w:left w:val="nil"/>
              <w:bottom w:val="single" w:sz="8" w:space="0" w:color="auto"/>
              <w:right w:val="single" w:sz="8" w:space="0" w:color="auto"/>
            </w:tcBorders>
            <w:shd w:val="clear" w:color="auto" w:fill="auto"/>
            <w:vAlign w:val="center"/>
            <w:hideMark/>
          </w:tcPr>
          <w:p w14:paraId="70AF05D0"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114613</w:t>
            </w:r>
          </w:p>
        </w:tc>
        <w:tc>
          <w:tcPr>
            <w:tcW w:w="1206" w:type="dxa"/>
            <w:tcBorders>
              <w:top w:val="nil"/>
              <w:left w:val="nil"/>
              <w:bottom w:val="single" w:sz="8" w:space="0" w:color="auto"/>
              <w:right w:val="single" w:sz="8" w:space="0" w:color="auto"/>
            </w:tcBorders>
            <w:shd w:val="clear" w:color="auto" w:fill="auto"/>
            <w:vAlign w:val="center"/>
            <w:hideMark/>
          </w:tcPr>
          <w:p w14:paraId="057EE3BE"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-0.77</w:t>
            </w:r>
          </w:p>
        </w:tc>
        <w:tc>
          <w:tcPr>
            <w:tcW w:w="1206" w:type="dxa"/>
            <w:tcBorders>
              <w:top w:val="nil"/>
              <w:left w:val="nil"/>
              <w:bottom w:val="single" w:sz="8" w:space="0" w:color="auto"/>
              <w:right w:val="single" w:sz="8" w:space="0" w:color="auto"/>
            </w:tcBorders>
            <w:shd w:val="clear" w:color="auto" w:fill="auto"/>
            <w:vAlign w:val="center"/>
            <w:hideMark/>
          </w:tcPr>
          <w:p w14:paraId="6FF3A824"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-0.77</w:t>
            </w:r>
          </w:p>
        </w:tc>
        <w:tc>
          <w:tcPr>
            <w:tcW w:w="1206" w:type="dxa"/>
            <w:tcBorders>
              <w:top w:val="nil"/>
              <w:left w:val="nil"/>
              <w:bottom w:val="single" w:sz="8" w:space="0" w:color="auto"/>
              <w:right w:val="single" w:sz="8" w:space="0" w:color="auto"/>
            </w:tcBorders>
            <w:shd w:val="clear" w:color="auto" w:fill="auto"/>
            <w:noWrap/>
            <w:vAlign w:val="center"/>
            <w:hideMark/>
          </w:tcPr>
          <w:p w14:paraId="71866F27"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-0.77</w:t>
            </w:r>
          </w:p>
        </w:tc>
        <w:tc>
          <w:tcPr>
            <w:tcW w:w="992" w:type="dxa"/>
            <w:tcBorders>
              <w:top w:val="nil"/>
              <w:left w:val="nil"/>
              <w:bottom w:val="single" w:sz="8" w:space="0" w:color="auto"/>
              <w:right w:val="single" w:sz="8" w:space="0" w:color="auto"/>
            </w:tcBorders>
            <w:shd w:val="clear" w:color="auto" w:fill="auto"/>
            <w:noWrap/>
            <w:vAlign w:val="center"/>
            <w:hideMark/>
          </w:tcPr>
          <w:p w14:paraId="4D631198"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6CA6D9BF"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-0.37</w:t>
            </w:r>
          </w:p>
        </w:tc>
        <w:tc>
          <w:tcPr>
            <w:tcW w:w="1078" w:type="dxa"/>
            <w:tcBorders>
              <w:top w:val="nil"/>
              <w:left w:val="nil"/>
              <w:bottom w:val="single" w:sz="8" w:space="0" w:color="auto"/>
              <w:right w:val="single" w:sz="8" w:space="0" w:color="auto"/>
            </w:tcBorders>
            <w:shd w:val="clear" w:color="auto" w:fill="auto"/>
            <w:noWrap/>
            <w:vAlign w:val="center"/>
            <w:hideMark/>
          </w:tcPr>
          <w:p w14:paraId="57FC52F2"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-0.40</w:t>
            </w:r>
          </w:p>
        </w:tc>
      </w:tr>
      <w:tr w:rsidR="00EF4BC3" w:rsidRPr="009E5B39" w14:paraId="2A589A1E"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34E9944"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efectuarea explorărilor geologice</w:t>
            </w:r>
          </w:p>
        </w:tc>
        <w:tc>
          <w:tcPr>
            <w:tcW w:w="687" w:type="dxa"/>
            <w:tcBorders>
              <w:top w:val="nil"/>
              <w:left w:val="nil"/>
              <w:bottom w:val="single" w:sz="8" w:space="0" w:color="auto"/>
              <w:right w:val="single" w:sz="8" w:space="0" w:color="auto"/>
            </w:tcBorders>
            <w:shd w:val="clear" w:color="auto" w:fill="auto"/>
            <w:vAlign w:val="center"/>
            <w:hideMark/>
          </w:tcPr>
          <w:p w14:paraId="095AA34B"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114622</w:t>
            </w:r>
          </w:p>
        </w:tc>
        <w:tc>
          <w:tcPr>
            <w:tcW w:w="1206" w:type="dxa"/>
            <w:tcBorders>
              <w:top w:val="nil"/>
              <w:left w:val="nil"/>
              <w:bottom w:val="single" w:sz="8" w:space="0" w:color="auto"/>
              <w:right w:val="single" w:sz="8" w:space="0" w:color="auto"/>
            </w:tcBorders>
            <w:shd w:val="clear" w:color="auto" w:fill="auto"/>
            <w:vAlign w:val="center"/>
            <w:hideMark/>
          </w:tcPr>
          <w:p w14:paraId="753722B3"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62,830.96</w:t>
            </w:r>
          </w:p>
        </w:tc>
        <w:tc>
          <w:tcPr>
            <w:tcW w:w="1206" w:type="dxa"/>
            <w:tcBorders>
              <w:top w:val="nil"/>
              <w:left w:val="nil"/>
              <w:bottom w:val="single" w:sz="8" w:space="0" w:color="auto"/>
              <w:right w:val="single" w:sz="8" w:space="0" w:color="auto"/>
            </w:tcBorders>
            <w:shd w:val="clear" w:color="auto" w:fill="auto"/>
            <w:vAlign w:val="center"/>
            <w:hideMark/>
          </w:tcPr>
          <w:p w14:paraId="5F3B1E8B"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62,830.96</w:t>
            </w:r>
          </w:p>
        </w:tc>
        <w:tc>
          <w:tcPr>
            <w:tcW w:w="1206" w:type="dxa"/>
            <w:tcBorders>
              <w:top w:val="nil"/>
              <w:left w:val="nil"/>
              <w:bottom w:val="single" w:sz="8" w:space="0" w:color="auto"/>
              <w:right w:val="single" w:sz="8" w:space="0" w:color="auto"/>
            </w:tcBorders>
            <w:shd w:val="clear" w:color="auto" w:fill="auto"/>
            <w:noWrap/>
            <w:vAlign w:val="center"/>
            <w:hideMark/>
          </w:tcPr>
          <w:p w14:paraId="7A0F9B86"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62,830.96</w:t>
            </w:r>
          </w:p>
        </w:tc>
        <w:tc>
          <w:tcPr>
            <w:tcW w:w="992" w:type="dxa"/>
            <w:tcBorders>
              <w:top w:val="nil"/>
              <w:left w:val="nil"/>
              <w:bottom w:val="single" w:sz="8" w:space="0" w:color="auto"/>
              <w:right w:val="single" w:sz="8" w:space="0" w:color="auto"/>
            </w:tcBorders>
            <w:shd w:val="clear" w:color="auto" w:fill="auto"/>
            <w:noWrap/>
            <w:vAlign w:val="center"/>
            <w:hideMark/>
          </w:tcPr>
          <w:p w14:paraId="43CE6C80"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6125380D"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24,187.06</w:t>
            </w:r>
          </w:p>
        </w:tc>
        <w:tc>
          <w:tcPr>
            <w:tcW w:w="1078" w:type="dxa"/>
            <w:tcBorders>
              <w:top w:val="nil"/>
              <w:left w:val="nil"/>
              <w:bottom w:val="single" w:sz="8" w:space="0" w:color="auto"/>
              <w:right w:val="single" w:sz="8" w:space="0" w:color="auto"/>
            </w:tcBorders>
            <w:shd w:val="clear" w:color="auto" w:fill="auto"/>
            <w:noWrap/>
            <w:vAlign w:val="center"/>
            <w:hideMark/>
          </w:tcPr>
          <w:p w14:paraId="6BE4247C"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38,643.90</w:t>
            </w:r>
          </w:p>
        </w:tc>
      </w:tr>
      <w:tr w:rsidR="00EF4BC3" w:rsidRPr="009E5B39" w14:paraId="45E0D6E5"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41D281F"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folosirea spatiilor subterane in scopul construcției obiectivelor subterane, altele decât cele destinate extracției mineralelor utile</w:t>
            </w:r>
          </w:p>
        </w:tc>
        <w:tc>
          <w:tcPr>
            <w:tcW w:w="687" w:type="dxa"/>
            <w:tcBorders>
              <w:top w:val="nil"/>
              <w:left w:val="nil"/>
              <w:bottom w:val="single" w:sz="8" w:space="0" w:color="auto"/>
              <w:right w:val="single" w:sz="8" w:space="0" w:color="auto"/>
            </w:tcBorders>
            <w:shd w:val="clear" w:color="auto" w:fill="auto"/>
            <w:vAlign w:val="center"/>
            <w:hideMark/>
          </w:tcPr>
          <w:p w14:paraId="0D990215"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114623</w:t>
            </w:r>
          </w:p>
        </w:tc>
        <w:tc>
          <w:tcPr>
            <w:tcW w:w="1206" w:type="dxa"/>
            <w:tcBorders>
              <w:top w:val="nil"/>
              <w:left w:val="nil"/>
              <w:bottom w:val="single" w:sz="8" w:space="0" w:color="auto"/>
              <w:right w:val="single" w:sz="8" w:space="0" w:color="auto"/>
            </w:tcBorders>
            <w:shd w:val="clear" w:color="auto" w:fill="auto"/>
            <w:vAlign w:val="center"/>
            <w:hideMark/>
          </w:tcPr>
          <w:p w14:paraId="41F1AAC8"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33.58</w:t>
            </w:r>
          </w:p>
        </w:tc>
        <w:tc>
          <w:tcPr>
            <w:tcW w:w="1206" w:type="dxa"/>
            <w:tcBorders>
              <w:top w:val="nil"/>
              <w:left w:val="nil"/>
              <w:bottom w:val="single" w:sz="8" w:space="0" w:color="auto"/>
              <w:right w:val="single" w:sz="8" w:space="0" w:color="auto"/>
            </w:tcBorders>
            <w:shd w:val="clear" w:color="auto" w:fill="auto"/>
            <w:vAlign w:val="center"/>
            <w:hideMark/>
          </w:tcPr>
          <w:p w14:paraId="6F319B9C"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33.58</w:t>
            </w:r>
          </w:p>
        </w:tc>
        <w:tc>
          <w:tcPr>
            <w:tcW w:w="1206" w:type="dxa"/>
            <w:tcBorders>
              <w:top w:val="nil"/>
              <w:left w:val="nil"/>
              <w:bottom w:val="single" w:sz="8" w:space="0" w:color="auto"/>
              <w:right w:val="single" w:sz="8" w:space="0" w:color="auto"/>
            </w:tcBorders>
            <w:shd w:val="clear" w:color="auto" w:fill="auto"/>
            <w:noWrap/>
            <w:vAlign w:val="center"/>
            <w:hideMark/>
          </w:tcPr>
          <w:p w14:paraId="5D2BB185"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33.58</w:t>
            </w:r>
          </w:p>
        </w:tc>
        <w:tc>
          <w:tcPr>
            <w:tcW w:w="992" w:type="dxa"/>
            <w:tcBorders>
              <w:top w:val="nil"/>
              <w:left w:val="nil"/>
              <w:bottom w:val="single" w:sz="8" w:space="0" w:color="auto"/>
              <w:right w:val="single" w:sz="8" w:space="0" w:color="auto"/>
            </w:tcBorders>
            <w:shd w:val="clear" w:color="auto" w:fill="auto"/>
            <w:noWrap/>
            <w:vAlign w:val="center"/>
            <w:hideMark/>
          </w:tcPr>
          <w:p w14:paraId="70463346"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5029FD37"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4.28</w:t>
            </w:r>
          </w:p>
        </w:tc>
        <w:tc>
          <w:tcPr>
            <w:tcW w:w="1078" w:type="dxa"/>
            <w:tcBorders>
              <w:top w:val="nil"/>
              <w:left w:val="nil"/>
              <w:bottom w:val="single" w:sz="8" w:space="0" w:color="auto"/>
              <w:right w:val="single" w:sz="8" w:space="0" w:color="auto"/>
            </w:tcBorders>
            <w:shd w:val="clear" w:color="auto" w:fill="auto"/>
            <w:noWrap/>
            <w:vAlign w:val="center"/>
            <w:hideMark/>
          </w:tcPr>
          <w:p w14:paraId="75E3F953"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29.30</w:t>
            </w:r>
          </w:p>
        </w:tc>
      </w:tr>
      <w:tr w:rsidR="00EF4BC3" w:rsidRPr="009E5B39" w14:paraId="67B040DB"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DA0DED7"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pentru exploatarea  construcțiilor subterane in scopul desfășurării activității de întreprinzător, altele decât cele destinate extracției mineralelor utile</w:t>
            </w:r>
          </w:p>
        </w:tc>
        <w:tc>
          <w:tcPr>
            <w:tcW w:w="687" w:type="dxa"/>
            <w:tcBorders>
              <w:top w:val="nil"/>
              <w:left w:val="nil"/>
              <w:bottom w:val="single" w:sz="8" w:space="0" w:color="auto"/>
              <w:right w:val="single" w:sz="8" w:space="0" w:color="auto"/>
            </w:tcBorders>
            <w:shd w:val="clear" w:color="auto" w:fill="auto"/>
            <w:vAlign w:val="center"/>
            <w:hideMark/>
          </w:tcPr>
          <w:p w14:paraId="7F91BB2A"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114624</w:t>
            </w:r>
          </w:p>
        </w:tc>
        <w:tc>
          <w:tcPr>
            <w:tcW w:w="1206" w:type="dxa"/>
            <w:tcBorders>
              <w:top w:val="nil"/>
              <w:left w:val="nil"/>
              <w:bottom w:val="single" w:sz="8" w:space="0" w:color="auto"/>
              <w:right w:val="single" w:sz="8" w:space="0" w:color="auto"/>
            </w:tcBorders>
            <w:shd w:val="clear" w:color="auto" w:fill="auto"/>
            <w:vAlign w:val="center"/>
            <w:hideMark/>
          </w:tcPr>
          <w:p w14:paraId="14C62B07"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6,907.71</w:t>
            </w:r>
          </w:p>
        </w:tc>
        <w:tc>
          <w:tcPr>
            <w:tcW w:w="1206" w:type="dxa"/>
            <w:tcBorders>
              <w:top w:val="nil"/>
              <w:left w:val="nil"/>
              <w:bottom w:val="single" w:sz="8" w:space="0" w:color="auto"/>
              <w:right w:val="single" w:sz="8" w:space="0" w:color="auto"/>
            </w:tcBorders>
            <w:shd w:val="clear" w:color="auto" w:fill="auto"/>
            <w:vAlign w:val="center"/>
            <w:hideMark/>
          </w:tcPr>
          <w:p w14:paraId="116D6D42"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6,907.71</w:t>
            </w:r>
          </w:p>
        </w:tc>
        <w:tc>
          <w:tcPr>
            <w:tcW w:w="1206" w:type="dxa"/>
            <w:tcBorders>
              <w:top w:val="nil"/>
              <w:left w:val="nil"/>
              <w:bottom w:val="single" w:sz="8" w:space="0" w:color="auto"/>
              <w:right w:val="single" w:sz="8" w:space="0" w:color="auto"/>
            </w:tcBorders>
            <w:shd w:val="clear" w:color="auto" w:fill="auto"/>
            <w:noWrap/>
            <w:vAlign w:val="center"/>
            <w:hideMark/>
          </w:tcPr>
          <w:p w14:paraId="2E053BEB"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6,824.89</w:t>
            </w:r>
          </w:p>
        </w:tc>
        <w:tc>
          <w:tcPr>
            <w:tcW w:w="992" w:type="dxa"/>
            <w:tcBorders>
              <w:top w:val="nil"/>
              <w:left w:val="nil"/>
              <w:bottom w:val="single" w:sz="8" w:space="0" w:color="auto"/>
              <w:right w:val="single" w:sz="8" w:space="0" w:color="auto"/>
            </w:tcBorders>
            <w:shd w:val="clear" w:color="auto" w:fill="auto"/>
            <w:noWrap/>
            <w:vAlign w:val="center"/>
            <w:hideMark/>
          </w:tcPr>
          <w:p w14:paraId="19D87007"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82.82</w:t>
            </w:r>
          </w:p>
        </w:tc>
        <w:tc>
          <w:tcPr>
            <w:tcW w:w="1206" w:type="dxa"/>
            <w:tcBorders>
              <w:top w:val="nil"/>
              <w:left w:val="nil"/>
              <w:bottom w:val="single" w:sz="8" w:space="0" w:color="auto"/>
              <w:right w:val="single" w:sz="8" w:space="0" w:color="auto"/>
            </w:tcBorders>
            <w:shd w:val="clear" w:color="auto" w:fill="auto"/>
            <w:noWrap/>
            <w:vAlign w:val="center"/>
            <w:hideMark/>
          </w:tcPr>
          <w:p w14:paraId="1F4E853A"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28,853.19</w:t>
            </w:r>
          </w:p>
        </w:tc>
        <w:tc>
          <w:tcPr>
            <w:tcW w:w="1078" w:type="dxa"/>
            <w:tcBorders>
              <w:top w:val="nil"/>
              <w:left w:val="nil"/>
              <w:bottom w:val="single" w:sz="8" w:space="0" w:color="auto"/>
              <w:right w:val="single" w:sz="8" w:space="0" w:color="auto"/>
            </w:tcBorders>
            <w:shd w:val="clear" w:color="auto" w:fill="auto"/>
            <w:noWrap/>
            <w:vAlign w:val="center"/>
            <w:hideMark/>
          </w:tcPr>
          <w:p w14:paraId="2259BCE4"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-21,945.48</w:t>
            </w:r>
          </w:p>
        </w:tc>
      </w:tr>
      <w:tr w:rsidR="00EF4BC3" w:rsidRPr="009E5B39" w14:paraId="71B4382B"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FB4FD14" w14:textId="77777777"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Dobânzi încasate la soldurile mijloacelor bănești la conturile bancare ale proiectelor finanțate din surse externe conform prevederilor acordurilor</w:t>
            </w:r>
          </w:p>
        </w:tc>
        <w:tc>
          <w:tcPr>
            <w:tcW w:w="687" w:type="dxa"/>
            <w:tcBorders>
              <w:top w:val="nil"/>
              <w:left w:val="nil"/>
              <w:bottom w:val="single" w:sz="8" w:space="0" w:color="auto"/>
              <w:right w:val="single" w:sz="8" w:space="0" w:color="auto"/>
            </w:tcBorders>
            <w:shd w:val="clear" w:color="auto" w:fill="auto"/>
            <w:vAlign w:val="center"/>
            <w:hideMark/>
          </w:tcPr>
          <w:p w14:paraId="0D5DDB36"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141117</w:t>
            </w:r>
          </w:p>
        </w:tc>
        <w:tc>
          <w:tcPr>
            <w:tcW w:w="1206" w:type="dxa"/>
            <w:tcBorders>
              <w:top w:val="nil"/>
              <w:left w:val="nil"/>
              <w:bottom w:val="single" w:sz="8" w:space="0" w:color="auto"/>
              <w:right w:val="single" w:sz="8" w:space="0" w:color="auto"/>
            </w:tcBorders>
            <w:shd w:val="clear" w:color="auto" w:fill="auto"/>
            <w:vAlign w:val="center"/>
            <w:hideMark/>
          </w:tcPr>
          <w:p w14:paraId="64AF4C4E"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222.29</w:t>
            </w:r>
          </w:p>
        </w:tc>
        <w:tc>
          <w:tcPr>
            <w:tcW w:w="1206" w:type="dxa"/>
            <w:tcBorders>
              <w:top w:val="nil"/>
              <w:left w:val="nil"/>
              <w:bottom w:val="single" w:sz="8" w:space="0" w:color="auto"/>
              <w:right w:val="single" w:sz="8" w:space="0" w:color="auto"/>
            </w:tcBorders>
            <w:shd w:val="clear" w:color="auto" w:fill="auto"/>
            <w:vAlign w:val="center"/>
            <w:hideMark/>
          </w:tcPr>
          <w:p w14:paraId="340F3430"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222.29</w:t>
            </w:r>
          </w:p>
        </w:tc>
        <w:tc>
          <w:tcPr>
            <w:tcW w:w="1206" w:type="dxa"/>
            <w:tcBorders>
              <w:top w:val="nil"/>
              <w:left w:val="nil"/>
              <w:bottom w:val="single" w:sz="8" w:space="0" w:color="auto"/>
              <w:right w:val="single" w:sz="8" w:space="0" w:color="auto"/>
            </w:tcBorders>
            <w:shd w:val="clear" w:color="auto" w:fill="auto"/>
            <w:vAlign w:val="center"/>
            <w:hideMark/>
          </w:tcPr>
          <w:p w14:paraId="4651E5D6"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w:t>
            </w:r>
          </w:p>
        </w:tc>
        <w:tc>
          <w:tcPr>
            <w:tcW w:w="992" w:type="dxa"/>
            <w:tcBorders>
              <w:top w:val="nil"/>
              <w:left w:val="nil"/>
              <w:bottom w:val="single" w:sz="8" w:space="0" w:color="auto"/>
              <w:right w:val="single" w:sz="8" w:space="0" w:color="auto"/>
            </w:tcBorders>
            <w:shd w:val="clear" w:color="auto" w:fill="auto"/>
            <w:noWrap/>
            <w:vAlign w:val="center"/>
            <w:hideMark/>
          </w:tcPr>
          <w:p w14:paraId="4EEB18C2"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222.29</w:t>
            </w:r>
          </w:p>
        </w:tc>
        <w:tc>
          <w:tcPr>
            <w:tcW w:w="1206" w:type="dxa"/>
            <w:tcBorders>
              <w:top w:val="nil"/>
              <w:left w:val="nil"/>
              <w:bottom w:val="single" w:sz="8" w:space="0" w:color="auto"/>
              <w:right w:val="single" w:sz="8" w:space="0" w:color="auto"/>
            </w:tcBorders>
            <w:shd w:val="clear" w:color="auto" w:fill="auto"/>
            <w:vAlign w:val="center"/>
            <w:hideMark/>
          </w:tcPr>
          <w:p w14:paraId="2C21B866"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w:t>
            </w:r>
          </w:p>
        </w:tc>
        <w:tc>
          <w:tcPr>
            <w:tcW w:w="1078" w:type="dxa"/>
            <w:tcBorders>
              <w:top w:val="nil"/>
              <w:left w:val="nil"/>
              <w:bottom w:val="single" w:sz="8" w:space="0" w:color="auto"/>
              <w:right w:val="single" w:sz="8" w:space="0" w:color="auto"/>
            </w:tcBorders>
            <w:shd w:val="clear" w:color="auto" w:fill="auto"/>
            <w:noWrap/>
            <w:vAlign w:val="center"/>
            <w:hideMark/>
          </w:tcPr>
          <w:p w14:paraId="24ABE671"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222.29</w:t>
            </w:r>
          </w:p>
        </w:tc>
      </w:tr>
      <w:tr w:rsidR="00EF4BC3" w:rsidRPr="009E5B39" w14:paraId="1AF80445"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9DBAF86" w14:textId="12DFE71C" w:rsidR="00D82E26" w:rsidRPr="009E5B39" w:rsidRDefault="00D82E26" w:rsidP="00EF4BC3">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 xml:space="preserve">Dividende primite de la cota parte a proprietății publice in societățile pe acțiuni in bugetul local de nivelul </w:t>
            </w:r>
            <w:r w:rsidR="00502D2B" w:rsidRPr="009E5B39">
              <w:rPr>
                <w:rFonts w:asciiTheme="majorHAnsi" w:eastAsia="Times New Roman" w:hAnsiTheme="majorHAnsi" w:cstheme="majorHAnsi"/>
                <w:sz w:val="14"/>
                <w:szCs w:val="14"/>
                <w:lang w:val="ro-MD"/>
              </w:rPr>
              <w:t>II</w:t>
            </w:r>
          </w:p>
        </w:tc>
        <w:tc>
          <w:tcPr>
            <w:tcW w:w="687" w:type="dxa"/>
            <w:tcBorders>
              <w:top w:val="nil"/>
              <w:left w:val="nil"/>
              <w:bottom w:val="single" w:sz="8" w:space="0" w:color="auto"/>
              <w:right w:val="single" w:sz="8" w:space="0" w:color="auto"/>
            </w:tcBorders>
            <w:shd w:val="clear" w:color="auto" w:fill="auto"/>
            <w:vAlign w:val="center"/>
            <w:hideMark/>
          </w:tcPr>
          <w:p w14:paraId="6BE982B7" w14:textId="77777777" w:rsidR="00D82E26" w:rsidRPr="009E5B39" w:rsidRDefault="00D82E26" w:rsidP="00EF4BC3">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141222</w:t>
            </w:r>
          </w:p>
        </w:tc>
        <w:tc>
          <w:tcPr>
            <w:tcW w:w="1206" w:type="dxa"/>
            <w:tcBorders>
              <w:top w:val="nil"/>
              <w:left w:val="nil"/>
              <w:bottom w:val="single" w:sz="8" w:space="0" w:color="auto"/>
              <w:right w:val="single" w:sz="8" w:space="0" w:color="auto"/>
            </w:tcBorders>
            <w:shd w:val="clear" w:color="auto" w:fill="auto"/>
            <w:vAlign w:val="center"/>
            <w:hideMark/>
          </w:tcPr>
          <w:p w14:paraId="78489AEA"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3,700,181.49</w:t>
            </w:r>
          </w:p>
        </w:tc>
        <w:tc>
          <w:tcPr>
            <w:tcW w:w="1206" w:type="dxa"/>
            <w:tcBorders>
              <w:top w:val="nil"/>
              <w:left w:val="nil"/>
              <w:bottom w:val="single" w:sz="8" w:space="0" w:color="auto"/>
              <w:right w:val="single" w:sz="8" w:space="0" w:color="auto"/>
            </w:tcBorders>
            <w:shd w:val="clear" w:color="auto" w:fill="auto"/>
            <w:vAlign w:val="center"/>
            <w:hideMark/>
          </w:tcPr>
          <w:p w14:paraId="146C0DB4"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3,700,181.49</w:t>
            </w:r>
          </w:p>
        </w:tc>
        <w:tc>
          <w:tcPr>
            <w:tcW w:w="1206" w:type="dxa"/>
            <w:tcBorders>
              <w:top w:val="nil"/>
              <w:left w:val="nil"/>
              <w:bottom w:val="single" w:sz="8" w:space="0" w:color="auto"/>
              <w:right w:val="single" w:sz="8" w:space="0" w:color="auto"/>
            </w:tcBorders>
            <w:shd w:val="clear" w:color="auto" w:fill="auto"/>
            <w:noWrap/>
            <w:vAlign w:val="center"/>
            <w:hideMark/>
          </w:tcPr>
          <w:p w14:paraId="10566E43"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3,700,181.49</w:t>
            </w:r>
          </w:p>
        </w:tc>
        <w:tc>
          <w:tcPr>
            <w:tcW w:w="992" w:type="dxa"/>
            <w:tcBorders>
              <w:top w:val="nil"/>
              <w:left w:val="nil"/>
              <w:bottom w:val="single" w:sz="8" w:space="0" w:color="auto"/>
              <w:right w:val="single" w:sz="8" w:space="0" w:color="auto"/>
            </w:tcBorders>
            <w:shd w:val="clear" w:color="auto" w:fill="auto"/>
            <w:noWrap/>
            <w:vAlign w:val="center"/>
            <w:hideMark/>
          </w:tcPr>
          <w:p w14:paraId="5ED0B8D6"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084FC1F0" w14:textId="77777777" w:rsidR="00D82E26" w:rsidRPr="009E5B39" w:rsidRDefault="00D82E26" w:rsidP="00EF4BC3">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3,521,348.09</w:t>
            </w:r>
          </w:p>
        </w:tc>
        <w:tc>
          <w:tcPr>
            <w:tcW w:w="1078" w:type="dxa"/>
            <w:tcBorders>
              <w:top w:val="nil"/>
              <w:left w:val="nil"/>
              <w:bottom w:val="single" w:sz="8" w:space="0" w:color="auto"/>
              <w:right w:val="single" w:sz="8" w:space="0" w:color="auto"/>
            </w:tcBorders>
            <w:shd w:val="clear" w:color="auto" w:fill="auto"/>
            <w:noWrap/>
            <w:vAlign w:val="center"/>
            <w:hideMark/>
          </w:tcPr>
          <w:p w14:paraId="76CFBFA5" w14:textId="77777777" w:rsidR="00D82E26" w:rsidRPr="009E5B39" w:rsidRDefault="00D82E26" w:rsidP="00EF4BC3">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178,833.40</w:t>
            </w:r>
          </w:p>
        </w:tc>
      </w:tr>
      <w:tr w:rsidR="00EF4BC3" w:rsidRPr="009E5B39" w14:paraId="1B393FB5"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7C89120" w14:textId="77777777" w:rsidR="00D82E26" w:rsidRPr="009E5B39" w:rsidRDefault="00D82E26" w:rsidP="0090556E">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Defalcări de la profitul net al întreprinderilor de stat (municipale) in bugetul local de nivelul 2</w:t>
            </w:r>
          </w:p>
        </w:tc>
        <w:tc>
          <w:tcPr>
            <w:tcW w:w="687" w:type="dxa"/>
            <w:tcBorders>
              <w:top w:val="nil"/>
              <w:left w:val="nil"/>
              <w:bottom w:val="single" w:sz="8" w:space="0" w:color="auto"/>
              <w:right w:val="single" w:sz="8" w:space="0" w:color="auto"/>
            </w:tcBorders>
            <w:shd w:val="clear" w:color="auto" w:fill="auto"/>
            <w:vAlign w:val="center"/>
            <w:hideMark/>
          </w:tcPr>
          <w:p w14:paraId="24744C19" w14:textId="77777777" w:rsidR="00D82E26" w:rsidRPr="009E5B39" w:rsidRDefault="00D82E26" w:rsidP="0090556E">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141232</w:t>
            </w:r>
          </w:p>
        </w:tc>
        <w:tc>
          <w:tcPr>
            <w:tcW w:w="1206" w:type="dxa"/>
            <w:tcBorders>
              <w:top w:val="nil"/>
              <w:left w:val="nil"/>
              <w:bottom w:val="single" w:sz="8" w:space="0" w:color="auto"/>
              <w:right w:val="single" w:sz="8" w:space="0" w:color="auto"/>
            </w:tcBorders>
            <w:shd w:val="clear" w:color="auto" w:fill="auto"/>
            <w:vAlign w:val="center"/>
            <w:hideMark/>
          </w:tcPr>
          <w:p w14:paraId="1C981BE6"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2,168,871.78</w:t>
            </w:r>
          </w:p>
        </w:tc>
        <w:tc>
          <w:tcPr>
            <w:tcW w:w="1206" w:type="dxa"/>
            <w:tcBorders>
              <w:top w:val="nil"/>
              <w:left w:val="nil"/>
              <w:bottom w:val="single" w:sz="8" w:space="0" w:color="auto"/>
              <w:right w:val="single" w:sz="8" w:space="0" w:color="auto"/>
            </w:tcBorders>
            <w:shd w:val="clear" w:color="auto" w:fill="auto"/>
            <w:vAlign w:val="center"/>
            <w:hideMark/>
          </w:tcPr>
          <w:p w14:paraId="1272FE9B"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2,168,871.78</w:t>
            </w:r>
          </w:p>
        </w:tc>
        <w:tc>
          <w:tcPr>
            <w:tcW w:w="1206" w:type="dxa"/>
            <w:tcBorders>
              <w:top w:val="nil"/>
              <w:left w:val="nil"/>
              <w:bottom w:val="single" w:sz="8" w:space="0" w:color="auto"/>
              <w:right w:val="single" w:sz="8" w:space="0" w:color="auto"/>
            </w:tcBorders>
            <w:shd w:val="clear" w:color="auto" w:fill="auto"/>
            <w:noWrap/>
            <w:vAlign w:val="center"/>
            <w:hideMark/>
          </w:tcPr>
          <w:p w14:paraId="609E2EB0"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2,168,871.78</w:t>
            </w:r>
          </w:p>
        </w:tc>
        <w:tc>
          <w:tcPr>
            <w:tcW w:w="992" w:type="dxa"/>
            <w:tcBorders>
              <w:top w:val="nil"/>
              <w:left w:val="nil"/>
              <w:bottom w:val="single" w:sz="8" w:space="0" w:color="auto"/>
              <w:right w:val="single" w:sz="8" w:space="0" w:color="auto"/>
            </w:tcBorders>
            <w:shd w:val="clear" w:color="auto" w:fill="auto"/>
            <w:noWrap/>
            <w:vAlign w:val="center"/>
            <w:hideMark/>
          </w:tcPr>
          <w:p w14:paraId="2F72007D"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43897A20"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1,856,883.03</w:t>
            </w:r>
          </w:p>
        </w:tc>
        <w:tc>
          <w:tcPr>
            <w:tcW w:w="1078" w:type="dxa"/>
            <w:tcBorders>
              <w:top w:val="nil"/>
              <w:left w:val="nil"/>
              <w:bottom w:val="single" w:sz="8" w:space="0" w:color="auto"/>
              <w:right w:val="single" w:sz="8" w:space="0" w:color="auto"/>
            </w:tcBorders>
            <w:shd w:val="clear" w:color="auto" w:fill="auto"/>
            <w:noWrap/>
            <w:vAlign w:val="center"/>
            <w:hideMark/>
          </w:tcPr>
          <w:p w14:paraId="0C1EF8BE"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311,988.75</w:t>
            </w:r>
          </w:p>
        </w:tc>
      </w:tr>
      <w:tr w:rsidR="00EF4BC3" w:rsidRPr="009E5B39" w14:paraId="4F6268E7" w14:textId="77777777" w:rsidTr="0090556E">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E4DBC72" w14:textId="3FFAC465" w:rsidR="00D82E26" w:rsidRPr="009E5B39" w:rsidRDefault="00D82E26" w:rsidP="0090556E">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 xml:space="preserve">Arenda terenurilor cu alta destinație decât cea agricola </w:t>
            </w:r>
            <w:r w:rsidR="00502D2B" w:rsidRPr="009E5B39">
              <w:rPr>
                <w:rFonts w:asciiTheme="majorHAnsi" w:eastAsia="Times New Roman" w:hAnsiTheme="majorHAnsi" w:cstheme="majorHAnsi"/>
                <w:sz w:val="14"/>
                <w:szCs w:val="14"/>
                <w:lang w:val="ro-MD"/>
              </w:rPr>
              <w:t>î</w:t>
            </w:r>
            <w:r w:rsidRPr="009E5B39">
              <w:rPr>
                <w:rFonts w:asciiTheme="majorHAnsi" w:eastAsia="Times New Roman" w:hAnsiTheme="majorHAnsi" w:cstheme="majorHAnsi"/>
                <w:sz w:val="14"/>
                <w:szCs w:val="14"/>
                <w:lang w:val="ro-MD"/>
              </w:rPr>
              <w:t>ncasat</w:t>
            </w:r>
            <w:r w:rsidR="00502D2B" w:rsidRPr="009E5B39">
              <w:rPr>
                <w:rFonts w:asciiTheme="majorHAnsi" w:eastAsia="Times New Roman" w:hAnsiTheme="majorHAnsi" w:cstheme="majorHAnsi"/>
                <w:sz w:val="14"/>
                <w:szCs w:val="14"/>
                <w:lang w:val="ro-MD"/>
              </w:rPr>
              <w:t xml:space="preserve">ă în </w:t>
            </w:r>
            <w:r w:rsidRPr="009E5B39">
              <w:rPr>
                <w:rFonts w:asciiTheme="majorHAnsi" w:eastAsia="Times New Roman" w:hAnsiTheme="majorHAnsi" w:cstheme="majorHAnsi"/>
                <w:sz w:val="14"/>
                <w:szCs w:val="14"/>
                <w:lang w:val="ro-MD"/>
              </w:rPr>
              <w:t xml:space="preserve"> bugetul local de nivelul II</w:t>
            </w:r>
          </w:p>
        </w:tc>
        <w:tc>
          <w:tcPr>
            <w:tcW w:w="687" w:type="dxa"/>
            <w:tcBorders>
              <w:top w:val="nil"/>
              <w:left w:val="nil"/>
              <w:bottom w:val="single" w:sz="8" w:space="0" w:color="auto"/>
              <w:right w:val="single" w:sz="8" w:space="0" w:color="auto"/>
            </w:tcBorders>
            <w:shd w:val="clear" w:color="auto" w:fill="auto"/>
            <w:vAlign w:val="center"/>
            <w:hideMark/>
          </w:tcPr>
          <w:p w14:paraId="07435C60" w14:textId="77777777" w:rsidR="00D82E26" w:rsidRPr="009E5B39" w:rsidRDefault="00D82E26" w:rsidP="0090556E">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141532</w:t>
            </w:r>
          </w:p>
        </w:tc>
        <w:tc>
          <w:tcPr>
            <w:tcW w:w="1206" w:type="dxa"/>
            <w:tcBorders>
              <w:top w:val="nil"/>
              <w:left w:val="nil"/>
              <w:bottom w:val="single" w:sz="8" w:space="0" w:color="auto"/>
              <w:right w:val="single" w:sz="8" w:space="0" w:color="auto"/>
            </w:tcBorders>
            <w:shd w:val="clear" w:color="auto" w:fill="auto"/>
            <w:vAlign w:val="center"/>
            <w:hideMark/>
          </w:tcPr>
          <w:p w14:paraId="3E3B8533"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26,580,947.28</w:t>
            </w:r>
          </w:p>
        </w:tc>
        <w:tc>
          <w:tcPr>
            <w:tcW w:w="1206" w:type="dxa"/>
            <w:tcBorders>
              <w:top w:val="nil"/>
              <w:left w:val="nil"/>
              <w:bottom w:val="single" w:sz="8" w:space="0" w:color="auto"/>
              <w:right w:val="single" w:sz="8" w:space="0" w:color="auto"/>
            </w:tcBorders>
            <w:shd w:val="clear" w:color="auto" w:fill="auto"/>
            <w:vAlign w:val="center"/>
            <w:hideMark/>
          </w:tcPr>
          <w:p w14:paraId="0C71C375"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26,580,947.28</w:t>
            </w:r>
          </w:p>
        </w:tc>
        <w:tc>
          <w:tcPr>
            <w:tcW w:w="1206" w:type="dxa"/>
            <w:tcBorders>
              <w:top w:val="nil"/>
              <w:left w:val="nil"/>
              <w:bottom w:val="single" w:sz="8" w:space="0" w:color="auto"/>
              <w:right w:val="single" w:sz="8" w:space="0" w:color="auto"/>
            </w:tcBorders>
            <w:shd w:val="clear" w:color="auto" w:fill="auto"/>
            <w:noWrap/>
            <w:vAlign w:val="center"/>
            <w:hideMark/>
          </w:tcPr>
          <w:p w14:paraId="03640F63"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26,580,947.28</w:t>
            </w:r>
          </w:p>
        </w:tc>
        <w:tc>
          <w:tcPr>
            <w:tcW w:w="992" w:type="dxa"/>
            <w:tcBorders>
              <w:top w:val="nil"/>
              <w:left w:val="nil"/>
              <w:bottom w:val="single" w:sz="8" w:space="0" w:color="auto"/>
              <w:right w:val="single" w:sz="8" w:space="0" w:color="auto"/>
            </w:tcBorders>
            <w:shd w:val="clear" w:color="auto" w:fill="auto"/>
            <w:noWrap/>
            <w:vAlign w:val="center"/>
            <w:hideMark/>
          </w:tcPr>
          <w:p w14:paraId="30AEFF10"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447BE832"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w:t>
            </w:r>
          </w:p>
        </w:tc>
        <w:tc>
          <w:tcPr>
            <w:tcW w:w="1078" w:type="dxa"/>
            <w:tcBorders>
              <w:top w:val="nil"/>
              <w:left w:val="nil"/>
              <w:bottom w:val="single" w:sz="8" w:space="0" w:color="auto"/>
              <w:right w:val="single" w:sz="8" w:space="0" w:color="auto"/>
            </w:tcBorders>
            <w:shd w:val="clear" w:color="auto" w:fill="auto"/>
            <w:noWrap/>
            <w:vAlign w:val="center"/>
            <w:hideMark/>
          </w:tcPr>
          <w:p w14:paraId="6087A8C5"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 </w:t>
            </w:r>
          </w:p>
        </w:tc>
      </w:tr>
      <w:tr w:rsidR="00EF4BC3" w:rsidRPr="009E5B39" w14:paraId="48139669"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D5F4FDF" w14:textId="77777777" w:rsidR="00D82E26" w:rsidRPr="009E5B39" w:rsidRDefault="00D82E26" w:rsidP="0090556E">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de organizare a licitațiilor si loteriilor pe teritoriul unității administrativ-teritoriale</w:t>
            </w:r>
          </w:p>
        </w:tc>
        <w:tc>
          <w:tcPr>
            <w:tcW w:w="687" w:type="dxa"/>
            <w:tcBorders>
              <w:top w:val="nil"/>
              <w:left w:val="nil"/>
              <w:bottom w:val="single" w:sz="8" w:space="0" w:color="auto"/>
              <w:right w:val="single" w:sz="8" w:space="0" w:color="auto"/>
            </w:tcBorders>
            <w:shd w:val="clear" w:color="auto" w:fill="auto"/>
            <w:vAlign w:val="center"/>
            <w:hideMark/>
          </w:tcPr>
          <w:p w14:paraId="1C87CB59" w14:textId="77777777" w:rsidR="00D82E26" w:rsidRPr="009E5B39" w:rsidRDefault="00D82E26" w:rsidP="0090556E">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142211</w:t>
            </w:r>
          </w:p>
        </w:tc>
        <w:tc>
          <w:tcPr>
            <w:tcW w:w="1206" w:type="dxa"/>
            <w:tcBorders>
              <w:top w:val="nil"/>
              <w:left w:val="nil"/>
              <w:bottom w:val="single" w:sz="8" w:space="0" w:color="auto"/>
              <w:right w:val="single" w:sz="8" w:space="0" w:color="auto"/>
            </w:tcBorders>
            <w:shd w:val="clear" w:color="auto" w:fill="auto"/>
            <w:vAlign w:val="center"/>
            <w:hideMark/>
          </w:tcPr>
          <w:p w14:paraId="2090C4B0"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515,177.16</w:t>
            </w:r>
          </w:p>
        </w:tc>
        <w:tc>
          <w:tcPr>
            <w:tcW w:w="1206" w:type="dxa"/>
            <w:tcBorders>
              <w:top w:val="nil"/>
              <w:left w:val="nil"/>
              <w:bottom w:val="single" w:sz="8" w:space="0" w:color="auto"/>
              <w:right w:val="single" w:sz="8" w:space="0" w:color="auto"/>
            </w:tcBorders>
            <w:shd w:val="clear" w:color="auto" w:fill="auto"/>
            <w:vAlign w:val="center"/>
            <w:hideMark/>
          </w:tcPr>
          <w:p w14:paraId="6CD665FB"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515,177.16</w:t>
            </w:r>
          </w:p>
        </w:tc>
        <w:tc>
          <w:tcPr>
            <w:tcW w:w="1206" w:type="dxa"/>
            <w:tcBorders>
              <w:top w:val="nil"/>
              <w:left w:val="nil"/>
              <w:bottom w:val="single" w:sz="8" w:space="0" w:color="auto"/>
              <w:right w:val="single" w:sz="8" w:space="0" w:color="auto"/>
            </w:tcBorders>
            <w:shd w:val="clear" w:color="auto" w:fill="auto"/>
            <w:noWrap/>
            <w:vAlign w:val="center"/>
            <w:hideMark/>
          </w:tcPr>
          <w:p w14:paraId="78134A69"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515,177.16</w:t>
            </w:r>
          </w:p>
        </w:tc>
        <w:tc>
          <w:tcPr>
            <w:tcW w:w="992" w:type="dxa"/>
            <w:tcBorders>
              <w:top w:val="nil"/>
              <w:left w:val="nil"/>
              <w:bottom w:val="single" w:sz="8" w:space="0" w:color="auto"/>
              <w:right w:val="single" w:sz="8" w:space="0" w:color="auto"/>
            </w:tcBorders>
            <w:shd w:val="clear" w:color="auto" w:fill="auto"/>
            <w:noWrap/>
            <w:vAlign w:val="center"/>
            <w:hideMark/>
          </w:tcPr>
          <w:p w14:paraId="171AA4A5"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742B0336"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315,912.17</w:t>
            </w:r>
          </w:p>
        </w:tc>
        <w:tc>
          <w:tcPr>
            <w:tcW w:w="1078" w:type="dxa"/>
            <w:tcBorders>
              <w:top w:val="nil"/>
              <w:left w:val="nil"/>
              <w:bottom w:val="single" w:sz="8" w:space="0" w:color="auto"/>
              <w:right w:val="single" w:sz="8" w:space="0" w:color="auto"/>
            </w:tcBorders>
            <w:shd w:val="clear" w:color="auto" w:fill="auto"/>
            <w:noWrap/>
            <w:vAlign w:val="center"/>
            <w:hideMark/>
          </w:tcPr>
          <w:p w14:paraId="31273471"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199,264.99</w:t>
            </w:r>
          </w:p>
        </w:tc>
      </w:tr>
      <w:tr w:rsidR="00EF4BC3" w:rsidRPr="009E5B39" w14:paraId="6C3D389E"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27E1F4D" w14:textId="124D36D4" w:rsidR="00D82E26" w:rsidRPr="009E5B39" w:rsidRDefault="00D82E26" w:rsidP="0090556E">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 xml:space="preserve">Plata pentru certificatele de urbanism si autorizările de construire sau desființare in bugetul local de nivelul </w:t>
            </w:r>
            <w:r w:rsidR="00502D2B" w:rsidRPr="009E5B39">
              <w:rPr>
                <w:rFonts w:asciiTheme="majorHAnsi" w:eastAsia="Times New Roman" w:hAnsiTheme="majorHAnsi" w:cstheme="majorHAnsi"/>
                <w:sz w:val="14"/>
                <w:szCs w:val="14"/>
                <w:lang w:val="ro-MD"/>
              </w:rPr>
              <w:t>II</w:t>
            </w:r>
          </w:p>
        </w:tc>
        <w:tc>
          <w:tcPr>
            <w:tcW w:w="687" w:type="dxa"/>
            <w:tcBorders>
              <w:top w:val="nil"/>
              <w:left w:val="nil"/>
              <w:bottom w:val="single" w:sz="8" w:space="0" w:color="auto"/>
              <w:right w:val="single" w:sz="8" w:space="0" w:color="auto"/>
            </w:tcBorders>
            <w:shd w:val="clear" w:color="auto" w:fill="auto"/>
            <w:vAlign w:val="center"/>
            <w:hideMark/>
          </w:tcPr>
          <w:p w14:paraId="2B8388B1" w14:textId="77777777" w:rsidR="00D82E26" w:rsidRPr="009E5B39" w:rsidRDefault="00D82E26" w:rsidP="0090556E">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142214</w:t>
            </w:r>
          </w:p>
        </w:tc>
        <w:tc>
          <w:tcPr>
            <w:tcW w:w="1206" w:type="dxa"/>
            <w:tcBorders>
              <w:top w:val="nil"/>
              <w:left w:val="nil"/>
              <w:bottom w:val="single" w:sz="8" w:space="0" w:color="auto"/>
              <w:right w:val="single" w:sz="8" w:space="0" w:color="auto"/>
            </w:tcBorders>
            <w:shd w:val="clear" w:color="auto" w:fill="auto"/>
            <w:vAlign w:val="center"/>
            <w:hideMark/>
          </w:tcPr>
          <w:p w14:paraId="701FBF39"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108,327.00</w:t>
            </w:r>
          </w:p>
        </w:tc>
        <w:tc>
          <w:tcPr>
            <w:tcW w:w="1206" w:type="dxa"/>
            <w:tcBorders>
              <w:top w:val="nil"/>
              <w:left w:val="nil"/>
              <w:bottom w:val="single" w:sz="8" w:space="0" w:color="auto"/>
              <w:right w:val="single" w:sz="8" w:space="0" w:color="auto"/>
            </w:tcBorders>
            <w:shd w:val="clear" w:color="auto" w:fill="auto"/>
            <w:vAlign w:val="center"/>
            <w:hideMark/>
          </w:tcPr>
          <w:p w14:paraId="0CF7CE25"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108,327.00</w:t>
            </w:r>
          </w:p>
        </w:tc>
        <w:tc>
          <w:tcPr>
            <w:tcW w:w="1206" w:type="dxa"/>
            <w:tcBorders>
              <w:top w:val="nil"/>
              <w:left w:val="nil"/>
              <w:bottom w:val="single" w:sz="8" w:space="0" w:color="auto"/>
              <w:right w:val="single" w:sz="8" w:space="0" w:color="auto"/>
            </w:tcBorders>
            <w:shd w:val="clear" w:color="auto" w:fill="auto"/>
            <w:noWrap/>
            <w:vAlign w:val="center"/>
            <w:hideMark/>
          </w:tcPr>
          <w:p w14:paraId="19AC0C3A"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108,327.00</w:t>
            </w:r>
          </w:p>
        </w:tc>
        <w:tc>
          <w:tcPr>
            <w:tcW w:w="992" w:type="dxa"/>
            <w:tcBorders>
              <w:top w:val="nil"/>
              <w:left w:val="nil"/>
              <w:bottom w:val="single" w:sz="8" w:space="0" w:color="auto"/>
              <w:right w:val="single" w:sz="8" w:space="0" w:color="auto"/>
            </w:tcBorders>
            <w:shd w:val="clear" w:color="auto" w:fill="auto"/>
            <w:noWrap/>
            <w:vAlign w:val="center"/>
            <w:hideMark/>
          </w:tcPr>
          <w:p w14:paraId="785DDC0B"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43CF7D12"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w:t>
            </w:r>
          </w:p>
        </w:tc>
        <w:tc>
          <w:tcPr>
            <w:tcW w:w="1078" w:type="dxa"/>
            <w:tcBorders>
              <w:top w:val="nil"/>
              <w:left w:val="nil"/>
              <w:bottom w:val="single" w:sz="8" w:space="0" w:color="auto"/>
              <w:right w:val="single" w:sz="8" w:space="0" w:color="auto"/>
            </w:tcBorders>
            <w:shd w:val="clear" w:color="auto" w:fill="auto"/>
            <w:noWrap/>
            <w:vAlign w:val="center"/>
            <w:hideMark/>
          </w:tcPr>
          <w:p w14:paraId="09FDE4BF"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108,327.00</w:t>
            </w:r>
          </w:p>
        </w:tc>
      </w:tr>
      <w:tr w:rsidR="00EF4BC3" w:rsidRPr="009E5B39" w14:paraId="5AD8802E"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3B1FF50" w14:textId="77777777" w:rsidR="00D82E26" w:rsidRPr="009E5B39" w:rsidRDefault="00D82E26" w:rsidP="0090556E">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de la posesorii de câini</w:t>
            </w:r>
          </w:p>
        </w:tc>
        <w:tc>
          <w:tcPr>
            <w:tcW w:w="687" w:type="dxa"/>
            <w:tcBorders>
              <w:top w:val="nil"/>
              <w:left w:val="nil"/>
              <w:bottom w:val="single" w:sz="8" w:space="0" w:color="auto"/>
              <w:right w:val="single" w:sz="8" w:space="0" w:color="auto"/>
            </w:tcBorders>
            <w:shd w:val="clear" w:color="auto" w:fill="auto"/>
            <w:vAlign w:val="center"/>
            <w:hideMark/>
          </w:tcPr>
          <w:p w14:paraId="5E9C418E" w14:textId="77777777" w:rsidR="00D82E26" w:rsidRPr="009E5B39" w:rsidRDefault="00D82E26" w:rsidP="0090556E">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142216</w:t>
            </w:r>
          </w:p>
        </w:tc>
        <w:tc>
          <w:tcPr>
            <w:tcW w:w="1206" w:type="dxa"/>
            <w:tcBorders>
              <w:top w:val="nil"/>
              <w:left w:val="nil"/>
              <w:bottom w:val="single" w:sz="8" w:space="0" w:color="auto"/>
              <w:right w:val="single" w:sz="8" w:space="0" w:color="auto"/>
            </w:tcBorders>
            <w:shd w:val="clear" w:color="auto" w:fill="auto"/>
            <w:vAlign w:val="center"/>
            <w:hideMark/>
          </w:tcPr>
          <w:p w14:paraId="2B8BC5D8"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1,320.00</w:t>
            </w:r>
          </w:p>
        </w:tc>
        <w:tc>
          <w:tcPr>
            <w:tcW w:w="1206" w:type="dxa"/>
            <w:tcBorders>
              <w:top w:val="nil"/>
              <w:left w:val="nil"/>
              <w:bottom w:val="single" w:sz="8" w:space="0" w:color="auto"/>
              <w:right w:val="single" w:sz="8" w:space="0" w:color="auto"/>
            </w:tcBorders>
            <w:shd w:val="clear" w:color="auto" w:fill="auto"/>
            <w:vAlign w:val="center"/>
            <w:hideMark/>
          </w:tcPr>
          <w:p w14:paraId="2C31C078"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1,320.00</w:t>
            </w:r>
          </w:p>
        </w:tc>
        <w:tc>
          <w:tcPr>
            <w:tcW w:w="1206" w:type="dxa"/>
            <w:tcBorders>
              <w:top w:val="nil"/>
              <w:left w:val="nil"/>
              <w:bottom w:val="single" w:sz="8" w:space="0" w:color="auto"/>
              <w:right w:val="single" w:sz="8" w:space="0" w:color="auto"/>
            </w:tcBorders>
            <w:shd w:val="clear" w:color="auto" w:fill="auto"/>
            <w:noWrap/>
            <w:vAlign w:val="center"/>
            <w:hideMark/>
          </w:tcPr>
          <w:p w14:paraId="0BB17CA3"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1,320.00</w:t>
            </w:r>
          </w:p>
        </w:tc>
        <w:tc>
          <w:tcPr>
            <w:tcW w:w="992" w:type="dxa"/>
            <w:tcBorders>
              <w:top w:val="nil"/>
              <w:left w:val="nil"/>
              <w:bottom w:val="single" w:sz="8" w:space="0" w:color="auto"/>
              <w:right w:val="single" w:sz="8" w:space="0" w:color="auto"/>
            </w:tcBorders>
            <w:shd w:val="clear" w:color="auto" w:fill="auto"/>
            <w:noWrap/>
            <w:vAlign w:val="center"/>
            <w:hideMark/>
          </w:tcPr>
          <w:p w14:paraId="33071FCE"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335BEA38"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w:t>
            </w:r>
          </w:p>
        </w:tc>
        <w:tc>
          <w:tcPr>
            <w:tcW w:w="1078" w:type="dxa"/>
            <w:tcBorders>
              <w:top w:val="nil"/>
              <w:left w:val="nil"/>
              <w:bottom w:val="single" w:sz="8" w:space="0" w:color="auto"/>
              <w:right w:val="single" w:sz="8" w:space="0" w:color="auto"/>
            </w:tcBorders>
            <w:shd w:val="clear" w:color="auto" w:fill="auto"/>
            <w:noWrap/>
            <w:vAlign w:val="center"/>
            <w:hideMark/>
          </w:tcPr>
          <w:p w14:paraId="68352BA6"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1,320.00</w:t>
            </w:r>
          </w:p>
        </w:tc>
      </w:tr>
      <w:tr w:rsidR="00EF4BC3" w:rsidRPr="009E5B39" w14:paraId="24CAF3DE" w14:textId="77777777" w:rsidTr="0090556E">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EBA4EBC" w14:textId="77777777" w:rsidR="00D82E26" w:rsidRPr="009E5B39" w:rsidRDefault="00D82E26" w:rsidP="0090556E">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Taxa la cumpărarea valutei străine de către persoanele fizice in casele de schimb valutar</w:t>
            </w:r>
          </w:p>
        </w:tc>
        <w:tc>
          <w:tcPr>
            <w:tcW w:w="687" w:type="dxa"/>
            <w:tcBorders>
              <w:top w:val="nil"/>
              <w:left w:val="nil"/>
              <w:bottom w:val="single" w:sz="8" w:space="0" w:color="auto"/>
              <w:right w:val="single" w:sz="8" w:space="0" w:color="auto"/>
            </w:tcBorders>
            <w:shd w:val="clear" w:color="auto" w:fill="auto"/>
            <w:vAlign w:val="center"/>
            <w:hideMark/>
          </w:tcPr>
          <w:p w14:paraId="0C6B5CF7" w14:textId="77777777" w:rsidR="00D82E26" w:rsidRPr="009E5B39" w:rsidRDefault="00D82E26" w:rsidP="0090556E">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142245</w:t>
            </w:r>
          </w:p>
        </w:tc>
        <w:tc>
          <w:tcPr>
            <w:tcW w:w="1206" w:type="dxa"/>
            <w:tcBorders>
              <w:top w:val="nil"/>
              <w:left w:val="nil"/>
              <w:bottom w:val="single" w:sz="8" w:space="0" w:color="auto"/>
              <w:right w:val="single" w:sz="8" w:space="0" w:color="auto"/>
            </w:tcBorders>
            <w:shd w:val="clear" w:color="auto" w:fill="auto"/>
            <w:vAlign w:val="center"/>
            <w:hideMark/>
          </w:tcPr>
          <w:p w14:paraId="0DDA1AF8"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10,791,096.96</w:t>
            </w:r>
          </w:p>
        </w:tc>
        <w:tc>
          <w:tcPr>
            <w:tcW w:w="1206" w:type="dxa"/>
            <w:tcBorders>
              <w:top w:val="nil"/>
              <w:left w:val="nil"/>
              <w:bottom w:val="single" w:sz="8" w:space="0" w:color="auto"/>
              <w:right w:val="single" w:sz="8" w:space="0" w:color="auto"/>
            </w:tcBorders>
            <w:shd w:val="clear" w:color="auto" w:fill="auto"/>
            <w:vAlign w:val="center"/>
            <w:hideMark/>
          </w:tcPr>
          <w:p w14:paraId="03494828"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10,791,096.96</w:t>
            </w:r>
          </w:p>
        </w:tc>
        <w:tc>
          <w:tcPr>
            <w:tcW w:w="1206" w:type="dxa"/>
            <w:tcBorders>
              <w:top w:val="nil"/>
              <w:left w:val="nil"/>
              <w:bottom w:val="single" w:sz="8" w:space="0" w:color="auto"/>
              <w:right w:val="single" w:sz="8" w:space="0" w:color="auto"/>
            </w:tcBorders>
            <w:shd w:val="clear" w:color="auto" w:fill="auto"/>
            <w:vAlign w:val="center"/>
            <w:hideMark/>
          </w:tcPr>
          <w:p w14:paraId="2D61D284"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 </w:t>
            </w:r>
          </w:p>
        </w:tc>
        <w:tc>
          <w:tcPr>
            <w:tcW w:w="992" w:type="dxa"/>
            <w:tcBorders>
              <w:top w:val="nil"/>
              <w:left w:val="nil"/>
              <w:bottom w:val="single" w:sz="8" w:space="0" w:color="auto"/>
              <w:right w:val="single" w:sz="8" w:space="0" w:color="auto"/>
            </w:tcBorders>
            <w:shd w:val="clear" w:color="auto" w:fill="auto"/>
            <w:noWrap/>
            <w:vAlign w:val="center"/>
            <w:hideMark/>
          </w:tcPr>
          <w:p w14:paraId="1CD5DD56"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 </w:t>
            </w:r>
          </w:p>
        </w:tc>
        <w:tc>
          <w:tcPr>
            <w:tcW w:w="1206" w:type="dxa"/>
            <w:tcBorders>
              <w:top w:val="nil"/>
              <w:left w:val="nil"/>
              <w:bottom w:val="single" w:sz="8" w:space="0" w:color="auto"/>
              <w:right w:val="single" w:sz="8" w:space="0" w:color="auto"/>
            </w:tcBorders>
            <w:shd w:val="clear" w:color="auto" w:fill="auto"/>
            <w:vAlign w:val="center"/>
            <w:hideMark/>
          </w:tcPr>
          <w:p w14:paraId="5398EC61"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w:t>
            </w:r>
          </w:p>
        </w:tc>
        <w:tc>
          <w:tcPr>
            <w:tcW w:w="1078" w:type="dxa"/>
            <w:tcBorders>
              <w:top w:val="nil"/>
              <w:left w:val="nil"/>
              <w:bottom w:val="single" w:sz="8" w:space="0" w:color="auto"/>
              <w:right w:val="single" w:sz="8" w:space="0" w:color="auto"/>
            </w:tcBorders>
            <w:shd w:val="clear" w:color="auto" w:fill="auto"/>
            <w:noWrap/>
            <w:vAlign w:val="center"/>
            <w:hideMark/>
          </w:tcPr>
          <w:p w14:paraId="2CB131A9"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10,791,096.96</w:t>
            </w:r>
          </w:p>
        </w:tc>
      </w:tr>
      <w:tr w:rsidR="00EF4BC3" w:rsidRPr="009E5B39" w14:paraId="0B673F91" w14:textId="77777777" w:rsidTr="0090556E">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18FA4C77" w14:textId="373D1837" w:rsidR="00D82E26" w:rsidRPr="009E5B39" w:rsidRDefault="00D82E26" w:rsidP="0090556E">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 xml:space="preserve">Plata pentru locațiunea bunurilor patrimoniului public încasată </w:t>
            </w:r>
            <w:r w:rsidR="00502D2B" w:rsidRPr="009E5B39">
              <w:rPr>
                <w:rFonts w:asciiTheme="majorHAnsi" w:eastAsia="Times New Roman" w:hAnsiTheme="majorHAnsi" w:cstheme="majorHAnsi"/>
                <w:sz w:val="14"/>
                <w:szCs w:val="14"/>
                <w:lang w:val="ro-MD"/>
              </w:rPr>
              <w:t>î</w:t>
            </w:r>
            <w:r w:rsidRPr="009E5B39">
              <w:rPr>
                <w:rFonts w:asciiTheme="majorHAnsi" w:eastAsia="Times New Roman" w:hAnsiTheme="majorHAnsi" w:cstheme="majorHAnsi"/>
                <w:sz w:val="14"/>
                <w:szCs w:val="14"/>
                <w:lang w:val="ro-MD"/>
              </w:rPr>
              <w:t>n bugetul local de nivelul II</w:t>
            </w:r>
          </w:p>
        </w:tc>
        <w:tc>
          <w:tcPr>
            <w:tcW w:w="687" w:type="dxa"/>
            <w:tcBorders>
              <w:top w:val="nil"/>
              <w:left w:val="nil"/>
              <w:bottom w:val="single" w:sz="8" w:space="0" w:color="auto"/>
              <w:right w:val="single" w:sz="8" w:space="0" w:color="auto"/>
            </w:tcBorders>
            <w:shd w:val="clear" w:color="auto" w:fill="auto"/>
            <w:vAlign w:val="center"/>
            <w:hideMark/>
          </w:tcPr>
          <w:p w14:paraId="55542947" w14:textId="77777777" w:rsidR="00D82E26" w:rsidRPr="009E5B39" w:rsidRDefault="00D82E26" w:rsidP="0090556E">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142251</w:t>
            </w:r>
          </w:p>
        </w:tc>
        <w:tc>
          <w:tcPr>
            <w:tcW w:w="1206" w:type="dxa"/>
            <w:tcBorders>
              <w:top w:val="nil"/>
              <w:left w:val="nil"/>
              <w:bottom w:val="single" w:sz="8" w:space="0" w:color="auto"/>
              <w:right w:val="single" w:sz="8" w:space="0" w:color="auto"/>
            </w:tcBorders>
            <w:shd w:val="clear" w:color="auto" w:fill="auto"/>
            <w:vAlign w:val="center"/>
            <w:hideMark/>
          </w:tcPr>
          <w:p w14:paraId="18C05D8A"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18,967,404.24</w:t>
            </w:r>
          </w:p>
        </w:tc>
        <w:tc>
          <w:tcPr>
            <w:tcW w:w="1206" w:type="dxa"/>
            <w:tcBorders>
              <w:top w:val="nil"/>
              <w:left w:val="nil"/>
              <w:bottom w:val="single" w:sz="8" w:space="0" w:color="auto"/>
              <w:right w:val="single" w:sz="8" w:space="0" w:color="auto"/>
            </w:tcBorders>
            <w:shd w:val="clear" w:color="auto" w:fill="auto"/>
            <w:vAlign w:val="center"/>
            <w:hideMark/>
          </w:tcPr>
          <w:p w14:paraId="26D13B52"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18,967,404.24</w:t>
            </w:r>
          </w:p>
        </w:tc>
        <w:tc>
          <w:tcPr>
            <w:tcW w:w="1206" w:type="dxa"/>
            <w:tcBorders>
              <w:top w:val="nil"/>
              <w:left w:val="nil"/>
              <w:bottom w:val="single" w:sz="8" w:space="0" w:color="auto"/>
              <w:right w:val="single" w:sz="8" w:space="0" w:color="auto"/>
            </w:tcBorders>
            <w:shd w:val="clear" w:color="auto" w:fill="auto"/>
            <w:noWrap/>
            <w:vAlign w:val="center"/>
            <w:hideMark/>
          </w:tcPr>
          <w:p w14:paraId="43DD7781"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18,967,404.24</w:t>
            </w:r>
          </w:p>
        </w:tc>
        <w:tc>
          <w:tcPr>
            <w:tcW w:w="992" w:type="dxa"/>
            <w:tcBorders>
              <w:top w:val="nil"/>
              <w:left w:val="nil"/>
              <w:bottom w:val="single" w:sz="8" w:space="0" w:color="auto"/>
              <w:right w:val="single" w:sz="8" w:space="0" w:color="auto"/>
            </w:tcBorders>
            <w:shd w:val="clear" w:color="auto" w:fill="auto"/>
            <w:noWrap/>
            <w:vAlign w:val="center"/>
            <w:hideMark/>
          </w:tcPr>
          <w:p w14:paraId="223E6AFA"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4F9ACDDD"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w:t>
            </w:r>
          </w:p>
        </w:tc>
        <w:tc>
          <w:tcPr>
            <w:tcW w:w="1078" w:type="dxa"/>
            <w:tcBorders>
              <w:top w:val="nil"/>
              <w:left w:val="nil"/>
              <w:bottom w:val="single" w:sz="8" w:space="0" w:color="auto"/>
              <w:right w:val="single" w:sz="8" w:space="0" w:color="auto"/>
            </w:tcBorders>
            <w:shd w:val="clear" w:color="auto" w:fill="auto"/>
            <w:noWrap/>
            <w:vAlign w:val="center"/>
            <w:hideMark/>
          </w:tcPr>
          <w:p w14:paraId="00D87759"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 </w:t>
            </w:r>
          </w:p>
        </w:tc>
      </w:tr>
      <w:tr w:rsidR="00EF4BC3" w:rsidRPr="009E5B39" w14:paraId="0726DA97" w14:textId="77777777" w:rsidTr="0090556E">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12FE53EE" w14:textId="77777777" w:rsidR="00D82E26" w:rsidRPr="009E5B39" w:rsidRDefault="00D82E26" w:rsidP="0090556E">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Încasări de la prestarea serviciilor cu plata</w:t>
            </w:r>
          </w:p>
        </w:tc>
        <w:tc>
          <w:tcPr>
            <w:tcW w:w="687" w:type="dxa"/>
            <w:tcBorders>
              <w:top w:val="nil"/>
              <w:left w:val="nil"/>
              <w:bottom w:val="single" w:sz="8" w:space="0" w:color="auto"/>
              <w:right w:val="single" w:sz="8" w:space="0" w:color="auto"/>
            </w:tcBorders>
            <w:shd w:val="clear" w:color="auto" w:fill="auto"/>
            <w:vAlign w:val="center"/>
            <w:hideMark/>
          </w:tcPr>
          <w:p w14:paraId="41E67D8E" w14:textId="77777777" w:rsidR="00D82E26" w:rsidRPr="009E5B39" w:rsidRDefault="00D82E26" w:rsidP="0090556E">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142310</w:t>
            </w:r>
          </w:p>
        </w:tc>
        <w:tc>
          <w:tcPr>
            <w:tcW w:w="1206" w:type="dxa"/>
            <w:tcBorders>
              <w:top w:val="nil"/>
              <w:left w:val="nil"/>
              <w:bottom w:val="single" w:sz="8" w:space="0" w:color="auto"/>
              <w:right w:val="single" w:sz="8" w:space="0" w:color="auto"/>
            </w:tcBorders>
            <w:shd w:val="clear" w:color="auto" w:fill="auto"/>
            <w:vAlign w:val="center"/>
            <w:hideMark/>
          </w:tcPr>
          <w:p w14:paraId="426B9999"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42,367,351.49</w:t>
            </w:r>
          </w:p>
        </w:tc>
        <w:tc>
          <w:tcPr>
            <w:tcW w:w="1206" w:type="dxa"/>
            <w:tcBorders>
              <w:top w:val="nil"/>
              <w:left w:val="nil"/>
              <w:bottom w:val="single" w:sz="8" w:space="0" w:color="auto"/>
              <w:right w:val="single" w:sz="8" w:space="0" w:color="auto"/>
            </w:tcBorders>
            <w:shd w:val="clear" w:color="auto" w:fill="auto"/>
            <w:vAlign w:val="center"/>
            <w:hideMark/>
          </w:tcPr>
          <w:p w14:paraId="34F05F0B"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41,285,467.58</w:t>
            </w:r>
          </w:p>
        </w:tc>
        <w:tc>
          <w:tcPr>
            <w:tcW w:w="1206" w:type="dxa"/>
            <w:tcBorders>
              <w:top w:val="nil"/>
              <w:left w:val="nil"/>
              <w:bottom w:val="single" w:sz="8" w:space="0" w:color="auto"/>
              <w:right w:val="single" w:sz="8" w:space="0" w:color="auto"/>
            </w:tcBorders>
            <w:shd w:val="clear" w:color="auto" w:fill="auto"/>
            <w:vAlign w:val="center"/>
            <w:hideMark/>
          </w:tcPr>
          <w:p w14:paraId="047B0862"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 </w:t>
            </w:r>
          </w:p>
        </w:tc>
        <w:tc>
          <w:tcPr>
            <w:tcW w:w="992" w:type="dxa"/>
            <w:tcBorders>
              <w:top w:val="nil"/>
              <w:left w:val="nil"/>
              <w:bottom w:val="single" w:sz="8" w:space="0" w:color="auto"/>
              <w:right w:val="single" w:sz="8" w:space="0" w:color="auto"/>
            </w:tcBorders>
            <w:shd w:val="clear" w:color="auto" w:fill="auto"/>
            <w:noWrap/>
            <w:vAlign w:val="center"/>
            <w:hideMark/>
          </w:tcPr>
          <w:p w14:paraId="7EFD53D7"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 </w:t>
            </w:r>
          </w:p>
        </w:tc>
        <w:tc>
          <w:tcPr>
            <w:tcW w:w="1206" w:type="dxa"/>
            <w:tcBorders>
              <w:top w:val="nil"/>
              <w:left w:val="nil"/>
              <w:bottom w:val="single" w:sz="8" w:space="0" w:color="auto"/>
              <w:right w:val="single" w:sz="8" w:space="0" w:color="auto"/>
            </w:tcBorders>
            <w:shd w:val="clear" w:color="auto" w:fill="auto"/>
            <w:vAlign w:val="center"/>
            <w:hideMark/>
          </w:tcPr>
          <w:p w14:paraId="578660CE"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 </w:t>
            </w:r>
          </w:p>
        </w:tc>
        <w:tc>
          <w:tcPr>
            <w:tcW w:w="1078" w:type="dxa"/>
            <w:tcBorders>
              <w:top w:val="nil"/>
              <w:left w:val="nil"/>
              <w:bottom w:val="single" w:sz="8" w:space="0" w:color="auto"/>
              <w:right w:val="single" w:sz="8" w:space="0" w:color="auto"/>
            </w:tcBorders>
            <w:shd w:val="clear" w:color="auto" w:fill="auto"/>
            <w:noWrap/>
            <w:vAlign w:val="center"/>
            <w:hideMark/>
          </w:tcPr>
          <w:p w14:paraId="593CA8DC"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 </w:t>
            </w:r>
          </w:p>
        </w:tc>
      </w:tr>
      <w:tr w:rsidR="00EF4BC3" w:rsidRPr="009E5B39" w14:paraId="60753A1E" w14:textId="77777777" w:rsidTr="0090556E">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89C7E16" w14:textId="77777777" w:rsidR="00D82E26" w:rsidRPr="009E5B39" w:rsidRDefault="00D82E26" w:rsidP="0090556E">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Plata pentru locațiunea bunurilor patrimoniului public</w:t>
            </w:r>
          </w:p>
        </w:tc>
        <w:tc>
          <w:tcPr>
            <w:tcW w:w="687" w:type="dxa"/>
            <w:tcBorders>
              <w:top w:val="nil"/>
              <w:left w:val="nil"/>
              <w:bottom w:val="single" w:sz="8" w:space="0" w:color="auto"/>
              <w:right w:val="single" w:sz="8" w:space="0" w:color="auto"/>
            </w:tcBorders>
            <w:shd w:val="clear" w:color="auto" w:fill="auto"/>
            <w:vAlign w:val="center"/>
            <w:hideMark/>
          </w:tcPr>
          <w:p w14:paraId="269E0AC7" w14:textId="77777777" w:rsidR="00D82E26" w:rsidRPr="009E5B39" w:rsidRDefault="00D82E26" w:rsidP="0090556E">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142320</w:t>
            </w:r>
          </w:p>
        </w:tc>
        <w:tc>
          <w:tcPr>
            <w:tcW w:w="1206" w:type="dxa"/>
            <w:tcBorders>
              <w:top w:val="nil"/>
              <w:left w:val="nil"/>
              <w:bottom w:val="single" w:sz="8" w:space="0" w:color="auto"/>
              <w:right w:val="single" w:sz="8" w:space="0" w:color="auto"/>
            </w:tcBorders>
            <w:shd w:val="clear" w:color="auto" w:fill="auto"/>
            <w:vAlign w:val="center"/>
            <w:hideMark/>
          </w:tcPr>
          <w:p w14:paraId="181046A4"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9,199,489.14</w:t>
            </w:r>
          </w:p>
        </w:tc>
        <w:tc>
          <w:tcPr>
            <w:tcW w:w="1206" w:type="dxa"/>
            <w:tcBorders>
              <w:top w:val="nil"/>
              <w:left w:val="nil"/>
              <w:bottom w:val="single" w:sz="8" w:space="0" w:color="auto"/>
              <w:right w:val="single" w:sz="8" w:space="0" w:color="auto"/>
            </w:tcBorders>
            <w:shd w:val="clear" w:color="auto" w:fill="auto"/>
            <w:vAlign w:val="center"/>
            <w:hideMark/>
          </w:tcPr>
          <w:p w14:paraId="4372CCF5"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9,278,942.74</w:t>
            </w:r>
          </w:p>
        </w:tc>
        <w:tc>
          <w:tcPr>
            <w:tcW w:w="1206" w:type="dxa"/>
            <w:tcBorders>
              <w:top w:val="nil"/>
              <w:left w:val="nil"/>
              <w:bottom w:val="single" w:sz="8" w:space="0" w:color="auto"/>
              <w:right w:val="single" w:sz="8" w:space="0" w:color="auto"/>
            </w:tcBorders>
            <w:shd w:val="clear" w:color="auto" w:fill="auto"/>
            <w:vAlign w:val="center"/>
            <w:hideMark/>
          </w:tcPr>
          <w:p w14:paraId="262DA281"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 </w:t>
            </w:r>
          </w:p>
        </w:tc>
        <w:tc>
          <w:tcPr>
            <w:tcW w:w="992" w:type="dxa"/>
            <w:tcBorders>
              <w:top w:val="nil"/>
              <w:left w:val="nil"/>
              <w:bottom w:val="single" w:sz="8" w:space="0" w:color="auto"/>
              <w:right w:val="single" w:sz="8" w:space="0" w:color="auto"/>
            </w:tcBorders>
            <w:shd w:val="clear" w:color="auto" w:fill="auto"/>
            <w:noWrap/>
            <w:vAlign w:val="center"/>
            <w:hideMark/>
          </w:tcPr>
          <w:p w14:paraId="3FBFFDFD"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 </w:t>
            </w:r>
          </w:p>
        </w:tc>
        <w:tc>
          <w:tcPr>
            <w:tcW w:w="1206" w:type="dxa"/>
            <w:tcBorders>
              <w:top w:val="nil"/>
              <w:left w:val="nil"/>
              <w:bottom w:val="single" w:sz="8" w:space="0" w:color="auto"/>
              <w:right w:val="single" w:sz="8" w:space="0" w:color="auto"/>
            </w:tcBorders>
            <w:shd w:val="clear" w:color="auto" w:fill="auto"/>
            <w:vAlign w:val="center"/>
            <w:hideMark/>
          </w:tcPr>
          <w:p w14:paraId="437FA58E"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 </w:t>
            </w:r>
          </w:p>
        </w:tc>
        <w:tc>
          <w:tcPr>
            <w:tcW w:w="1078" w:type="dxa"/>
            <w:tcBorders>
              <w:top w:val="nil"/>
              <w:left w:val="nil"/>
              <w:bottom w:val="single" w:sz="8" w:space="0" w:color="auto"/>
              <w:right w:val="single" w:sz="8" w:space="0" w:color="auto"/>
            </w:tcBorders>
            <w:shd w:val="clear" w:color="auto" w:fill="auto"/>
            <w:noWrap/>
            <w:vAlign w:val="center"/>
            <w:hideMark/>
          </w:tcPr>
          <w:p w14:paraId="12FF1FD7"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 </w:t>
            </w:r>
          </w:p>
        </w:tc>
      </w:tr>
      <w:tr w:rsidR="00EF4BC3" w:rsidRPr="009E5B39" w14:paraId="0A5E8CA6" w14:textId="77777777" w:rsidTr="0090556E">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C4387E3" w14:textId="3DD6CE79" w:rsidR="00D82E26" w:rsidRPr="009E5B39" w:rsidRDefault="00D82E26" w:rsidP="0090556E">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 xml:space="preserve">Amenzi si sancțiuni contravenționale încasate in bugetul local de nivelul </w:t>
            </w:r>
            <w:r w:rsidR="00502D2B" w:rsidRPr="009E5B39">
              <w:rPr>
                <w:rFonts w:asciiTheme="majorHAnsi" w:eastAsia="Times New Roman" w:hAnsiTheme="majorHAnsi" w:cstheme="majorHAnsi"/>
                <w:sz w:val="14"/>
                <w:szCs w:val="14"/>
                <w:lang w:val="ro-MD"/>
              </w:rPr>
              <w:t>II</w:t>
            </w:r>
          </w:p>
        </w:tc>
        <w:tc>
          <w:tcPr>
            <w:tcW w:w="687" w:type="dxa"/>
            <w:tcBorders>
              <w:top w:val="nil"/>
              <w:left w:val="nil"/>
              <w:bottom w:val="single" w:sz="8" w:space="0" w:color="auto"/>
              <w:right w:val="single" w:sz="8" w:space="0" w:color="auto"/>
            </w:tcBorders>
            <w:shd w:val="clear" w:color="auto" w:fill="auto"/>
            <w:vAlign w:val="center"/>
            <w:hideMark/>
          </w:tcPr>
          <w:p w14:paraId="15C0D407" w14:textId="77777777" w:rsidR="00D82E26" w:rsidRPr="009E5B39" w:rsidRDefault="00D82E26" w:rsidP="0090556E">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143120</w:t>
            </w:r>
          </w:p>
        </w:tc>
        <w:tc>
          <w:tcPr>
            <w:tcW w:w="1206" w:type="dxa"/>
            <w:tcBorders>
              <w:top w:val="nil"/>
              <w:left w:val="nil"/>
              <w:bottom w:val="single" w:sz="8" w:space="0" w:color="auto"/>
              <w:right w:val="single" w:sz="8" w:space="0" w:color="auto"/>
            </w:tcBorders>
            <w:shd w:val="clear" w:color="auto" w:fill="auto"/>
            <w:vAlign w:val="center"/>
            <w:hideMark/>
          </w:tcPr>
          <w:p w14:paraId="2192CBBD"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1,699,145.64</w:t>
            </w:r>
          </w:p>
        </w:tc>
        <w:tc>
          <w:tcPr>
            <w:tcW w:w="1206" w:type="dxa"/>
            <w:tcBorders>
              <w:top w:val="nil"/>
              <w:left w:val="nil"/>
              <w:bottom w:val="single" w:sz="8" w:space="0" w:color="auto"/>
              <w:right w:val="single" w:sz="8" w:space="0" w:color="auto"/>
            </w:tcBorders>
            <w:shd w:val="clear" w:color="auto" w:fill="auto"/>
            <w:vAlign w:val="center"/>
            <w:hideMark/>
          </w:tcPr>
          <w:p w14:paraId="179ED82C"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1,699,145.64</w:t>
            </w:r>
          </w:p>
        </w:tc>
        <w:tc>
          <w:tcPr>
            <w:tcW w:w="1206" w:type="dxa"/>
            <w:tcBorders>
              <w:top w:val="nil"/>
              <w:left w:val="nil"/>
              <w:bottom w:val="single" w:sz="8" w:space="0" w:color="auto"/>
              <w:right w:val="single" w:sz="8" w:space="0" w:color="auto"/>
            </w:tcBorders>
            <w:shd w:val="clear" w:color="auto" w:fill="auto"/>
            <w:noWrap/>
            <w:vAlign w:val="center"/>
            <w:hideMark/>
          </w:tcPr>
          <w:p w14:paraId="43D7C08A"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1,699,145.64</w:t>
            </w:r>
          </w:p>
        </w:tc>
        <w:tc>
          <w:tcPr>
            <w:tcW w:w="992" w:type="dxa"/>
            <w:tcBorders>
              <w:top w:val="nil"/>
              <w:left w:val="nil"/>
              <w:bottom w:val="single" w:sz="8" w:space="0" w:color="auto"/>
              <w:right w:val="single" w:sz="8" w:space="0" w:color="auto"/>
            </w:tcBorders>
            <w:shd w:val="clear" w:color="auto" w:fill="auto"/>
            <w:noWrap/>
            <w:vAlign w:val="center"/>
            <w:hideMark/>
          </w:tcPr>
          <w:p w14:paraId="47023C95"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3BDB00C9"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w:t>
            </w:r>
          </w:p>
        </w:tc>
        <w:tc>
          <w:tcPr>
            <w:tcW w:w="1078" w:type="dxa"/>
            <w:tcBorders>
              <w:top w:val="nil"/>
              <w:left w:val="nil"/>
              <w:bottom w:val="single" w:sz="8" w:space="0" w:color="auto"/>
              <w:right w:val="single" w:sz="8" w:space="0" w:color="auto"/>
            </w:tcBorders>
            <w:shd w:val="clear" w:color="auto" w:fill="auto"/>
            <w:noWrap/>
            <w:vAlign w:val="center"/>
            <w:hideMark/>
          </w:tcPr>
          <w:p w14:paraId="5BBA04FF"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1,699,145.64</w:t>
            </w:r>
          </w:p>
        </w:tc>
      </w:tr>
      <w:tr w:rsidR="00EF4BC3" w:rsidRPr="009E5B39" w14:paraId="20A7C6F9"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8465FE5" w14:textId="74BBBF49" w:rsidR="00D82E26" w:rsidRPr="009E5B39" w:rsidRDefault="00D82E26" w:rsidP="0090556E">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 xml:space="preserve">Alte venituri încasate in bugetele locale de nivelul </w:t>
            </w:r>
            <w:r w:rsidR="00502D2B" w:rsidRPr="009E5B39">
              <w:rPr>
                <w:rFonts w:asciiTheme="majorHAnsi" w:eastAsia="Times New Roman" w:hAnsiTheme="majorHAnsi" w:cstheme="majorHAnsi"/>
                <w:sz w:val="14"/>
                <w:szCs w:val="14"/>
                <w:lang w:val="ro-MD"/>
              </w:rPr>
              <w:t>II</w:t>
            </w:r>
          </w:p>
        </w:tc>
        <w:tc>
          <w:tcPr>
            <w:tcW w:w="687" w:type="dxa"/>
            <w:tcBorders>
              <w:top w:val="nil"/>
              <w:left w:val="nil"/>
              <w:bottom w:val="single" w:sz="8" w:space="0" w:color="auto"/>
              <w:right w:val="single" w:sz="8" w:space="0" w:color="auto"/>
            </w:tcBorders>
            <w:shd w:val="clear" w:color="auto" w:fill="auto"/>
            <w:vAlign w:val="center"/>
            <w:hideMark/>
          </w:tcPr>
          <w:p w14:paraId="6ED9B8BE" w14:textId="77777777" w:rsidR="00D82E26" w:rsidRPr="009E5B39" w:rsidRDefault="00D82E26" w:rsidP="0090556E">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145141</w:t>
            </w:r>
          </w:p>
        </w:tc>
        <w:tc>
          <w:tcPr>
            <w:tcW w:w="1206" w:type="dxa"/>
            <w:tcBorders>
              <w:top w:val="nil"/>
              <w:left w:val="nil"/>
              <w:bottom w:val="single" w:sz="8" w:space="0" w:color="auto"/>
              <w:right w:val="single" w:sz="8" w:space="0" w:color="auto"/>
            </w:tcBorders>
            <w:shd w:val="clear" w:color="auto" w:fill="auto"/>
            <w:vAlign w:val="center"/>
            <w:hideMark/>
          </w:tcPr>
          <w:p w14:paraId="31914816"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78,358.56</w:t>
            </w:r>
          </w:p>
        </w:tc>
        <w:tc>
          <w:tcPr>
            <w:tcW w:w="1206" w:type="dxa"/>
            <w:tcBorders>
              <w:top w:val="nil"/>
              <w:left w:val="nil"/>
              <w:bottom w:val="single" w:sz="8" w:space="0" w:color="auto"/>
              <w:right w:val="single" w:sz="8" w:space="0" w:color="auto"/>
            </w:tcBorders>
            <w:shd w:val="clear" w:color="auto" w:fill="auto"/>
            <w:vAlign w:val="center"/>
            <w:hideMark/>
          </w:tcPr>
          <w:p w14:paraId="2D873F99"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78,358.56</w:t>
            </w:r>
          </w:p>
        </w:tc>
        <w:tc>
          <w:tcPr>
            <w:tcW w:w="1206" w:type="dxa"/>
            <w:tcBorders>
              <w:top w:val="nil"/>
              <w:left w:val="nil"/>
              <w:bottom w:val="single" w:sz="8" w:space="0" w:color="auto"/>
              <w:right w:val="single" w:sz="8" w:space="0" w:color="auto"/>
            </w:tcBorders>
            <w:shd w:val="clear" w:color="auto" w:fill="auto"/>
            <w:noWrap/>
            <w:vAlign w:val="center"/>
            <w:hideMark/>
          </w:tcPr>
          <w:p w14:paraId="389F8EA0"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78,358.56</w:t>
            </w:r>
          </w:p>
        </w:tc>
        <w:tc>
          <w:tcPr>
            <w:tcW w:w="992" w:type="dxa"/>
            <w:tcBorders>
              <w:top w:val="nil"/>
              <w:left w:val="nil"/>
              <w:bottom w:val="single" w:sz="8" w:space="0" w:color="auto"/>
              <w:right w:val="single" w:sz="8" w:space="0" w:color="auto"/>
            </w:tcBorders>
            <w:shd w:val="clear" w:color="auto" w:fill="auto"/>
            <w:noWrap/>
            <w:vAlign w:val="center"/>
            <w:hideMark/>
          </w:tcPr>
          <w:p w14:paraId="5C2F52E2"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1E8BA23D"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2,400.43</w:t>
            </w:r>
          </w:p>
        </w:tc>
        <w:tc>
          <w:tcPr>
            <w:tcW w:w="1078" w:type="dxa"/>
            <w:tcBorders>
              <w:top w:val="nil"/>
              <w:left w:val="nil"/>
              <w:bottom w:val="single" w:sz="8" w:space="0" w:color="auto"/>
              <w:right w:val="single" w:sz="8" w:space="0" w:color="auto"/>
            </w:tcBorders>
            <w:shd w:val="clear" w:color="auto" w:fill="auto"/>
            <w:noWrap/>
            <w:vAlign w:val="center"/>
            <w:hideMark/>
          </w:tcPr>
          <w:p w14:paraId="6DDBB47B"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75,958.13</w:t>
            </w:r>
          </w:p>
        </w:tc>
      </w:tr>
      <w:tr w:rsidR="00EF4BC3" w:rsidRPr="009E5B39" w14:paraId="44C415ED" w14:textId="77777777" w:rsidTr="0090556E">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F8914B3" w14:textId="61A650B9" w:rsidR="00D82E26" w:rsidRPr="009E5B39" w:rsidRDefault="00D82E26" w:rsidP="0090556E">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 xml:space="preserve">Alte venituri încasate in bugetele locale de nivelul </w:t>
            </w:r>
            <w:r w:rsidR="00502D2B" w:rsidRPr="009E5B39">
              <w:rPr>
                <w:rFonts w:asciiTheme="majorHAnsi" w:eastAsia="Times New Roman" w:hAnsiTheme="majorHAnsi" w:cstheme="majorHAnsi"/>
                <w:sz w:val="14"/>
                <w:szCs w:val="14"/>
                <w:lang w:val="ro-MD"/>
              </w:rPr>
              <w:t>I</w:t>
            </w:r>
          </w:p>
        </w:tc>
        <w:tc>
          <w:tcPr>
            <w:tcW w:w="687" w:type="dxa"/>
            <w:tcBorders>
              <w:top w:val="nil"/>
              <w:left w:val="nil"/>
              <w:bottom w:val="single" w:sz="8" w:space="0" w:color="auto"/>
              <w:right w:val="single" w:sz="8" w:space="0" w:color="auto"/>
            </w:tcBorders>
            <w:shd w:val="clear" w:color="auto" w:fill="auto"/>
            <w:vAlign w:val="center"/>
            <w:hideMark/>
          </w:tcPr>
          <w:p w14:paraId="28EBF37E" w14:textId="77777777" w:rsidR="00D82E26" w:rsidRPr="009E5B39" w:rsidRDefault="00D82E26" w:rsidP="0090556E">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145142</w:t>
            </w:r>
          </w:p>
        </w:tc>
        <w:tc>
          <w:tcPr>
            <w:tcW w:w="1206" w:type="dxa"/>
            <w:tcBorders>
              <w:top w:val="nil"/>
              <w:left w:val="nil"/>
              <w:bottom w:val="single" w:sz="8" w:space="0" w:color="auto"/>
              <w:right w:val="single" w:sz="8" w:space="0" w:color="auto"/>
            </w:tcBorders>
            <w:shd w:val="clear" w:color="auto" w:fill="auto"/>
            <w:vAlign w:val="center"/>
            <w:hideMark/>
          </w:tcPr>
          <w:p w14:paraId="7EE8E1CA"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0.00</w:t>
            </w:r>
          </w:p>
        </w:tc>
        <w:tc>
          <w:tcPr>
            <w:tcW w:w="1206" w:type="dxa"/>
            <w:tcBorders>
              <w:top w:val="nil"/>
              <w:left w:val="nil"/>
              <w:bottom w:val="single" w:sz="8" w:space="0" w:color="auto"/>
              <w:right w:val="single" w:sz="8" w:space="0" w:color="auto"/>
            </w:tcBorders>
            <w:shd w:val="clear" w:color="auto" w:fill="auto"/>
            <w:vAlign w:val="center"/>
            <w:hideMark/>
          </w:tcPr>
          <w:p w14:paraId="472B0B5A"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595F5708"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0.00</w:t>
            </w:r>
          </w:p>
        </w:tc>
        <w:tc>
          <w:tcPr>
            <w:tcW w:w="992" w:type="dxa"/>
            <w:tcBorders>
              <w:top w:val="nil"/>
              <w:left w:val="nil"/>
              <w:bottom w:val="single" w:sz="8" w:space="0" w:color="auto"/>
              <w:right w:val="single" w:sz="8" w:space="0" w:color="auto"/>
            </w:tcBorders>
            <w:shd w:val="clear" w:color="auto" w:fill="auto"/>
            <w:noWrap/>
            <w:vAlign w:val="center"/>
            <w:hideMark/>
          </w:tcPr>
          <w:p w14:paraId="399AB7DB"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7F8C2040"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2.50</w:t>
            </w:r>
          </w:p>
        </w:tc>
        <w:tc>
          <w:tcPr>
            <w:tcW w:w="1078" w:type="dxa"/>
            <w:tcBorders>
              <w:top w:val="nil"/>
              <w:left w:val="nil"/>
              <w:bottom w:val="single" w:sz="8" w:space="0" w:color="auto"/>
              <w:right w:val="single" w:sz="8" w:space="0" w:color="auto"/>
            </w:tcBorders>
            <w:shd w:val="clear" w:color="auto" w:fill="auto"/>
            <w:noWrap/>
            <w:vAlign w:val="center"/>
            <w:hideMark/>
          </w:tcPr>
          <w:p w14:paraId="3DBE3355"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-2.50</w:t>
            </w:r>
          </w:p>
        </w:tc>
      </w:tr>
      <w:tr w:rsidR="00EF4BC3" w:rsidRPr="009E5B39" w14:paraId="2B230614" w14:textId="77777777" w:rsidTr="00E111A8">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189FAF7" w14:textId="77777777" w:rsidR="00D82E26" w:rsidRPr="009E5B39" w:rsidRDefault="00D82E26" w:rsidP="0090556E">
            <w:pPr>
              <w:spacing w:after="0" w:line="240" w:lineRule="auto"/>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Impozitul  unic perceput de la rezidenții parcurilor pentru tehnologa informației</w:t>
            </w:r>
          </w:p>
        </w:tc>
        <w:tc>
          <w:tcPr>
            <w:tcW w:w="687" w:type="dxa"/>
            <w:tcBorders>
              <w:top w:val="nil"/>
              <w:left w:val="nil"/>
              <w:bottom w:val="single" w:sz="8" w:space="0" w:color="auto"/>
              <w:right w:val="single" w:sz="8" w:space="0" w:color="auto"/>
            </w:tcBorders>
            <w:shd w:val="clear" w:color="auto" w:fill="auto"/>
            <w:vAlign w:val="center"/>
            <w:hideMark/>
          </w:tcPr>
          <w:p w14:paraId="156DB5B7" w14:textId="77777777" w:rsidR="00D82E26" w:rsidRPr="009E5B39" w:rsidRDefault="00D82E26" w:rsidP="0090556E">
            <w:pPr>
              <w:spacing w:after="0" w:line="240" w:lineRule="auto"/>
              <w:jc w:val="center"/>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145161</w:t>
            </w:r>
          </w:p>
        </w:tc>
        <w:tc>
          <w:tcPr>
            <w:tcW w:w="1206" w:type="dxa"/>
            <w:tcBorders>
              <w:top w:val="nil"/>
              <w:left w:val="nil"/>
              <w:bottom w:val="single" w:sz="8" w:space="0" w:color="auto"/>
              <w:right w:val="single" w:sz="8" w:space="0" w:color="auto"/>
            </w:tcBorders>
            <w:shd w:val="clear" w:color="auto" w:fill="auto"/>
            <w:vAlign w:val="center"/>
            <w:hideMark/>
          </w:tcPr>
          <w:p w14:paraId="2CE0FB1C"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1,463,746.30</w:t>
            </w:r>
          </w:p>
        </w:tc>
        <w:tc>
          <w:tcPr>
            <w:tcW w:w="1206" w:type="dxa"/>
            <w:tcBorders>
              <w:top w:val="nil"/>
              <w:left w:val="nil"/>
              <w:bottom w:val="single" w:sz="8" w:space="0" w:color="auto"/>
              <w:right w:val="single" w:sz="8" w:space="0" w:color="auto"/>
            </w:tcBorders>
            <w:shd w:val="clear" w:color="auto" w:fill="auto"/>
            <w:vAlign w:val="center"/>
            <w:hideMark/>
          </w:tcPr>
          <w:p w14:paraId="4E0E1B8A"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1,463,746.30</w:t>
            </w:r>
          </w:p>
        </w:tc>
        <w:tc>
          <w:tcPr>
            <w:tcW w:w="1206" w:type="dxa"/>
            <w:tcBorders>
              <w:top w:val="nil"/>
              <w:left w:val="nil"/>
              <w:bottom w:val="single" w:sz="8" w:space="0" w:color="auto"/>
              <w:right w:val="single" w:sz="8" w:space="0" w:color="auto"/>
            </w:tcBorders>
            <w:shd w:val="clear" w:color="auto" w:fill="auto"/>
            <w:noWrap/>
            <w:vAlign w:val="center"/>
            <w:hideMark/>
          </w:tcPr>
          <w:p w14:paraId="0E436A15"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1,443,056.04</w:t>
            </w:r>
          </w:p>
        </w:tc>
        <w:tc>
          <w:tcPr>
            <w:tcW w:w="992" w:type="dxa"/>
            <w:tcBorders>
              <w:top w:val="nil"/>
              <w:left w:val="nil"/>
              <w:bottom w:val="single" w:sz="8" w:space="0" w:color="auto"/>
              <w:right w:val="single" w:sz="8" w:space="0" w:color="auto"/>
            </w:tcBorders>
            <w:shd w:val="clear" w:color="auto" w:fill="auto"/>
            <w:noWrap/>
            <w:vAlign w:val="center"/>
            <w:hideMark/>
          </w:tcPr>
          <w:p w14:paraId="4B495F27"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20,690.26</w:t>
            </w:r>
          </w:p>
        </w:tc>
        <w:tc>
          <w:tcPr>
            <w:tcW w:w="1206" w:type="dxa"/>
            <w:tcBorders>
              <w:top w:val="nil"/>
              <w:left w:val="nil"/>
              <w:bottom w:val="single" w:sz="8" w:space="0" w:color="auto"/>
              <w:right w:val="single" w:sz="8" w:space="0" w:color="auto"/>
            </w:tcBorders>
            <w:shd w:val="clear" w:color="auto" w:fill="auto"/>
            <w:noWrap/>
            <w:vAlign w:val="center"/>
            <w:hideMark/>
          </w:tcPr>
          <w:p w14:paraId="58D4257F" w14:textId="77777777" w:rsidR="00D82E26" w:rsidRPr="009E5B39" w:rsidRDefault="00D82E26" w:rsidP="0090556E">
            <w:pPr>
              <w:spacing w:after="0" w:line="240" w:lineRule="auto"/>
              <w:jc w:val="right"/>
              <w:rPr>
                <w:rFonts w:asciiTheme="majorHAnsi" w:eastAsia="Times New Roman" w:hAnsiTheme="majorHAnsi" w:cstheme="majorHAnsi"/>
                <w:sz w:val="14"/>
                <w:szCs w:val="14"/>
                <w:lang w:val="ro-MD"/>
              </w:rPr>
            </w:pPr>
            <w:r w:rsidRPr="009E5B39">
              <w:rPr>
                <w:rFonts w:asciiTheme="majorHAnsi" w:eastAsia="Times New Roman" w:hAnsiTheme="majorHAnsi" w:cstheme="majorHAnsi"/>
                <w:sz w:val="14"/>
                <w:szCs w:val="14"/>
                <w:lang w:val="ro-MD"/>
              </w:rPr>
              <w:t>1,425,558.76</w:t>
            </w:r>
          </w:p>
        </w:tc>
        <w:tc>
          <w:tcPr>
            <w:tcW w:w="1078" w:type="dxa"/>
            <w:tcBorders>
              <w:top w:val="nil"/>
              <w:left w:val="nil"/>
              <w:bottom w:val="single" w:sz="8" w:space="0" w:color="auto"/>
              <w:right w:val="single" w:sz="8" w:space="0" w:color="auto"/>
            </w:tcBorders>
            <w:shd w:val="clear" w:color="auto" w:fill="auto"/>
            <w:noWrap/>
            <w:vAlign w:val="center"/>
            <w:hideMark/>
          </w:tcPr>
          <w:p w14:paraId="5DAF5A2B" w14:textId="77777777" w:rsidR="00D82E26" w:rsidRPr="009E5B39" w:rsidRDefault="00D82E26" w:rsidP="0090556E">
            <w:pPr>
              <w:spacing w:after="0" w:line="240" w:lineRule="auto"/>
              <w:jc w:val="right"/>
              <w:rPr>
                <w:rFonts w:asciiTheme="majorHAnsi" w:eastAsia="Times New Roman" w:hAnsiTheme="majorHAnsi" w:cstheme="majorHAnsi"/>
                <w:b/>
                <w:bCs/>
                <w:sz w:val="14"/>
                <w:szCs w:val="14"/>
                <w:lang w:val="ro-MD"/>
              </w:rPr>
            </w:pPr>
            <w:r w:rsidRPr="009E5B39">
              <w:rPr>
                <w:rFonts w:asciiTheme="majorHAnsi" w:eastAsia="Times New Roman" w:hAnsiTheme="majorHAnsi" w:cstheme="majorHAnsi"/>
                <w:b/>
                <w:bCs/>
                <w:sz w:val="14"/>
                <w:szCs w:val="14"/>
                <w:lang w:val="ro-MD"/>
              </w:rPr>
              <w:t>38,187.54</w:t>
            </w:r>
          </w:p>
        </w:tc>
      </w:tr>
    </w:tbl>
    <w:p w14:paraId="32081C3E" w14:textId="16BF9309" w:rsidR="00D82E26" w:rsidRPr="009E5B39" w:rsidRDefault="00D82E26" w:rsidP="0090556E">
      <w:pPr>
        <w:spacing w:after="0" w:line="276" w:lineRule="auto"/>
        <w:rPr>
          <w:rFonts w:asciiTheme="majorHAnsi" w:hAnsiTheme="majorHAnsi" w:cstheme="majorHAnsi"/>
          <w:b/>
          <w:i/>
          <w:sz w:val="24"/>
          <w:szCs w:val="24"/>
          <w:lang w:val="ro-MD"/>
        </w:rPr>
      </w:pPr>
    </w:p>
    <w:p w14:paraId="27E9C9FA" w14:textId="77777777" w:rsidR="008107EA" w:rsidRPr="009E5B39" w:rsidRDefault="008107EA" w:rsidP="00EF4BC3">
      <w:pPr>
        <w:spacing w:after="0" w:line="276" w:lineRule="auto"/>
        <w:ind w:firstLine="360"/>
        <w:jc w:val="right"/>
        <w:rPr>
          <w:rFonts w:asciiTheme="majorHAnsi" w:hAnsiTheme="majorHAnsi" w:cstheme="majorHAnsi"/>
          <w:b/>
          <w:i/>
          <w:sz w:val="24"/>
          <w:szCs w:val="24"/>
          <w:lang w:val="ro-MD"/>
        </w:rPr>
        <w:sectPr w:rsidR="008107EA" w:rsidRPr="009E5B39" w:rsidSect="00DF1919">
          <w:pgSz w:w="11907" w:h="16840" w:code="9"/>
          <w:pgMar w:top="1134" w:right="851" w:bottom="1134" w:left="1701" w:header="709" w:footer="709" w:gutter="0"/>
          <w:cols w:space="708"/>
          <w:docGrid w:linePitch="360"/>
        </w:sectPr>
      </w:pPr>
    </w:p>
    <w:p w14:paraId="208D6ADD" w14:textId="77777777" w:rsidR="008107EA" w:rsidRPr="009E5B39" w:rsidRDefault="008107EA" w:rsidP="008107EA">
      <w:pPr>
        <w:pStyle w:val="Heading1"/>
        <w:spacing w:before="0"/>
        <w:jc w:val="right"/>
        <w:rPr>
          <w:rFonts w:cstheme="majorHAnsi"/>
          <w:b/>
          <w:color w:val="auto"/>
          <w:lang w:val="ro-MD"/>
        </w:rPr>
      </w:pPr>
      <w:bookmarkStart w:id="22" w:name="_Toc116026887"/>
      <w:r w:rsidRPr="009E5B39">
        <w:rPr>
          <w:rFonts w:cstheme="majorHAnsi"/>
          <w:b/>
          <w:color w:val="auto"/>
          <w:lang w:val="ro-MD"/>
        </w:rPr>
        <w:t>Anexa nr.5</w:t>
      </w:r>
      <w:bookmarkEnd w:id="22"/>
    </w:p>
    <w:tbl>
      <w:tblPr>
        <w:tblW w:w="15026" w:type="dxa"/>
        <w:tblLook w:val="04A0" w:firstRow="1" w:lastRow="0" w:firstColumn="1" w:lastColumn="0" w:noHBand="0" w:noVBand="1"/>
      </w:tblPr>
      <w:tblGrid>
        <w:gridCol w:w="911"/>
        <w:gridCol w:w="1144"/>
        <w:gridCol w:w="1055"/>
        <w:gridCol w:w="1437"/>
        <w:gridCol w:w="1075"/>
        <w:gridCol w:w="993"/>
        <w:gridCol w:w="12"/>
        <w:gridCol w:w="1444"/>
        <w:gridCol w:w="6"/>
        <w:gridCol w:w="1313"/>
        <w:gridCol w:w="6"/>
        <w:gridCol w:w="1829"/>
        <w:gridCol w:w="6"/>
        <w:gridCol w:w="1297"/>
        <w:gridCol w:w="6"/>
        <w:gridCol w:w="13"/>
        <w:gridCol w:w="12"/>
        <w:gridCol w:w="1336"/>
        <w:gridCol w:w="6"/>
        <w:gridCol w:w="11"/>
        <w:gridCol w:w="1626"/>
      </w:tblGrid>
      <w:tr w:rsidR="008107EA" w:rsidRPr="009E5B39" w14:paraId="033144E2" w14:textId="77777777" w:rsidTr="00513698">
        <w:trPr>
          <w:trHeight w:val="290"/>
        </w:trPr>
        <w:tc>
          <w:tcPr>
            <w:tcW w:w="880" w:type="dxa"/>
            <w:tcBorders>
              <w:top w:val="nil"/>
              <w:left w:val="nil"/>
              <w:bottom w:val="nil"/>
              <w:right w:val="nil"/>
            </w:tcBorders>
            <w:shd w:val="clear" w:color="auto" w:fill="auto"/>
            <w:noWrap/>
            <w:vAlign w:val="bottom"/>
            <w:hideMark/>
          </w:tcPr>
          <w:p w14:paraId="6C4972EE" w14:textId="77777777" w:rsidR="008107EA" w:rsidRPr="009E5B39" w:rsidRDefault="008107EA" w:rsidP="00513698">
            <w:pPr>
              <w:spacing w:after="0" w:line="240" w:lineRule="auto"/>
              <w:rPr>
                <w:rFonts w:asciiTheme="majorHAnsi" w:eastAsia="Times New Roman" w:hAnsiTheme="majorHAnsi" w:cstheme="majorHAnsi"/>
                <w:sz w:val="24"/>
                <w:szCs w:val="24"/>
                <w:lang w:val="ro-MD"/>
              </w:rPr>
            </w:pPr>
          </w:p>
        </w:tc>
        <w:tc>
          <w:tcPr>
            <w:tcW w:w="1105" w:type="dxa"/>
            <w:tcBorders>
              <w:top w:val="nil"/>
              <w:left w:val="nil"/>
              <w:bottom w:val="nil"/>
              <w:right w:val="nil"/>
            </w:tcBorders>
            <w:shd w:val="clear" w:color="auto" w:fill="auto"/>
            <w:noWrap/>
            <w:vAlign w:val="bottom"/>
            <w:hideMark/>
          </w:tcPr>
          <w:p w14:paraId="58CAFBB6"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020" w:type="dxa"/>
            <w:tcBorders>
              <w:top w:val="nil"/>
              <w:left w:val="nil"/>
              <w:bottom w:val="nil"/>
              <w:right w:val="nil"/>
            </w:tcBorders>
            <w:shd w:val="clear" w:color="auto" w:fill="auto"/>
            <w:noWrap/>
            <w:vAlign w:val="bottom"/>
            <w:hideMark/>
          </w:tcPr>
          <w:p w14:paraId="7E275AA4"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390" w:type="dxa"/>
            <w:tcBorders>
              <w:top w:val="nil"/>
              <w:left w:val="nil"/>
              <w:bottom w:val="nil"/>
              <w:right w:val="nil"/>
            </w:tcBorders>
            <w:shd w:val="clear" w:color="auto" w:fill="auto"/>
            <w:noWrap/>
            <w:vAlign w:val="bottom"/>
            <w:hideMark/>
          </w:tcPr>
          <w:p w14:paraId="46CD4A80"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040" w:type="dxa"/>
            <w:tcBorders>
              <w:top w:val="nil"/>
              <w:left w:val="nil"/>
              <w:bottom w:val="nil"/>
              <w:right w:val="nil"/>
            </w:tcBorders>
            <w:shd w:val="clear" w:color="auto" w:fill="auto"/>
            <w:noWrap/>
            <w:vAlign w:val="bottom"/>
            <w:hideMark/>
          </w:tcPr>
          <w:p w14:paraId="4CAFF354"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960" w:type="dxa"/>
            <w:tcBorders>
              <w:top w:val="nil"/>
              <w:left w:val="nil"/>
              <w:bottom w:val="nil"/>
              <w:right w:val="nil"/>
            </w:tcBorders>
            <w:shd w:val="clear" w:color="auto" w:fill="auto"/>
            <w:noWrap/>
            <w:vAlign w:val="bottom"/>
            <w:hideMark/>
          </w:tcPr>
          <w:p w14:paraId="1516CDC3"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408" w:type="dxa"/>
            <w:gridSpan w:val="2"/>
            <w:tcBorders>
              <w:top w:val="nil"/>
              <w:left w:val="nil"/>
              <w:bottom w:val="nil"/>
              <w:right w:val="nil"/>
            </w:tcBorders>
            <w:shd w:val="clear" w:color="auto" w:fill="auto"/>
            <w:noWrap/>
            <w:vAlign w:val="bottom"/>
            <w:hideMark/>
          </w:tcPr>
          <w:p w14:paraId="26E06910"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276" w:type="dxa"/>
            <w:gridSpan w:val="2"/>
            <w:tcBorders>
              <w:top w:val="nil"/>
              <w:left w:val="nil"/>
              <w:bottom w:val="nil"/>
              <w:right w:val="nil"/>
            </w:tcBorders>
            <w:shd w:val="clear" w:color="auto" w:fill="auto"/>
            <w:noWrap/>
            <w:vAlign w:val="bottom"/>
            <w:hideMark/>
          </w:tcPr>
          <w:p w14:paraId="0A2B5FA3"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775" w:type="dxa"/>
            <w:gridSpan w:val="2"/>
            <w:tcBorders>
              <w:top w:val="nil"/>
              <w:left w:val="nil"/>
              <w:bottom w:val="nil"/>
              <w:right w:val="nil"/>
            </w:tcBorders>
            <w:shd w:val="clear" w:color="auto" w:fill="auto"/>
            <w:noWrap/>
            <w:vAlign w:val="bottom"/>
            <w:hideMark/>
          </w:tcPr>
          <w:p w14:paraId="3D009501"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260" w:type="dxa"/>
            <w:gridSpan w:val="2"/>
            <w:tcBorders>
              <w:top w:val="nil"/>
              <w:left w:val="nil"/>
              <w:bottom w:val="nil"/>
              <w:right w:val="nil"/>
            </w:tcBorders>
            <w:shd w:val="clear" w:color="auto" w:fill="auto"/>
            <w:noWrap/>
            <w:vAlign w:val="bottom"/>
            <w:hideMark/>
          </w:tcPr>
          <w:p w14:paraId="5A612852"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323" w:type="dxa"/>
            <w:gridSpan w:val="4"/>
            <w:tcBorders>
              <w:top w:val="nil"/>
              <w:left w:val="nil"/>
              <w:bottom w:val="nil"/>
              <w:right w:val="nil"/>
            </w:tcBorders>
            <w:shd w:val="clear" w:color="auto" w:fill="auto"/>
            <w:noWrap/>
            <w:vAlign w:val="bottom"/>
            <w:hideMark/>
          </w:tcPr>
          <w:p w14:paraId="5C54AD46"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589" w:type="dxa"/>
            <w:gridSpan w:val="3"/>
            <w:tcBorders>
              <w:top w:val="nil"/>
              <w:left w:val="nil"/>
              <w:bottom w:val="nil"/>
              <w:right w:val="nil"/>
            </w:tcBorders>
            <w:shd w:val="clear" w:color="auto" w:fill="auto"/>
            <w:noWrap/>
            <w:vAlign w:val="bottom"/>
            <w:hideMark/>
          </w:tcPr>
          <w:p w14:paraId="37884E51"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r>
      <w:tr w:rsidR="008107EA" w:rsidRPr="009E5B39" w14:paraId="00F4B643" w14:textId="77777777" w:rsidTr="00513698">
        <w:trPr>
          <w:trHeight w:val="290"/>
        </w:trPr>
        <w:tc>
          <w:tcPr>
            <w:tcW w:w="15026" w:type="dxa"/>
            <w:gridSpan w:val="21"/>
            <w:tcBorders>
              <w:top w:val="nil"/>
              <w:left w:val="nil"/>
              <w:bottom w:val="nil"/>
              <w:right w:val="nil"/>
            </w:tcBorders>
            <w:shd w:val="clear" w:color="auto" w:fill="auto"/>
            <w:noWrap/>
            <w:vAlign w:val="bottom"/>
            <w:hideMark/>
          </w:tcPr>
          <w:p w14:paraId="142C4235" w14:textId="64C5881A" w:rsidR="008107EA" w:rsidRPr="009E5B39" w:rsidRDefault="008107EA" w:rsidP="00513698">
            <w:pPr>
              <w:spacing w:after="0" w:line="240" w:lineRule="auto"/>
              <w:jc w:val="center"/>
              <w:rPr>
                <w:rFonts w:asciiTheme="majorHAnsi" w:eastAsia="Times New Roman" w:hAnsiTheme="majorHAnsi" w:cstheme="majorHAnsi"/>
                <w:b/>
                <w:bCs/>
                <w:iCs/>
                <w:lang w:val="ro-MD"/>
              </w:rPr>
            </w:pPr>
            <w:r w:rsidRPr="009E5B39">
              <w:rPr>
                <w:rFonts w:asciiTheme="majorHAnsi" w:eastAsia="Times New Roman" w:hAnsiTheme="majorHAnsi" w:cstheme="majorHAnsi"/>
                <w:b/>
                <w:bCs/>
                <w:iCs/>
                <w:lang w:val="ro-MD"/>
              </w:rPr>
              <w:t>Analiza transferurilor cu destinație specială pentru infrastructura drumurilor</w:t>
            </w:r>
            <w:r w:rsidR="00B54E6A" w:rsidRPr="009E5B39">
              <w:rPr>
                <w:rFonts w:asciiTheme="majorHAnsi" w:eastAsia="Times New Roman" w:hAnsiTheme="majorHAnsi" w:cstheme="majorHAnsi"/>
                <w:b/>
                <w:bCs/>
                <w:iCs/>
                <w:lang w:val="ro-MD"/>
              </w:rPr>
              <w:t>,</w:t>
            </w:r>
            <w:r w:rsidRPr="009E5B39">
              <w:rPr>
                <w:rFonts w:asciiTheme="majorHAnsi" w:eastAsia="Times New Roman" w:hAnsiTheme="majorHAnsi" w:cstheme="majorHAnsi"/>
                <w:b/>
                <w:bCs/>
                <w:iCs/>
                <w:lang w:val="ro-MD"/>
              </w:rPr>
              <w:t xml:space="preserve"> </w:t>
            </w:r>
          </w:p>
        </w:tc>
      </w:tr>
      <w:tr w:rsidR="008107EA" w:rsidRPr="009E5B39" w14:paraId="096A96AB" w14:textId="77777777" w:rsidTr="00513698">
        <w:trPr>
          <w:trHeight w:val="290"/>
        </w:trPr>
        <w:tc>
          <w:tcPr>
            <w:tcW w:w="15026" w:type="dxa"/>
            <w:gridSpan w:val="21"/>
            <w:tcBorders>
              <w:top w:val="nil"/>
              <w:left w:val="nil"/>
              <w:bottom w:val="nil"/>
              <w:right w:val="nil"/>
            </w:tcBorders>
            <w:shd w:val="clear" w:color="auto" w:fill="auto"/>
            <w:noWrap/>
            <w:vAlign w:val="bottom"/>
            <w:hideMark/>
          </w:tcPr>
          <w:p w14:paraId="4700EC00" w14:textId="45AE5944" w:rsidR="008107EA" w:rsidRPr="009E5B39" w:rsidRDefault="008107EA" w:rsidP="00513698">
            <w:pPr>
              <w:spacing w:after="0" w:line="240" w:lineRule="auto"/>
              <w:jc w:val="center"/>
              <w:rPr>
                <w:rFonts w:asciiTheme="majorHAnsi" w:eastAsia="Times New Roman" w:hAnsiTheme="majorHAnsi" w:cstheme="majorHAnsi"/>
                <w:b/>
                <w:bCs/>
                <w:iCs/>
                <w:lang w:val="ro-MD"/>
              </w:rPr>
            </w:pPr>
            <w:r w:rsidRPr="009E5B39">
              <w:rPr>
                <w:rFonts w:asciiTheme="majorHAnsi" w:eastAsia="Times New Roman" w:hAnsiTheme="majorHAnsi" w:cstheme="majorHAnsi"/>
                <w:b/>
                <w:bCs/>
                <w:iCs/>
                <w:lang w:val="ro-MD"/>
              </w:rPr>
              <w:t xml:space="preserve">alocate </w:t>
            </w:r>
            <w:r w:rsidR="00B54E6A" w:rsidRPr="009E5B39">
              <w:rPr>
                <w:rFonts w:asciiTheme="majorHAnsi" w:eastAsia="Times New Roman" w:hAnsiTheme="majorHAnsi" w:cstheme="majorHAnsi"/>
                <w:b/>
                <w:bCs/>
                <w:iCs/>
                <w:lang w:val="ro-MD"/>
              </w:rPr>
              <w:t>P</w:t>
            </w:r>
            <w:r w:rsidRPr="009E5B39">
              <w:rPr>
                <w:rFonts w:asciiTheme="majorHAnsi" w:eastAsia="Times New Roman" w:hAnsiTheme="majorHAnsi" w:cstheme="majorHAnsi"/>
                <w:b/>
                <w:bCs/>
                <w:iCs/>
                <w:lang w:val="ro-MD"/>
              </w:rPr>
              <w:t xml:space="preserve">rimăriei mun. Chișinău de la bugetul de stat în </w:t>
            </w:r>
            <w:r w:rsidR="00B54E6A" w:rsidRPr="009E5B39">
              <w:rPr>
                <w:rFonts w:asciiTheme="majorHAnsi" w:eastAsia="Times New Roman" w:hAnsiTheme="majorHAnsi" w:cstheme="majorHAnsi"/>
                <w:b/>
                <w:bCs/>
                <w:iCs/>
                <w:lang w:val="ro-MD"/>
              </w:rPr>
              <w:t>anii</w:t>
            </w:r>
            <w:r w:rsidRPr="009E5B39">
              <w:rPr>
                <w:rFonts w:asciiTheme="majorHAnsi" w:eastAsia="Times New Roman" w:hAnsiTheme="majorHAnsi" w:cstheme="majorHAnsi"/>
                <w:b/>
                <w:bCs/>
                <w:iCs/>
                <w:lang w:val="ro-MD"/>
              </w:rPr>
              <w:t xml:space="preserve"> 2018</w:t>
            </w:r>
            <w:r w:rsidR="00843891" w:rsidRPr="009E5B39">
              <w:rPr>
                <w:rFonts w:asciiTheme="majorHAnsi" w:eastAsia="Times New Roman" w:hAnsiTheme="majorHAnsi" w:cstheme="majorHAnsi"/>
                <w:b/>
                <w:bCs/>
                <w:iCs/>
                <w:lang w:val="ro-MD"/>
              </w:rPr>
              <w:t xml:space="preserve"> </w:t>
            </w:r>
            <w:r w:rsidRPr="009E5B39">
              <w:rPr>
                <w:rFonts w:asciiTheme="majorHAnsi" w:eastAsia="Times New Roman" w:hAnsiTheme="majorHAnsi" w:cstheme="majorHAnsi"/>
                <w:b/>
                <w:bCs/>
                <w:iCs/>
                <w:lang w:val="ro-MD"/>
              </w:rPr>
              <w:t>-2020</w:t>
            </w:r>
            <w:r w:rsidR="00B54E6A" w:rsidRPr="009E5B39">
              <w:rPr>
                <w:rFonts w:asciiTheme="majorHAnsi" w:eastAsia="Times New Roman" w:hAnsiTheme="majorHAnsi" w:cstheme="majorHAnsi"/>
                <w:b/>
                <w:bCs/>
                <w:iCs/>
                <w:lang w:val="ro-MD"/>
              </w:rPr>
              <w:t>,</w:t>
            </w:r>
            <w:r w:rsidRPr="009E5B39">
              <w:rPr>
                <w:rFonts w:asciiTheme="majorHAnsi" w:eastAsia="Times New Roman" w:hAnsiTheme="majorHAnsi" w:cstheme="majorHAnsi"/>
                <w:b/>
                <w:bCs/>
                <w:iCs/>
                <w:lang w:val="ro-MD"/>
              </w:rPr>
              <w:t xml:space="preserve">  și utilizarea acestora</w:t>
            </w:r>
          </w:p>
        </w:tc>
      </w:tr>
      <w:tr w:rsidR="008107EA" w:rsidRPr="009E5B39" w14:paraId="63CAE277" w14:textId="77777777" w:rsidTr="00513698">
        <w:trPr>
          <w:trHeight w:val="290"/>
        </w:trPr>
        <w:tc>
          <w:tcPr>
            <w:tcW w:w="880" w:type="dxa"/>
            <w:tcBorders>
              <w:top w:val="nil"/>
              <w:left w:val="nil"/>
              <w:bottom w:val="nil"/>
              <w:right w:val="nil"/>
            </w:tcBorders>
            <w:shd w:val="clear" w:color="auto" w:fill="auto"/>
            <w:noWrap/>
            <w:vAlign w:val="bottom"/>
            <w:hideMark/>
          </w:tcPr>
          <w:p w14:paraId="5922D4D1" w14:textId="77777777" w:rsidR="008107EA" w:rsidRPr="009E5B39" w:rsidRDefault="008107EA" w:rsidP="00513698">
            <w:pPr>
              <w:spacing w:after="0" w:line="240" w:lineRule="auto"/>
              <w:jc w:val="center"/>
              <w:rPr>
                <w:rFonts w:asciiTheme="majorHAnsi" w:eastAsia="Times New Roman" w:hAnsiTheme="majorHAnsi" w:cstheme="majorHAnsi"/>
                <w:b/>
                <w:bCs/>
                <w:i/>
                <w:iCs/>
                <w:lang w:val="ro-MD"/>
              </w:rPr>
            </w:pPr>
          </w:p>
        </w:tc>
        <w:tc>
          <w:tcPr>
            <w:tcW w:w="1105" w:type="dxa"/>
            <w:tcBorders>
              <w:top w:val="nil"/>
              <w:left w:val="nil"/>
              <w:bottom w:val="nil"/>
              <w:right w:val="nil"/>
            </w:tcBorders>
            <w:shd w:val="clear" w:color="auto" w:fill="auto"/>
            <w:noWrap/>
            <w:vAlign w:val="bottom"/>
            <w:hideMark/>
          </w:tcPr>
          <w:p w14:paraId="284B46B2"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020" w:type="dxa"/>
            <w:tcBorders>
              <w:top w:val="nil"/>
              <w:left w:val="nil"/>
              <w:bottom w:val="nil"/>
              <w:right w:val="nil"/>
            </w:tcBorders>
            <w:shd w:val="clear" w:color="auto" w:fill="auto"/>
            <w:noWrap/>
            <w:vAlign w:val="bottom"/>
            <w:hideMark/>
          </w:tcPr>
          <w:p w14:paraId="6AE3DC4D"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390" w:type="dxa"/>
            <w:tcBorders>
              <w:top w:val="nil"/>
              <w:left w:val="nil"/>
              <w:bottom w:val="nil"/>
              <w:right w:val="nil"/>
            </w:tcBorders>
            <w:shd w:val="clear" w:color="auto" w:fill="auto"/>
            <w:noWrap/>
            <w:vAlign w:val="bottom"/>
            <w:hideMark/>
          </w:tcPr>
          <w:p w14:paraId="4287544F"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040" w:type="dxa"/>
            <w:tcBorders>
              <w:top w:val="nil"/>
              <w:left w:val="nil"/>
              <w:bottom w:val="nil"/>
              <w:right w:val="nil"/>
            </w:tcBorders>
            <w:shd w:val="clear" w:color="auto" w:fill="auto"/>
            <w:noWrap/>
            <w:vAlign w:val="bottom"/>
            <w:hideMark/>
          </w:tcPr>
          <w:p w14:paraId="5CBA288C"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960" w:type="dxa"/>
            <w:tcBorders>
              <w:top w:val="nil"/>
              <w:left w:val="nil"/>
              <w:bottom w:val="nil"/>
              <w:right w:val="nil"/>
            </w:tcBorders>
            <w:shd w:val="clear" w:color="auto" w:fill="auto"/>
            <w:noWrap/>
            <w:vAlign w:val="bottom"/>
            <w:hideMark/>
          </w:tcPr>
          <w:p w14:paraId="6CB2787F"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408" w:type="dxa"/>
            <w:gridSpan w:val="2"/>
            <w:tcBorders>
              <w:top w:val="nil"/>
              <w:left w:val="nil"/>
              <w:bottom w:val="nil"/>
              <w:right w:val="nil"/>
            </w:tcBorders>
            <w:shd w:val="clear" w:color="auto" w:fill="auto"/>
            <w:noWrap/>
            <w:vAlign w:val="bottom"/>
            <w:hideMark/>
          </w:tcPr>
          <w:p w14:paraId="15C580B9"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276" w:type="dxa"/>
            <w:gridSpan w:val="2"/>
            <w:tcBorders>
              <w:top w:val="nil"/>
              <w:left w:val="nil"/>
              <w:bottom w:val="nil"/>
              <w:right w:val="nil"/>
            </w:tcBorders>
            <w:shd w:val="clear" w:color="auto" w:fill="auto"/>
            <w:noWrap/>
            <w:vAlign w:val="bottom"/>
            <w:hideMark/>
          </w:tcPr>
          <w:p w14:paraId="54E7F1ED"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775" w:type="dxa"/>
            <w:gridSpan w:val="2"/>
            <w:tcBorders>
              <w:top w:val="nil"/>
              <w:left w:val="nil"/>
              <w:bottom w:val="nil"/>
              <w:right w:val="nil"/>
            </w:tcBorders>
            <w:shd w:val="clear" w:color="auto" w:fill="auto"/>
            <w:noWrap/>
            <w:vAlign w:val="bottom"/>
            <w:hideMark/>
          </w:tcPr>
          <w:p w14:paraId="6138FE31"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260" w:type="dxa"/>
            <w:gridSpan w:val="2"/>
            <w:tcBorders>
              <w:top w:val="nil"/>
              <w:left w:val="nil"/>
              <w:bottom w:val="nil"/>
              <w:right w:val="nil"/>
            </w:tcBorders>
            <w:shd w:val="clear" w:color="auto" w:fill="auto"/>
            <w:noWrap/>
            <w:vAlign w:val="bottom"/>
            <w:hideMark/>
          </w:tcPr>
          <w:p w14:paraId="627C899F"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323" w:type="dxa"/>
            <w:gridSpan w:val="4"/>
            <w:tcBorders>
              <w:top w:val="nil"/>
              <w:left w:val="nil"/>
              <w:bottom w:val="nil"/>
              <w:right w:val="nil"/>
            </w:tcBorders>
            <w:shd w:val="clear" w:color="auto" w:fill="auto"/>
            <w:noWrap/>
            <w:vAlign w:val="bottom"/>
            <w:hideMark/>
          </w:tcPr>
          <w:p w14:paraId="5EB88136" w14:textId="77777777" w:rsidR="008107EA" w:rsidRPr="009E5B39" w:rsidRDefault="008107EA" w:rsidP="00513698">
            <w:pPr>
              <w:spacing w:after="0" w:line="240" w:lineRule="auto"/>
              <w:jc w:val="right"/>
              <w:rPr>
                <w:rFonts w:asciiTheme="majorHAnsi" w:eastAsia="Times New Roman" w:hAnsiTheme="majorHAnsi" w:cstheme="majorHAnsi"/>
                <w:sz w:val="20"/>
                <w:szCs w:val="20"/>
                <w:lang w:val="ro-MD"/>
              </w:rPr>
            </w:pPr>
          </w:p>
        </w:tc>
        <w:tc>
          <w:tcPr>
            <w:tcW w:w="1589" w:type="dxa"/>
            <w:gridSpan w:val="3"/>
            <w:tcBorders>
              <w:top w:val="nil"/>
              <w:left w:val="nil"/>
              <w:bottom w:val="nil"/>
              <w:right w:val="nil"/>
            </w:tcBorders>
            <w:shd w:val="clear" w:color="auto" w:fill="auto"/>
            <w:noWrap/>
            <w:vAlign w:val="bottom"/>
            <w:hideMark/>
          </w:tcPr>
          <w:p w14:paraId="6741D666" w14:textId="77777777" w:rsidR="008107EA" w:rsidRPr="009E5B39" w:rsidRDefault="008107EA" w:rsidP="00513698">
            <w:pPr>
              <w:spacing w:after="0" w:line="240" w:lineRule="auto"/>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(mii lei)</w:t>
            </w:r>
          </w:p>
        </w:tc>
      </w:tr>
      <w:tr w:rsidR="008107EA" w:rsidRPr="009E5B39" w14:paraId="7A062950" w14:textId="77777777" w:rsidTr="00513698">
        <w:trPr>
          <w:trHeight w:val="600"/>
        </w:trPr>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5EE025" w14:textId="77777777" w:rsidR="008107EA" w:rsidRPr="009E5B39" w:rsidRDefault="008107EA" w:rsidP="00513698">
            <w:pPr>
              <w:spacing w:after="0" w:line="240" w:lineRule="auto"/>
              <w:jc w:val="center"/>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Perioada</w:t>
            </w:r>
          </w:p>
        </w:tc>
        <w:tc>
          <w:tcPr>
            <w:tcW w:w="3515" w:type="dxa"/>
            <w:gridSpan w:val="3"/>
            <w:tcBorders>
              <w:top w:val="single" w:sz="4" w:space="0" w:color="auto"/>
              <w:left w:val="nil"/>
              <w:bottom w:val="single" w:sz="4" w:space="0" w:color="auto"/>
              <w:right w:val="single" w:sz="4" w:space="0" w:color="000000"/>
            </w:tcBorders>
            <w:shd w:val="clear" w:color="auto" w:fill="auto"/>
            <w:hideMark/>
          </w:tcPr>
          <w:p w14:paraId="47C9E161" w14:textId="77777777" w:rsidR="008107EA" w:rsidRPr="009E5B39" w:rsidRDefault="008107EA" w:rsidP="00513698">
            <w:pPr>
              <w:spacing w:after="0" w:line="240" w:lineRule="auto"/>
              <w:jc w:val="center"/>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Transferuri curente pentru infrastructura drumurilor aprobate în LBS*</w:t>
            </w:r>
          </w:p>
        </w:tc>
        <w:tc>
          <w:tcPr>
            <w:tcW w:w="104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6D81C7C" w14:textId="77777777" w:rsidR="008107EA" w:rsidRPr="009E5B39" w:rsidRDefault="008107EA" w:rsidP="00513698">
            <w:pPr>
              <w:spacing w:after="0" w:line="240" w:lineRule="auto"/>
              <w:jc w:val="center"/>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Executat (potrivit datelor raportate în FD-044)**</w:t>
            </w:r>
          </w:p>
        </w:tc>
        <w:tc>
          <w:tcPr>
            <w:tcW w:w="96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BC97725" w14:textId="77777777" w:rsidR="008107EA" w:rsidRPr="009E5B39" w:rsidRDefault="008107EA" w:rsidP="00513698">
            <w:pPr>
              <w:spacing w:after="0" w:line="240" w:lineRule="auto"/>
              <w:jc w:val="center"/>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Diferența</w:t>
            </w:r>
          </w:p>
        </w:tc>
        <w:tc>
          <w:tcPr>
            <w:tcW w:w="5738" w:type="dxa"/>
            <w:gridSpan w:val="10"/>
            <w:tcBorders>
              <w:top w:val="single" w:sz="4" w:space="0" w:color="auto"/>
              <w:left w:val="single" w:sz="4" w:space="0" w:color="auto"/>
              <w:bottom w:val="single" w:sz="4" w:space="0" w:color="000000"/>
              <w:right w:val="single" w:sz="4" w:space="0" w:color="000000"/>
            </w:tcBorders>
            <w:shd w:val="clear" w:color="auto" w:fill="auto"/>
            <w:vAlign w:val="center"/>
            <w:hideMark/>
          </w:tcPr>
          <w:p w14:paraId="0AECA5D4" w14:textId="77777777" w:rsidR="008107EA" w:rsidRPr="009E5B39" w:rsidRDefault="008107EA" w:rsidP="00513698">
            <w:pPr>
              <w:spacing w:after="0" w:line="240" w:lineRule="auto"/>
              <w:jc w:val="center"/>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Utilizat*** pentru:</w:t>
            </w:r>
          </w:p>
        </w:tc>
        <w:tc>
          <w:tcPr>
            <w:tcW w:w="2893" w:type="dxa"/>
            <w:gridSpan w:val="5"/>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3A27242" w14:textId="77777777" w:rsidR="008107EA" w:rsidRPr="009E5B39" w:rsidRDefault="008107EA" w:rsidP="00513698">
            <w:pPr>
              <w:spacing w:after="0" w:line="240" w:lineRule="auto"/>
              <w:jc w:val="center"/>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Diferența</w:t>
            </w:r>
          </w:p>
        </w:tc>
      </w:tr>
      <w:tr w:rsidR="008107EA" w:rsidRPr="009E5B39" w14:paraId="61969B48" w14:textId="77777777" w:rsidTr="00513698">
        <w:trPr>
          <w:trHeight w:val="290"/>
        </w:trPr>
        <w:tc>
          <w:tcPr>
            <w:tcW w:w="880" w:type="dxa"/>
            <w:vMerge/>
            <w:tcBorders>
              <w:top w:val="single" w:sz="4" w:space="0" w:color="auto"/>
              <w:left w:val="single" w:sz="4" w:space="0" w:color="auto"/>
              <w:bottom w:val="single" w:sz="4" w:space="0" w:color="000000"/>
              <w:right w:val="single" w:sz="4" w:space="0" w:color="auto"/>
            </w:tcBorders>
            <w:vAlign w:val="center"/>
            <w:hideMark/>
          </w:tcPr>
          <w:p w14:paraId="596BCC03" w14:textId="77777777" w:rsidR="008107EA" w:rsidRPr="009E5B39" w:rsidRDefault="008107EA" w:rsidP="00513698">
            <w:pPr>
              <w:spacing w:after="0" w:line="240" w:lineRule="auto"/>
              <w:rPr>
                <w:rFonts w:asciiTheme="majorHAnsi" w:eastAsia="Times New Roman" w:hAnsiTheme="majorHAnsi" w:cstheme="majorHAnsi"/>
                <w:b/>
                <w:bCs/>
                <w:iCs/>
                <w:sz w:val="16"/>
                <w:szCs w:val="16"/>
                <w:lang w:val="ro-MD"/>
              </w:rPr>
            </w:pPr>
          </w:p>
        </w:tc>
        <w:tc>
          <w:tcPr>
            <w:tcW w:w="110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7E62F0" w14:textId="77777777" w:rsidR="008107EA" w:rsidRPr="009E5B39" w:rsidRDefault="008107EA" w:rsidP="00513698">
            <w:pPr>
              <w:spacing w:after="0" w:line="240" w:lineRule="auto"/>
              <w:jc w:val="center"/>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TOTAL</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A64E7A" w14:textId="77777777" w:rsidR="008107EA" w:rsidRPr="009E5B39" w:rsidRDefault="008107EA" w:rsidP="00513698">
            <w:pPr>
              <w:spacing w:after="0" w:line="240" w:lineRule="auto"/>
              <w:jc w:val="center"/>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inclusiv:</w:t>
            </w:r>
          </w:p>
        </w:tc>
        <w:tc>
          <w:tcPr>
            <w:tcW w:w="1040" w:type="dxa"/>
            <w:vMerge w:val="restart"/>
            <w:tcBorders>
              <w:top w:val="single" w:sz="4" w:space="0" w:color="auto"/>
              <w:left w:val="single" w:sz="4" w:space="0" w:color="auto"/>
              <w:bottom w:val="single" w:sz="4" w:space="0" w:color="000000"/>
              <w:right w:val="single" w:sz="4" w:space="0" w:color="auto"/>
            </w:tcBorders>
            <w:vAlign w:val="center"/>
            <w:hideMark/>
          </w:tcPr>
          <w:p w14:paraId="151D8E7E" w14:textId="77777777" w:rsidR="008107EA" w:rsidRPr="009E5B39" w:rsidRDefault="008107EA" w:rsidP="00513698">
            <w:pPr>
              <w:spacing w:after="0" w:line="240" w:lineRule="auto"/>
              <w:rPr>
                <w:rFonts w:asciiTheme="majorHAnsi" w:eastAsia="Times New Roman" w:hAnsiTheme="majorHAnsi" w:cstheme="majorHAnsi"/>
                <w:b/>
                <w:bCs/>
                <w:iCs/>
                <w:sz w:val="16"/>
                <w:szCs w:val="16"/>
                <w:lang w:val="ro-MD"/>
              </w:rPr>
            </w:pPr>
          </w:p>
        </w:tc>
        <w:tc>
          <w:tcPr>
            <w:tcW w:w="960" w:type="dxa"/>
            <w:vMerge w:val="restart"/>
            <w:tcBorders>
              <w:top w:val="single" w:sz="4" w:space="0" w:color="auto"/>
              <w:left w:val="single" w:sz="4" w:space="0" w:color="auto"/>
              <w:bottom w:val="single" w:sz="4" w:space="0" w:color="000000"/>
              <w:right w:val="single" w:sz="4" w:space="0" w:color="auto"/>
            </w:tcBorders>
            <w:vAlign w:val="center"/>
            <w:hideMark/>
          </w:tcPr>
          <w:p w14:paraId="29F02807" w14:textId="77777777" w:rsidR="008107EA" w:rsidRPr="009E5B39" w:rsidRDefault="008107EA" w:rsidP="00513698">
            <w:pPr>
              <w:spacing w:after="0" w:line="240" w:lineRule="auto"/>
              <w:rPr>
                <w:rFonts w:asciiTheme="majorHAnsi" w:eastAsia="Times New Roman" w:hAnsiTheme="majorHAnsi" w:cstheme="majorHAnsi"/>
                <w:b/>
                <w:bCs/>
                <w:iCs/>
                <w:sz w:val="16"/>
                <w:szCs w:val="16"/>
                <w:lang w:val="ro-MD"/>
              </w:rPr>
            </w:pPr>
          </w:p>
        </w:tc>
        <w:tc>
          <w:tcPr>
            <w:tcW w:w="5738" w:type="dxa"/>
            <w:gridSpan w:val="10"/>
            <w:tcBorders>
              <w:top w:val="single" w:sz="4" w:space="0" w:color="auto"/>
              <w:left w:val="single" w:sz="4" w:space="0" w:color="auto"/>
              <w:bottom w:val="single" w:sz="4" w:space="0" w:color="000000"/>
              <w:right w:val="single" w:sz="4" w:space="0" w:color="000000"/>
            </w:tcBorders>
            <w:vAlign w:val="center"/>
            <w:hideMark/>
          </w:tcPr>
          <w:p w14:paraId="7D3C6D7B" w14:textId="77777777" w:rsidR="008107EA" w:rsidRPr="009E5B39" w:rsidRDefault="008107EA" w:rsidP="00513698">
            <w:pPr>
              <w:spacing w:after="0" w:line="240" w:lineRule="auto"/>
              <w:rPr>
                <w:rFonts w:asciiTheme="majorHAnsi" w:eastAsia="Times New Roman" w:hAnsiTheme="majorHAnsi" w:cstheme="majorHAnsi"/>
                <w:b/>
                <w:bCs/>
                <w:iCs/>
                <w:sz w:val="16"/>
                <w:szCs w:val="16"/>
                <w:lang w:val="ro-MD"/>
              </w:rPr>
            </w:pPr>
          </w:p>
        </w:tc>
        <w:tc>
          <w:tcPr>
            <w:tcW w:w="2893" w:type="dxa"/>
            <w:gridSpan w:val="5"/>
            <w:tcBorders>
              <w:top w:val="single" w:sz="4" w:space="0" w:color="auto"/>
              <w:left w:val="single" w:sz="4" w:space="0" w:color="auto"/>
              <w:bottom w:val="single" w:sz="4" w:space="0" w:color="000000"/>
              <w:right w:val="single" w:sz="4" w:space="0" w:color="000000"/>
            </w:tcBorders>
            <w:vAlign w:val="center"/>
            <w:hideMark/>
          </w:tcPr>
          <w:p w14:paraId="1240F8D4" w14:textId="77777777" w:rsidR="008107EA" w:rsidRPr="009E5B39" w:rsidRDefault="008107EA" w:rsidP="00513698">
            <w:pPr>
              <w:spacing w:after="0" w:line="240" w:lineRule="auto"/>
              <w:rPr>
                <w:rFonts w:asciiTheme="majorHAnsi" w:eastAsia="Times New Roman" w:hAnsiTheme="majorHAnsi" w:cstheme="majorHAnsi"/>
                <w:b/>
                <w:bCs/>
                <w:iCs/>
                <w:sz w:val="16"/>
                <w:szCs w:val="16"/>
                <w:lang w:val="ro-MD"/>
              </w:rPr>
            </w:pPr>
          </w:p>
        </w:tc>
      </w:tr>
      <w:tr w:rsidR="008107EA" w:rsidRPr="009E5B39" w14:paraId="624DDAE1" w14:textId="77777777" w:rsidTr="00513698">
        <w:trPr>
          <w:trHeight w:val="820"/>
        </w:trPr>
        <w:tc>
          <w:tcPr>
            <w:tcW w:w="880" w:type="dxa"/>
            <w:vMerge/>
            <w:tcBorders>
              <w:top w:val="single" w:sz="4" w:space="0" w:color="auto"/>
              <w:left w:val="single" w:sz="4" w:space="0" w:color="auto"/>
              <w:bottom w:val="single" w:sz="4" w:space="0" w:color="000000"/>
              <w:right w:val="single" w:sz="4" w:space="0" w:color="auto"/>
            </w:tcBorders>
            <w:vAlign w:val="center"/>
            <w:hideMark/>
          </w:tcPr>
          <w:p w14:paraId="69CFF0D2" w14:textId="77777777" w:rsidR="008107EA" w:rsidRPr="009E5B39" w:rsidRDefault="008107EA" w:rsidP="00513698">
            <w:pPr>
              <w:spacing w:after="0" w:line="240" w:lineRule="auto"/>
              <w:rPr>
                <w:rFonts w:asciiTheme="majorHAnsi" w:eastAsia="Times New Roman" w:hAnsiTheme="majorHAnsi" w:cstheme="majorHAnsi"/>
                <w:b/>
                <w:bCs/>
                <w:iCs/>
                <w:sz w:val="16"/>
                <w:szCs w:val="16"/>
                <w:lang w:val="ro-MD"/>
              </w:rPr>
            </w:pPr>
          </w:p>
        </w:tc>
        <w:tc>
          <w:tcPr>
            <w:tcW w:w="1105" w:type="dxa"/>
            <w:vMerge/>
            <w:tcBorders>
              <w:top w:val="nil"/>
              <w:left w:val="single" w:sz="4" w:space="0" w:color="auto"/>
              <w:bottom w:val="single" w:sz="4" w:space="0" w:color="000000"/>
              <w:right w:val="single" w:sz="4" w:space="0" w:color="auto"/>
            </w:tcBorders>
            <w:vAlign w:val="center"/>
            <w:hideMark/>
          </w:tcPr>
          <w:p w14:paraId="6956960F" w14:textId="77777777" w:rsidR="008107EA" w:rsidRPr="009E5B39" w:rsidRDefault="008107EA" w:rsidP="00513698">
            <w:pPr>
              <w:spacing w:after="0" w:line="240" w:lineRule="auto"/>
              <w:rPr>
                <w:rFonts w:asciiTheme="majorHAnsi" w:eastAsia="Times New Roman" w:hAnsiTheme="majorHAnsi" w:cstheme="majorHAnsi"/>
                <w:b/>
                <w:bCs/>
                <w:iCs/>
                <w:sz w:val="16"/>
                <w:szCs w:val="16"/>
                <w:lang w:val="ro-MD"/>
              </w:rPr>
            </w:pPr>
          </w:p>
        </w:tc>
        <w:tc>
          <w:tcPr>
            <w:tcW w:w="1020" w:type="dxa"/>
            <w:tcBorders>
              <w:top w:val="nil"/>
              <w:left w:val="nil"/>
              <w:bottom w:val="single" w:sz="4" w:space="0" w:color="auto"/>
              <w:right w:val="single" w:sz="4" w:space="0" w:color="auto"/>
            </w:tcBorders>
            <w:shd w:val="clear" w:color="auto" w:fill="auto"/>
            <w:hideMark/>
          </w:tcPr>
          <w:p w14:paraId="39C79B43" w14:textId="4CA36BE8" w:rsidR="008107EA" w:rsidRPr="009E5B39" w:rsidRDefault="00294D94" w:rsidP="00513698">
            <w:pPr>
              <w:spacing w:after="0" w:line="240" w:lineRule="auto"/>
              <w:jc w:val="center"/>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î</w:t>
            </w:r>
            <w:r w:rsidR="008107EA" w:rsidRPr="009E5B39">
              <w:rPr>
                <w:rFonts w:asciiTheme="majorHAnsi" w:eastAsia="Times New Roman" w:hAnsiTheme="majorHAnsi" w:cstheme="majorHAnsi"/>
                <w:b/>
                <w:bCs/>
                <w:iCs/>
                <w:sz w:val="16"/>
                <w:szCs w:val="16"/>
                <w:lang w:val="ro-MD"/>
              </w:rPr>
              <w:t>n funcție de nr. km administrați</w:t>
            </w:r>
          </w:p>
        </w:tc>
        <w:tc>
          <w:tcPr>
            <w:tcW w:w="1390" w:type="dxa"/>
            <w:tcBorders>
              <w:top w:val="nil"/>
              <w:left w:val="nil"/>
              <w:bottom w:val="single" w:sz="4" w:space="0" w:color="auto"/>
              <w:right w:val="single" w:sz="4" w:space="0" w:color="auto"/>
            </w:tcBorders>
            <w:shd w:val="clear" w:color="auto" w:fill="auto"/>
            <w:hideMark/>
          </w:tcPr>
          <w:p w14:paraId="399C1CB3" w14:textId="77777777" w:rsidR="008107EA" w:rsidRPr="009E5B39" w:rsidRDefault="008107EA" w:rsidP="00513698">
            <w:pPr>
              <w:spacing w:after="0" w:line="240" w:lineRule="auto"/>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în cuantum de 50% din volumul total al TFD</w:t>
            </w:r>
          </w:p>
        </w:tc>
        <w:tc>
          <w:tcPr>
            <w:tcW w:w="1040" w:type="dxa"/>
            <w:vMerge/>
            <w:tcBorders>
              <w:top w:val="single" w:sz="4" w:space="0" w:color="auto"/>
              <w:left w:val="single" w:sz="4" w:space="0" w:color="auto"/>
              <w:bottom w:val="single" w:sz="4" w:space="0" w:color="000000"/>
              <w:right w:val="single" w:sz="4" w:space="0" w:color="auto"/>
            </w:tcBorders>
            <w:vAlign w:val="center"/>
            <w:hideMark/>
          </w:tcPr>
          <w:p w14:paraId="3505E42E" w14:textId="77777777" w:rsidR="008107EA" w:rsidRPr="009E5B39" w:rsidRDefault="008107EA" w:rsidP="00513698">
            <w:pPr>
              <w:spacing w:after="0" w:line="240" w:lineRule="auto"/>
              <w:rPr>
                <w:rFonts w:asciiTheme="majorHAnsi" w:eastAsia="Times New Roman" w:hAnsiTheme="majorHAnsi" w:cstheme="majorHAnsi"/>
                <w:b/>
                <w:bCs/>
                <w:iCs/>
                <w:sz w:val="16"/>
                <w:szCs w:val="16"/>
                <w:lang w:val="ro-M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E0F9ACB" w14:textId="77777777" w:rsidR="008107EA" w:rsidRPr="009E5B39" w:rsidRDefault="008107EA" w:rsidP="00513698">
            <w:pPr>
              <w:spacing w:after="0" w:line="240" w:lineRule="auto"/>
              <w:rPr>
                <w:rFonts w:asciiTheme="majorHAnsi" w:eastAsia="Times New Roman" w:hAnsiTheme="majorHAnsi" w:cstheme="majorHAnsi"/>
                <w:b/>
                <w:bCs/>
                <w:iCs/>
                <w:sz w:val="16"/>
                <w:szCs w:val="16"/>
                <w:lang w:val="ro-MD"/>
              </w:rPr>
            </w:pPr>
          </w:p>
        </w:tc>
        <w:tc>
          <w:tcPr>
            <w:tcW w:w="1408" w:type="dxa"/>
            <w:gridSpan w:val="2"/>
            <w:tcBorders>
              <w:top w:val="nil"/>
              <w:left w:val="nil"/>
              <w:bottom w:val="single" w:sz="4" w:space="0" w:color="auto"/>
              <w:right w:val="single" w:sz="4" w:space="0" w:color="auto"/>
            </w:tcBorders>
            <w:shd w:val="clear" w:color="auto" w:fill="auto"/>
            <w:vAlign w:val="center"/>
            <w:hideMark/>
          </w:tcPr>
          <w:p w14:paraId="77B22EAA" w14:textId="77777777" w:rsidR="008107EA" w:rsidRPr="009E5B39" w:rsidRDefault="008107EA" w:rsidP="00513698">
            <w:pPr>
              <w:spacing w:after="0" w:line="240" w:lineRule="auto"/>
              <w:jc w:val="center"/>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TOTAL</w:t>
            </w:r>
          </w:p>
        </w:tc>
        <w:tc>
          <w:tcPr>
            <w:tcW w:w="1276" w:type="dxa"/>
            <w:gridSpan w:val="2"/>
            <w:tcBorders>
              <w:top w:val="nil"/>
              <w:left w:val="nil"/>
              <w:bottom w:val="single" w:sz="4" w:space="0" w:color="auto"/>
              <w:right w:val="single" w:sz="4" w:space="0" w:color="auto"/>
            </w:tcBorders>
            <w:shd w:val="clear" w:color="auto" w:fill="auto"/>
            <w:hideMark/>
          </w:tcPr>
          <w:p w14:paraId="09B5368F" w14:textId="77777777" w:rsidR="008107EA" w:rsidRPr="009E5B39" w:rsidRDefault="008107EA" w:rsidP="00513698">
            <w:pPr>
              <w:spacing w:after="0" w:line="240" w:lineRule="auto"/>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drumuri locale (străzile din municipiu)</w:t>
            </w:r>
          </w:p>
        </w:tc>
        <w:tc>
          <w:tcPr>
            <w:tcW w:w="1775" w:type="dxa"/>
            <w:gridSpan w:val="2"/>
            <w:tcBorders>
              <w:top w:val="nil"/>
              <w:left w:val="nil"/>
              <w:bottom w:val="single" w:sz="4" w:space="0" w:color="auto"/>
              <w:right w:val="single" w:sz="4" w:space="0" w:color="auto"/>
            </w:tcBorders>
            <w:shd w:val="clear" w:color="auto" w:fill="auto"/>
            <w:hideMark/>
          </w:tcPr>
          <w:p w14:paraId="07FAB6BD" w14:textId="346F73D5" w:rsidR="008107EA" w:rsidRPr="009E5B39" w:rsidRDefault="008107EA" w:rsidP="00513698">
            <w:pPr>
              <w:spacing w:after="0" w:line="240" w:lineRule="auto"/>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drumuri locale de interes raional (drumul de acces p</w:t>
            </w:r>
            <w:r w:rsidR="00B54E6A" w:rsidRPr="009E5B39">
              <w:rPr>
                <w:rFonts w:asciiTheme="majorHAnsi" w:eastAsia="Times New Roman" w:hAnsiTheme="majorHAnsi" w:cstheme="majorHAnsi"/>
                <w:b/>
                <w:bCs/>
                <w:iCs/>
                <w:sz w:val="16"/>
                <w:szCs w:val="16"/>
                <w:lang w:val="ro-MD"/>
              </w:rPr>
              <w:t>â</w:t>
            </w:r>
            <w:r w:rsidRPr="009E5B39">
              <w:rPr>
                <w:rFonts w:asciiTheme="majorHAnsi" w:eastAsia="Times New Roman" w:hAnsiTheme="majorHAnsi" w:cstheme="majorHAnsi"/>
                <w:b/>
                <w:bCs/>
                <w:iCs/>
                <w:sz w:val="16"/>
                <w:szCs w:val="16"/>
                <w:lang w:val="ro-MD"/>
              </w:rPr>
              <w:t>nă în suburbie)</w:t>
            </w:r>
          </w:p>
        </w:tc>
        <w:tc>
          <w:tcPr>
            <w:tcW w:w="1260" w:type="dxa"/>
            <w:gridSpan w:val="2"/>
            <w:tcBorders>
              <w:top w:val="nil"/>
              <w:left w:val="nil"/>
              <w:bottom w:val="single" w:sz="4" w:space="0" w:color="auto"/>
              <w:right w:val="single" w:sz="4" w:space="0" w:color="auto"/>
            </w:tcBorders>
            <w:shd w:val="clear" w:color="auto" w:fill="auto"/>
            <w:hideMark/>
          </w:tcPr>
          <w:p w14:paraId="38411946" w14:textId="32BB6FF9" w:rsidR="008107EA" w:rsidRPr="009E5B39" w:rsidRDefault="00B54E6A" w:rsidP="00513698">
            <w:pPr>
              <w:spacing w:after="0" w:line="240" w:lineRule="auto"/>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a</w:t>
            </w:r>
            <w:r w:rsidR="008107EA" w:rsidRPr="009E5B39">
              <w:rPr>
                <w:rFonts w:asciiTheme="majorHAnsi" w:eastAsia="Times New Roman" w:hAnsiTheme="majorHAnsi" w:cstheme="majorHAnsi"/>
                <w:b/>
                <w:bCs/>
                <w:iCs/>
                <w:sz w:val="16"/>
                <w:szCs w:val="16"/>
                <w:lang w:val="ro-MD"/>
              </w:rPr>
              <w:t>lte drumuri (care nu țin de competența CMC)</w:t>
            </w:r>
          </w:p>
        </w:tc>
        <w:tc>
          <w:tcPr>
            <w:tcW w:w="1323" w:type="dxa"/>
            <w:gridSpan w:val="4"/>
            <w:tcBorders>
              <w:top w:val="nil"/>
              <w:left w:val="nil"/>
              <w:bottom w:val="single" w:sz="4" w:space="0" w:color="auto"/>
              <w:right w:val="single" w:sz="4" w:space="0" w:color="auto"/>
            </w:tcBorders>
            <w:shd w:val="clear" w:color="auto" w:fill="auto"/>
            <w:hideMark/>
          </w:tcPr>
          <w:p w14:paraId="34735724" w14:textId="5BC362C5" w:rsidR="008107EA" w:rsidRPr="009E5B39" w:rsidRDefault="00B54E6A" w:rsidP="00513698">
            <w:pPr>
              <w:spacing w:after="0" w:line="240" w:lineRule="auto"/>
              <w:jc w:val="center"/>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î</w:t>
            </w:r>
            <w:r w:rsidR="008107EA" w:rsidRPr="009E5B39">
              <w:rPr>
                <w:rFonts w:asciiTheme="majorHAnsi" w:eastAsia="Times New Roman" w:hAnsiTheme="majorHAnsi" w:cstheme="majorHAnsi"/>
                <w:b/>
                <w:bCs/>
                <w:iCs/>
                <w:sz w:val="16"/>
                <w:szCs w:val="16"/>
                <w:lang w:val="ro-MD"/>
              </w:rPr>
              <w:t>n funcție de nr. km administrați</w:t>
            </w:r>
          </w:p>
        </w:tc>
        <w:tc>
          <w:tcPr>
            <w:tcW w:w="1589" w:type="dxa"/>
            <w:gridSpan w:val="3"/>
            <w:tcBorders>
              <w:top w:val="nil"/>
              <w:left w:val="nil"/>
              <w:bottom w:val="single" w:sz="4" w:space="0" w:color="auto"/>
              <w:right w:val="single" w:sz="4" w:space="0" w:color="auto"/>
            </w:tcBorders>
            <w:shd w:val="clear" w:color="auto" w:fill="auto"/>
            <w:hideMark/>
          </w:tcPr>
          <w:p w14:paraId="47E2C935" w14:textId="77777777" w:rsidR="008107EA" w:rsidRPr="009E5B39" w:rsidRDefault="008107EA" w:rsidP="00513698">
            <w:pPr>
              <w:spacing w:after="0" w:line="240" w:lineRule="auto"/>
              <w:rPr>
                <w:rFonts w:asciiTheme="majorHAnsi" w:eastAsia="Times New Roman" w:hAnsiTheme="majorHAnsi" w:cstheme="majorHAnsi"/>
                <w:b/>
                <w:bCs/>
                <w:iCs/>
                <w:sz w:val="16"/>
                <w:szCs w:val="16"/>
                <w:lang w:val="ro-MD"/>
              </w:rPr>
            </w:pPr>
            <w:r w:rsidRPr="009E5B39">
              <w:rPr>
                <w:rFonts w:asciiTheme="majorHAnsi" w:eastAsia="Times New Roman" w:hAnsiTheme="majorHAnsi" w:cstheme="majorHAnsi"/>
                <w:b/>
                <w:bCs/>
                <w:iCs/>
                <w:sz w:val="16"/>
                <w:szCs w:val="16"/>
                <w:lang w:val="ro-MD"/>
              </w:rPr>
              <w:t>în cuantum de 50% din volumul total al TFD</w:t>
            </w:r>
          </w:p>
        </w:tc>
      </w:tr>
      <w:tr w:rsidR="008107EA" w:rsidRPr="009E5B39" w14:paraId="65652855" w14:textId="77777777" w:rsidTr="00513698">
        <w:trPr>
          <w:trHeight w:val="1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FD2E7C4" w14:textId="77777777" w:rsidR="008107EA" w:rsidRPr="009E5B39" w:rsidRDefault="008107EA" w:rsidP="00513698">
            <w:pPr>
              <w:spacing w:after="0" w:line="240" w:lineRule="auto"/>
              <w:jc w:val="center"/>
              <w:rPr>
                <w:rFonts w:asciiTheme="majorHAnsi" w:eastAsia="Times New Roman" w:hAnsiTheme="majorHAnsi" w:cstheme="majorHAnsi"/>
                <w:b/>
                <w:bCs/>
                <w:i/>
                <w:iCs/>
                <w:sz w:val="12"/>
                <w:szCs w:val="12"/>
                <w:lang w:val="ro-MD"/>
              </w:rPr>
            </w:pPr>
            <w:r w:rsidRPr="009E5B39">
              <w:rPr>
                <w:rFonts w:asciiTheme="majorHAnsi" w:eastAsia="Times New Roman" w:hAnsiTheme="majorHAnsi" w:cstheme="majorHAnsi"/>
                <w:b/>
                <w:bCs/>
                <w:i/>
                <w:iCs/>
                <w:sz w:val="12"/>
                <w:szCs w:val="12"/>
                <w:lang w:val="ro-MD"/>
              </w:rPr>
              <w:t>1</w:t>
            </w:r>
          </w:p>
        </w:tc>
        <w:tc>
          <w:tcPr>
            <w:tcW w:w="1105" w:type="dxa"/>
            <w:tcBorders>
              <w:top w:val="nil"/>
              <w:left w:val="nil"/>
              <w:bottom w:val="single" w:sz="4" w:space="0" w:color="auto"/>
              <w:right w:val="single" w:sz="4" w:space="0" w:color="auto"/>
            </w:tcBorders>
            <w:shd w:val="clear" w:color="auto" w:fill="auto"/>
            <w:noWrap/>
            <w:vAlign w:val="center"/>
            <w:hideMark/>
          </w:tcPr>
          <w:p w14:paraId="391237F9" w14:textId="77777777" w:rsidR="008107EA" w:rsidRPr="009E5B39" w:rsidRDefault="008107EA" w:rsidP="00513698">
            <w:pPr>
              <w:spacing w:after="0" w:line="240" w:lineRule="auto"/>
              <w:jc w:val="center"/>
              <w:rPr>
                <w:rFonts w:asciiTheme="majorHAnsi" w:eastAsia="Times New Roman" w:hAnsiTheme="majorHAnsi" w:cstheme="majorHAnsi"/>
                <w:b/>
                <w:bCs/>
                <w:i/>
                <w:iCs/>
                <w:sz w:val="12"/>
                <w:szCs w:val="12"/>
                <w:lang w:val="ro-MD"/>
              </w:rPr>
            </w:pPr>
            <w:r w:rsidRPr="009E5B39">
              <w:rPr>
                <w:rFonts w:asciiTheme="majorHAnsi" w:eastAsia="Times New Roman" w:hAnsiTheme="majorHAnsi" w:cstheme="majorHAnsi"/>
                <w:b/>
                <w:bCs/>
                <w:i/>
                <w:iCs/>
                <w:sz w:val="12"/>
                <w:szCs w:val="12"/>
                <w:lang w:val="ro-MD"/>
              </w:rPr>
              <w:t>2=3+4</w:t>
            </w:r>
          </w:p>
        </w:tc>
        <w:tc>
          <w:tcPr>
            <w:tcW w:w="1020" w:type="dxa"/>
            <w:tcBorders>
              <w:top w:val="nil"/>
              <w:left w:val="nil"/>
              <w:bottom w:val="single" w:sz="4" w:space="0" w:color="auto"/>
              <w:right w:val="single" w:sz="4" w:space="0" w:color="auto"/>
            </w:tcBorders>
            <w:shd w:val="clear" w:color="auto" w:fill="auto"/>
            <w:hideMark/>
          </w:tcPr>
          <w:p w14:paraId="0AFA2945" w14:textId="77777777" w:rsidR="008107EA" w:rsidRPr="009E5B39" w:rsidRDefault="008107EA" w:rsidP="00513698">
            <w:pPr>
              <w:spacing w:after="0" w:line="240" w:lineRule="auto"/>
              <w:jc w:val="center"/>
              <w:rPr>
                <w:rFonts w:asciiTheme="majorHAnsi" w:eastAsia="Times New Roman" w:hAnsiTheme="majorHAnsi" w:cstheme="majorHAnsi"/>
                <w:b/>
                <w:bCs/>
                <w:i/>
                <w:iCs/>
                <w:sz w:val="12"/>
                <w:szCs w:val="12"/>
                <w:lang w:val="ro-MD"/>
              </w:rPr>
            </w:pPr>
            <w:r w:rsidRPr="009E5B39">
              <w:rPr>
                <w:rFonts w:asciiTheme="majorHAnsi" w:eastAsia="Times New Roman" w:hAnsiTheme="majorHAnsi" w:cstheme="majorHAnsi"/>
                <w:b/>
                <w:bCs/>
                <w:i/>
                <w:iCs/>
                <w:sz w:val="12"/>
                <w:szCs w:val="12"/>
                <w:lang w:val="ro-MD"/>
              </w:rPr>
              <w:t>3</w:t>
            </w:r>
          </w:p>
        </w:tc>
        <w:tc>
          <w:tcPr>
            <w:tcW w:w="1390" w:type="dxa"/>
            <w:tcBorders>
              <w:top w:val="nil"/>
              <w:left w:val="nil"/>
              <w:bottom w:val="single" w:sz="4" w:space="0" w:color="auto"/>
              <w:right w:val="single" w:sz="4" w:space="0" w:color="auto"/>
            </w:tcBorders>
            <w:shd w:val="clear" w:color="auto" w:fill="auto"/>
            <w:hideMark/>
          </w:tcPr>
          <w:p w14:paraId="3A0DFF6D" w14:textId="77777777" w:rsidR="008107EA" w:rsidRPr="009E5B39" w:rsidRDefault="008107EA" w:rsidP="00513698">
            <w:pPr>
              <w:spacing w:after="0" w:line="240" w:lineRule="auto"/>
              <w:jc w:val="center"/>
              <w:rPr>
                <w:rFonts w:asciiTheme="majorHAnsi" w:eastAsia="Times New Roman" w:hAnsiTheme="majorHAnsi" w:cstheme="majorHAnsi"/>
                <w:b/>
                <w:bCs/>
                <w:i/>
                <w:iCs/>
                <w:sz w:val="12"/>
                <w:szCs w:val="12"/>
                <w:lang w:val="ro-MD"/>
              </w:rPr>
            </w:pPr>
            <w:r w:rsidRPr="009E5B39">
              <w:rPr>
                <w:rFonts w:asciiTheme="majorHAnsi" w:eastAsia="Times New Roman" w:hAnsiTheme="majorHAnsi" w:cstheme="majorHAnsi"/>
                <w:b/>
                <w:bCs/>
                <w:i/>
                <w:iCs/>
                <w:sz w:val="12"/>
                <w:szCs w:val="12"/>
                <w:lang w:val="ro-MD"/>
              </w:rPr>
              <w:t>4</w:t>
            </w:r>
          </w:p>
        </w:tc>
        <w:tc>
          <w:tcPr>
            <w:tcW w:w="1040" w:type="dxa"/>
            <w:tcBorders>
              <w:top w:val="nil"/>
              <w:left w:val="nil"/>
              <w:bottom w:val="single" w:sz="4" w:space="0" w:color="auto"/>
              <w:right w:val="single" w:sz="4" w:space="0" w:color="auto"/>
            </w:tcBorders>
            <w:shd w:val="clear" w:color="auto" w:fill="auto"/>
            <w:vAlign w:val="center"/>
            <w:hideMark/>
          </w:tcPr>
          <w:p w14:paraId="460CDDC0" w14:textId="77777777" w:rsidR="008107EA" w:rsidRPr="009E5B39" w:rsidRDefault="008107EA" w:rsidP="00513698">
            <w:pPr>
              <w:spacing w:after="0" w:line="240" w:lineRule="auto"/>
              <w:jc w:val="center"/>
              <w:rPr>
                <w:rFonts w:asciiTheme="majorHAnsi" w:eastAsia="Times New Roman" w:hAnsiTheme="majorHAnsi" w:cstheme="majorHAnsi"/>
                <w:b/>
                <w:bCs/>
                <w:i/>
                <w:iCs/>
                <w:sz w:val="12"/>
                <w:szCs w:val="12"/>
                <w:lang w:val="ro-MD"/>
              </w:rPr>
            </w:pPr>
            <w:r w:rsidRPr="009E5B39">
              <w:rPr>
                <w:rFonts w:asciiTheme="majorHAnsi" w:eastAsia="Times New Roman" w:hAnsiTheme="majorHAnsi" w:cstheme="majorHAnsi"/>
                <w:b/>
                <w:bCs/>
                <w:i/>
                <w:iCs/>
                <w:sz w:val="12"/>
                <w:szCs w:val="12"/>
                <w:lang w:val="ro-MD"/>
              </w:rPr>
              <w:t>5</w:t>
            </w:r>
          </w:p>
        </w:tc>
        <w:tc>
          <w:tcPr>
            <w:tcW w:w="960" w:type="dxa"/>
            <w:tcBorders>
              <w:top w:val="nil"/>
              <w:left w:val="nil"/>
              <w:bottom w:val="single" w:sz="4" w:space="0" w:color="auto"/>
              <w:right w:val="single" w:sz="4" w:space="0" w:color="auto"/>
            </w:tcBorders>
            <w:shd w:val="clear" w:color="auto" w:fill="auto"/>
            <w:vAlign w:val="center"/>
            <w:hideMark/>
          </w:tcPr>
          <w:p w14:paraId="76A3F0D4" w14:textId="77777777" w:rsidR="008107EA" w:rsidRPr="009E5B39" w:rsidRDefault="008107EA" w:rsidP="00513698">
            <w:pPr>
              <w:spacing w:after="0" w:line="240" w:lineRule="auto"/>
              <w:jc w:val="center"/>
              <w:rPr>
                <w:rFonts w:asciiTheme="majorHAnsi" w:eastAsia="Times New Roman" w:hAnsiTheme="majorHAnsi" w:cstheme="majorHAnsi"/>
                <w:b/>
                <w:bCs/>
                <w:i/>
                <w:iCs/>
                <w:sz w:val="12"/>
                <w:szCs w:val="12"/>
                <w:lang w:val="ro-MD"/>
              </w:rPr>
            </w:pPr>
            <w:r w:rsidRPr="009E5B39">
              <w:rPr>
                <w:rFonts w:asciiTheme="majorHAnsi" w:eastAsia="Times New Roman" w:hAnsiTheme="majorHAnsi" w:cstheme="majorHAnsi"/>
                <w:b/>
                <w:bCs/>
                <w:i/>
                <w:iCs/>
                <w:sz w:val="12"/>
                <w:szCs w:val="12"/>
                <w:lang w:val="ro-MD"/>
              </w:rPr>
              <w:t>6=5-2</w:t>
            </w:r>
          </w:p>
        </w:tc>
        <w:tc>
          <w:tcPr>
            <w:tcW w:w="1408" w:type="dxa"/>
            <w:gridSpan w:val="2"/>
            <w:tcBorders>
              <w:top w:val="nil"/>
              <w:left w:val="nil"/>
              <w:bottom w:val="single" w:sz="4" w:space="0" w:color="auto"/>
              <w:right w:val="single" w:sz="4" w:space="0" w:color="auto"/>
            </w:tcBorders>
            <w:shd w:val="clear" w:color="auto" w:fill="auto"/>
            <w:vAlign w:val="center"/>
            <w:hideMark/>
          </w:tcPr>
          <w:p w14:paraId="0A5AEC4E" w14:textId="77777777" w:rsidR="008107EA" w:rsidRPr="009E5B39" w:rsidRDefault="008107EA" w:rsidP="00513698">
            <w:pPr>
              <w:spacing w:after="0" w:line="240" w:lineRule="auto"/>
              <w:jc w:val="center"/>
              <w:rPr>
                <w:rFonts w:asciiTheme="majorHAnsi" w:eastAsia="Times New Roman" w:hAnsiTheme="majorHAnsi" w:cstheme="majorHAnsi"/>
                <w:b/>
                <w:bCs/>
                <w:i/>
                <w:iCs/>
                <w:sz w:val="12"/>
                <w:szCs w:val="12"/>
                <w:lang w:val="ro-MD"/>
              </w:rPr>
            </w:pPr>
            <w:r w:rsidRPr="009E5B39">
              <w:rPr>
                <w:rFonts w:asciiTheme="majorHAnsi" w:eastAsia="Times New Roman" w:hAnsiTheme="majorHAnsi" w:cstheme="majorHAnsi"/>
                <w:b/>
                <w:bCs/>
                <w:i/>
                <w:iCs/>
                <w:sz w:val="12"/>
                <w:szCs w:val="12"/>
                <w:lang w:val="ro-MD"/>
              </w:rPr>
              <w:t>7=8+9+10</w:t>
            </w:r>
          </w:p>
        </w:tc>
        <w:tc>
          <w:tcPr>
            <w:tcW w:w="1276" w:type="dxa"/>
            <w:gridSpan w:val="2"/>
            <w:tcBorders>
              <w:top w:val="nil"/>
              <w:left w:val="nil"/>
              <w:bottom w:val="single" w:sz="4" w:space="0" w:color="auto"/>
              <w:right w:val="single" w:sz="4" w:space="0" w:color="auto"/>
            </w:tcBorders>
            <w:shd w:val="clear" w:color="auto" w:fill="auto"/>
            <w:hideMark/>
          </w:tcPr>
          <w:p w14:paraId="5D282667" w14:textId="77777777" w:rsidR="008107EA" w:rsidRPr="009E5B39" w:rsidRDefault="008107EA" w:rsidP="00513698">
            <w:pPr>
              <w:spacing w:after="0" w:line="240" w:lineRule="auto"/>
              <w:jc w:val="center"/>
              <w:rPr>
                <w:rFonts w:asciiTheme="majorHAnsi" w:eastAsia="Times New Roman" w:hAnsiTheme="majorHAnsi" w:cstheme="majorHAnsi"/>
                <w:b/>
                <w:bCs/>
                <w:i/>
                <w:iCs/>
                <w:sz w:val="12"/>
                <w:szCs w:val="12"/>
                <w:lang w:val="ro-MD"/>
              </w:rPr>
            </w:pPr>
            <w:r w:rsidRPr="009E5B39">
              <w:rPr>
                <w:rFonts w:asciiTheme="majorHAnsi" w:eastAsia="Times New Roman" w:hAnsiTheme="majorHAnsi" w:cstheme="majorHAnsi"/>
                <w:b/>
                <w:bCs/>
                <w:i/>
                <w:iCs/>
                <w:sz w:val="12"/>
                <w:szCs w:val="12"/>
                <w:lang w:val="ro-MD"/>
              </w:rPr>
              <w:t>8</w:t>
            </w:r>
          </w:p>
        </w:tc>
        <w:tc>
          <w:tcPr>
            <w:tcW w:w="1775" w:type="dxa"/>
            <w:gridSpan w:val="2"/>
            <w:tcBorders>
              <w:top w:val="nil"/>
              <w:left w:val="nil"/>
              <w:bottom w:val="single" w:sz="4" w:space="0" w:color="auto"/>
              <w:right w:val="single" w:sz="4" w:space="0" w:color="auto"/>
            </w:tcBorders>
            <w:shd w:val="clear" w:color="auto" w:fill="auto"/>
            <w:hideMark/>
          </w:tcPr>
          <w:p w14:paraId="685634DA" w14:textId="77777777" w:rsidR="008107EA" w:rsidRPr="009E5B39" w:rsidRDefault="008107EA" w:rsidP="00513698">
            <w:pPr>
              <w:spacing w:after="0" w:line="240" w:lineRule="auto"/>
              <w:jc w:val="center"/>
              <w:rPr>
                <w:rFonts w:asciiTheme="majorHAnsi" w:eastAsia="Times New Roman" w:hAnsiTheme="majorHAnsi" w:cstheme="majorHAnsi"/>
                <w:b/>
                <w:bCs/>
                <w:i/>
                <w:iCs/>
                <w:sz w:val="12"/>
                <w:szCs w:val="12"/>
                <w:lang w:val="ro-MD"/>
              </w:rPr>
            </w:pPr>
            <w:r w:rsidRPr="009E5B39">
              <w:rPr>
                <w:rFonts w:asciiTheme="majorHAnsi" w:eastAsia="Times New Roman" w:hAnsiTheme="majorHAnsi" w:cstheme="majorHAnsi"/>
                <w:b/>
                <w:bCs/>
                <w:i/>
                <w:iCs/>
                <w:sz w:val="12"/>
                <w:szCs w:val="12"/>
                <w:lang w:val="ro-MD"/>
              </w:rPr>
              <w:t>9</w:t>
            </w:r>
          </w:p>
        </w:tc>
        <w:tc>
          <w:tcPr>
            <w:tcW w:w="1260" w:type="dxa"/>
            <w:gridSpan w:val="2"/>
            <w:tcBorders>
              <w:top w:val="nil"/>
              <w:left w:val="nil"/>
              <w:bottom w:val="single" w:sz="4" w:space="0" w:color="auto"/>
              <w:right w:val="single" w:sz="4" w:space="0" w:color="auto"/>
            </w:tcBorders>
            <w:shd w:val="clear" w:color="auto" w:fill="auto"/>
            <w:hideMark/>
          </w:tcPr>
          <w:p w14:paraId="4E367D90" w14:textId="77777777" w:rsidR="008107EA" w:rsidRPr="009E5B39" w:rsidRDefault="008107EA" w:rsidP="00513698">
            <w:pPr>
              <w:spacing w:after="0" w:line="240" w:lineRule="auto"/>
              <w:jc w:val="center"/>
              <w:rPr>
                <w:rFonts w:asciiTheme="majorHAnsi" w:eastAsia="Times New Roman" w:hAnsiTheme="majorHAnsi" w:cstheme="majorHAnsi"/>
                <w:b/>
                <w:bCs/>
                <w:i/>
                <w:iCs/>
                <w:sz w:val="12"/>
                <w:szCs w:val="12"/>
                <w:lang w:val="ro-MD"/>
              </w:rPr>
            </w:pPr>
            <w:r w:rsidRPr="009E5B39">
              <w:rPr>
                <w:rFonts w:asciiTheme="majorHAnsi" w:eastAsia="Times New Roman" w:hAnsiTheme="majorHAnsi" w:cstheme="majorHAnsi"/>
                <w:b/>
                <w:bCs/>
                <w:i/>
                <w:iCs/>
                <w:sz w:val="12"/>
                <w:szCs w:val="12"/>
                <w:lang w:val="ro-MD"/>
              </w:rPr>
              <w:t>10</w:t>
            </w:r>
          </w:p>
        </w:tc>
        <w:tc>
          <w:tcPr>
            <w:tcW w:w="1323" w:type="dxa"/>
            <w:gridSpan w:val="4"/>
            <w:tcBorders>
              <w:top w:val="nil"/>
              <w:left w:val="nil"/>
              <w:bottom w:val="single" w:sz="4" w:space="0" w:color="auto"/>
              <w:right w:val="single" w:sz="4" w:space="0" w:color="auto"/>
            </w:tcBorders>
            <w:shd w:val="clear" w:color="auto" w:fill="auto"/>
            <w:noWrap/>
            <w:vAlign w:val="center"/>
            <w:hideMark/>
          </w:tcPr>
          <w:p w14:paraId="1B7BEC82" w14:textId="77777777" w:rsidR="008107EA" w:rsidRPr="009E5B39" w:rsidRDefault="008107EA" w:rsidP="00513698">
            <w:pPr>
              <w:spacing w:after="0" w:line="240" w:lineRule="auto"/>
              <w:jc w:val="center"/>
              <w:rPr>
                <w:rFonts w:asciiTheme="majorHAnsi" w:eastAsia="Times New Roman" w:hAnsiTheme="majorHAnsi" w:cstheme="majorHAnsi"/>
                <w:b/>
                <w:bCs/>
                <w:i/>
                <w:iCs/>
                <w:sz w:val="12"/>
                <w:szCs w:val="12"/>
                <w:lang w:val="ro-MD"/>
              </w:rPr>
            </w:pPr>
            <w:r w:rsidRPr="009E5B39">
              <w:rPr>
                <w:rFonts w:asciiTheme="majorHAnsi" w:eastAsia="Times New Roman" w:hAnsiTheme="majorHAnsi" w:cstheme="majorHAnsi"/>
                <w:b/>
                <w:bCs/>
                <w:i/>
                <w:iCs/>
                <w:sz w:val="12"/>
                <w:szCs w:val="12"/>
                <w:lang w:val="ro-MD"/>
              </w:rPr>
              <w:t>11</w:t>
            </w:r>
          </w:p>
        </w:tc>
        <w:tc>
          <w:tcPr>
            <w:tcW w:w="1589" w:type="dxa"/>
            <w:gridSpan w:val="3"/>
            <w:tcBorders>
              <w:top w:val="nil"/>
              <w:left w:val="nil"/>
              <w:bottom w:val="single" w:sz="4" w:space="0" w:color="auto"/>
              <w:right w:val="single" w:sz="4" w:space="0" w:color="auto"/>
            </w:tcBorders>
            <w:shd w:val="clear" w:color="auto" w:fill="auto"/>
            <w:noWrap/>
            <w:vAlign w:val="center"/>
            <w:hideMark/>
          </w:tcPr>
          <w:p w14:paraId="7C2CFFFB" w14:textId="77777777" w:rsidR="008107EA" w:rsidRPr="009E5B39" w:rsidRDefault="008107EA" w:rsidP="00513698">
            <w:pPr>
              <w:spacing w:after="0" w:line="240" w:lineRule="auto"/>
              <w:jc w:val="center"/>
              <w:rPr>
                <w:rFonts w:asciiTheme="majorHAnsi" w:eastAsia="Times New Roman" w:hAnsiTheme="majorHAnsi" w:cstheme="majorHAnsi"/>
                <w:b/>
                <w:bCs/>
                <w:i/>
                <w:iCs/>
                <w:sz w:val="12"/>
                <w:szCs w:val="12"/>
                <w:lang w:val="ro-MD"/>
              </w:rPr>
            </w:pPr>
            <w:r w:rsidRPr="009E5B39">
              <w:rPr>
                <w:rFonts w:asciiTheme="majorHAnsi" w:eastAsia="Times New Roman" w:hAnsiTheme="majorHAnsi" w:cstheme="majorHAnsi"/>
                <w:b/>
                <w:bCs/>
                <w:i/>
                <w:iCs/>
                <w:sz w:val="12"/>
                <w:szCs w:val="12"/>
                <w:lang w:val="ro-MD"/>
              </w:rPr>
              <w:t>12</w:t>
            </w:r>
          </w:p>
        </w:tc>
      </w:tr>
      <w:tr w:rsidR="008107EA" w:rsidRPr="009E5B39" w14:paraId="1AD9065E" w14:textId="77777777" w:rsidTr="00513698">
        <w:trPr>
          <w:trHeight w:val="29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4C9314C" w14:textId="77777777" w:rsidR="008107EA" w:rsidRPr="009E5B39" w:rsidRDefault="008107EA" w:rsidP="00513698">
            <w:pPr>
              <w:spacing w:after="0" w:line="240" w:lineRule="auto"/>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Anul 2018</w:t>
            </w:r>
          </w:p>
        </w:tc>
        <w:tc>
          <w:tcPr>
            <w:tcW w:w="1105" w:type="dxa"/>
            <w:tcBorders>
              <w:top w:val="nil"/>
              <w:left w:val="nil"/>
              <w:bottom w:val="single" w:sz="4" w:space="0" w:color="auto"/>
              <w:right w:val="single" w:sz="4" w:space="0" w:color="auto"/>
            </w:tcBorders>
            <w:shd w:val="clear" w:color="auto" w:fill="auto"/>
            <w:noWrap/>
            <w:vAlign w:val="bottom"/>
            <w:hideMark/>
          </w:tcPr>
          <w:p w14:paraId="65752A71"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126.707,00</w:t>
            </w:r>
          </w:p>
        </w:tc>
        <w:tc>
          <w:tcPr>
            <w:tcW w:w="1020" w:type="dxa"/>
            <w:tcBorders>
              <w:top w:val="nil"/>
              <w:left w:val="nil"/>
              <w:bottom w:val="single" w:sz="4" w:space="0" w:color="auto"/>
              <w:right w:val="single" w:sz="4" w:space="0" w:color="auto"/>
            </w:tcBorders>
            <w:shd w:val="clear" w:color="auto" w:fill="auto"/>
            <w:noWrap/>
            <w:vAlign w:val="bottom"/>
            <w:hideMark/>
          </w:tcPr>
          <w:p w14:paraId="5AEA1860"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53.224,70</w:t>
            </w:r>
          </w:p>
        </w:tc>
        <w:tc>
          <w:tcPr>
            <w:tcW w:w="1390" w:type="dxa"/>
            <w:tcBorders>
              <w:top w:val="nil"/>
              <w:left w:val="nil"/>
              <w:bottom w:val="single" w:sz="4" w:space="0" w:color="auto"/>
              <w:right w:val="single" w:sz="4" w:space="0" w:color="auto"/>
            </w:tcBorders>
            <w:shd w:val="clear" w:color="auto" w:fill="auto"/>
            <w:noWrap/>
            <w:vAlign w:val="bottom"/>
            <w:hideMark/>
          </w:tcPr>
          <w:p w14:paraId="61B60738"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73.482,30</w:t>
            </w:r>
          </w:p>
        </w:tc>
        <w:tc>
          <w:tcPr>
            <w:tcW w:w="1040" w:type="dxa"/>
            <w:tcBorders>
              <w:top w:val="nil"/>
              <w:left w:val="nil"/>
              <w:bottom w:val="single" w:sz="4" w:space="0" w:color="auto"/>
              <w:right w:val="single" w:sz="4" w:space="0" w:color="auto"/>
            </w:tcBorders>
            <w:shd w:val="clear" w:color="auto" w:fill="auto"/>
            <w:noWrap/>
            <w:vAlign w:val="bottom"/>
            <w:hideMark/>
          </w:tcPr>
          <w:p w14:paraId="1F3FE236"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116.053,90</w:t>
            </w:r>
          </w:p>
        </w:tc>
        <w:tc>
          <w:tcPr>
            <w:tcW w:w="960" w:type="dxa"/>
            <w:tcBorders>
              <w:top w:val="nil"/>
              <w:left w:val="nil"/>
              <w:bottom w:val="single" w:sz="4" w:space="0" w:color="auto"/>
              <w:right w:val="single" w:sz="4" w:space="0" w:color="auto"/>
            </w:tcBorders>
            <w:shd w:val="clear" w:color="auto" w:fill="auto"/>
            <w:noWrap/>
            <w:vAlign w:val="bottom"/>
            <w:hideMark/>
          </w:tcPr>
          <w:p w14:paraId="70D5F68C"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-10.653,10</w:t>
            </w:r>
          </w:p>
        </w:tc>
        <w:tc>
          <w:tcPr>
            <w:tcW w:w="1408" w:type="dxa"/>
            <w:gridSpan w:val="2"/>
            <w:tcBorders>
              <w:top w:val="nil"/>
              <w:left w:val="nil"/>
              <w:bottom w:val="single" w:sz="4" w:space="0" w:color="auto"/>
              <w:right w:val="single" w:sz="4" w:space="0" w:color="auto"/>
            </w:tcBorders>
            <w:shd w:val="clear" w:color="auto" w:fill="auto"/>
            <w:noWrap/>
            <w:vAlign w:val="bottom"/>
            <w:hideMark/>
          </w:tcPr>
          <w:p w14:paraId="5B605D42"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114.672,90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AE68552"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103.322,50</w:t>
            </w:r>
          </w:p>
        </w:tc>
        <w:tc>
          <w:tcPr>
            <w:tcW w:w="1775" w:type="dxa"/>
            <w:gridSpan w:val="2"/>
            <w:tcBorders>
              <w:top w:val="nil"/>
              <w:left w:val="nil"/>
              <w:bottom w:val="single" w:sz="4" w:space="0" w:color="auto"/>
              <w:right w:val="single" w:sz="4" w:space="0" w:color="auto"/>
            </w:tcBorders>
            <w:shd w:val="clear" w:color="auto" w:fill="auto"/>
            <w:noWrap/>
            <w:vAlign w:val="bottom"/>
            <w:hideMark/>
          </w:tcPr>
          <w:p w14:paraId="18955430"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10.350,40</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3CB6E29"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1.000,00</w:t>
            </w:r>
          </w:p>
        </w:tc>
        <w:tc>
          <w:tcPr>
            <w:tcW w:w="1323" w:type="dxa"/>
            <w:gridSpan w:val="4"/>
            <w:tcBorders>
              <w:top w:val="nil"/>
              <w:left w:val="nil"/>
              <w:bottom w:val="single" w:sz="4" w:space="0" w:color="auto"/>
              <w:right w:val="single" w:sz="4" w:space="0" w:color="auto"/>
            </w:tcBorders>
            <w:shd w:val="clear" w:color="auto" w:fill="auto"/>
            <w:noWrap/>
            <w:vAlign w:val="bottom"/>
            <w:hideMark/>
          </w:tcPr>
          <w:p w14:paraId="1E4DE1A1"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29.840,20</w:t>
            </w:r>
          </w:p>
        </w:tc>
        <w:tc>
          <w:tcPr>
            <w:tcW w:w="1589" w:type="dxa"/>
            <w:gridSpan w:val="3"/>
            <w:tcBorders>
              <w:top w:val="nil"/>
              <w:left w:val="nil"/>
              <w:bottom w:val="single" w:sz="4" w:space="0" w:color="auto"/>
              <w:right w:val="single" w:sz="4" w:space="0" w:color="auto"/>
            </w:tcBorders>
            <w:shd w:val="clear" w:color="auto" w:fill="auto"/>
            <w:noWrap/>
            <w:vAlign w:val="bottom"/>
            <w:hideMark/>
          </w:tcPr>
          <w:p w14:paraId="2CD5A2F3"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-42.874,30</w:t>
            </w:r>
          </w:p>
        </w:tc>
      </w:tr>
      <w:tr w:rsidR="008107EA" w:rsidRPr="009E5B39" w14:paraId="778E5007" w14:textId="77777777" w:rsidTr="00513698">
        <w:trPr>
          <w:trHeight w:val="29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D5FF92" w14:textId="77777777" w:rsidR="008107EA" w:rsidRPr="009E5B39" w:rsidRDefault="008107EA" w:rsidP="00513698">
            <w:pPr>
              <w:spacing w:after="0" w:line="240" w:lineRule="auto"/>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Anul 2019</w:t>
            </w:r>
          </w:p>
        </w:tc>
        <w:tc>
          <w:tcPr>
            <w:tcW w:w="1105" w:type="dxa"/>
            <w:tcBorders>
              <w:top w:val="nil"/>
              <w:left w:val="nil"/>
              <w:bottom w:val="single" w:sz="4" w:space="0" w:color="auto"/>
              <w:right w:val="single" w:sz="4" w:space="0" w:color="auto"/>
            </w:tcBorders>
            <w:shd w:val="clear" w:color="auto" w:fill="auto"/>
            <w:noWrap/>
            <w:vAlign w:val="bottom"/>
            <w:hideMark/>
          </w:tcPr>
          <w:p w14:paraId="36BA3917"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130.921,20</w:t>
            </w:r>
          </w:p>
        </w:tc>
        <w:tc>
          <w:tcPr>
            <w:tcW w:w="1020" w:type="dxa"/>
            <w:tcBorders>
              <w:top w:val="nil"/>
              <w:left w:val="nil"/>
              <w:bottom w:val="single" w:sz="4" w:space="0" w:color="auto"/>
              <w:right w:val="single" w:sz="4" w:space="0" w:color="auto"/>
            </w:tcBorders>
            <w:shd w:val="clear" w:color="auto" w:fill="auto"/>
            <w:noWrap/>
            <w:vAlign w:val="bottom"/>
            <w:hideMark/>
          </w:tcPr>
          <w:p w14:paraId="212CF1E9"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56.066,80</w:t>
            </w:r>
          </w:p>
        </w:tc>
        <w:tc>
          <w:tcPr>
            <w:tcW w:w="1390" w:type="dxa"/>
            <w:tcBorders>
              <w:top w:val="nil"/>
              <w:left w:val="nil"/>
              <w:bottom w:val="single" w:sz="4" w:space="0" w:color="auto"/>
              <w:right w:val="single" w:sz="4" w:space="0" w:color="auto"/>
            </w:tcBorders>
            <w:shd w:val="clear" w:color="auto" w:fill="auto"/>
            <w:noWrap/>
            <w:vAlign w:val="bottom"/>
            <w:hideMark/>
          </w:tcPr>
          <w:p w14:paraId="54494738"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74.854,40</w:t>
            </w:r>
          </w:p>
        </w:tc>
        <w:tc>
          <w:tcPr>
            <w:tcW w:w="1040" w:type="dxa"/>
            <w:tcBorders>
              <w:top w:val="nil"/>
              <w:left w:val="nil"/>
              <w:bottom w:val="single" w:sz="4" w:space="0" w:color="auto"/>
              <w:right w:val="single" w:sz="4" w:space="0" w:color="auto"/>
            </w:tcBorders>
            <w:shd w:val="clear" w:color="auto" w:fill="auto"/>
            <w:noWrap/>
            <w:vAlign w:val="bottom"/>
            <w:hideMark/>
          </w:tcPr>
          <w:p w14:paraId="1A3E0570"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125.874,10</w:t>
            </w:r>
          </w:p>
        </w:tc>
        <w:tc>
          <w:tcPr>
            <w:tcW w:w="960" w:type="dxa"/>
            <w:tcBorders>
              <w:top w:val="nil"/>
              <w:left w:val="nil"/>
              <w:bottom w:val="single" w:sz="4" w:space="0" w:color="auto"/>
              <w:right w:val="single" w:sz="4" w:space="0" w:color="auto"/>
            </w:tcBorders>
            <w:shd w:val="clear" w:color="auto" w:fill="auto"/>
            <w:noWrap/>
            <w:vAlign w:val="bottom"/>
            <w:hideMark/>
          </w:tcPr>
          <w:p w14:paraId="58636836"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-5.047,10</w:t>
            </w:r>
          </w:p>
        </w:tc>
        <w:tc>
          <w:tcPr>
            <w:tcW w:w="1408" w:type="dxa"/>
            <w:gridSpan w:val="2"/>
            <w:tcBorders>
              <w:top w:val="nil"/>
              <w:left w:val="nil"/>
              <w:bottom w:val="single" w:sz="4" w:space="0" w:color="auto"/>
              <w:right w:val="single" w:sz="4" w:space="0" w:color="auto"/>
            </w:tcBorders>
            <w:shd w:val="clear" w:color="auto" w:fill="auto"/>
            <w:noWrap/>
            <w:vAlign w:val="bottom"/>
            <w:hideMark/>
          </w:tcPr>
          <w:p w14:paraId="78A1C73D"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127.255,10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1657761"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127.255,10</w:t>
            </w:r>
          </w:p>
        </w:tc>
        <w:tc>
          <w:tcPr>
            <w:tcW w:w="1775" w:type="dxa"/>
            <w:gridSpan w:val="2"/>
            <w:tcBorders>
              <w:top w:val="nil"/>
              <w:left w:val="nil"/>
              <w:bottom w:val="single" w:sz="4" w:space="0" w:color="auto"/>
              <w:right w:val="single" w:sz="4" w:space="0" w:color="auto"/>
            </w:tcBorders>
            <w:shd w:val="clear" w:color="auto" w:fill="auto"/>
            <w:noWrap/>
            <w:vAlign w:val="bottom"/>
            <w:hideMark/>
          </w:tcPr>
          <w:p w14:paraId="5CA1A6C4"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087A803"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323" w:type="dxa"/>
            <w:gridSpan w:val="4"/>
            <w:tcBorders>
              <w:top w:val="nil"/>
              <w:left w:val="nil"/>
              <w:bottom w:val="single" w:sz="4" w:space="0" w:color="auto"/>
              <w:right w:val="single" w:sz="4" w:space="0" w:color="auto"/>
            </w:tcBorders>
            <w:shd w:val="clear" w:color="auto" w:fill="auto"/>
            <w:noWrap/>
            <w:vAlign w:val="bottom"/>
            <w:hideMark/>
          </w:tcPr>
          <w:p w14:paraId="2F4549C4"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52.400,70</w:t>
            </w:r>
          </w:p>
        </w:tc>
        <w:tc>
          <w:tcPr>
            <w:tcW w:w="1589" w:type="dxa"/>
            <w:gridSpan w:val="3"/>
            <w:tcBorders>
              <w:top w:val="nil"/>
              <w:left w:val="nil"/>
              <w:bottom w:val="single" w:sz="4" w:space="0" w:color="auto"/>
              <w:right w:val="single" w:sz="4" w:space="0" w:color="auto"/>
            </w:tcBorders>
            <w:shd w:val="clear" w:color="auto" w:fill="auto"/>
            <w:noWrap/>
            <w:vAlign w:val="bottom"/>
            <w:hideMark/>
          </w:tcPr>
          <w:p w14:paraId="102BB368"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-56.066,80</w:t>
            </w:r>
          </w:p>
        </w:tc>
      </w:tr>
      <w:tr w:rsidR="008107EA" w:rsidRPr="009E5B39" w14:paraId="3547E2E7" w14:textId="77777777" w:rsidTr="00513698">
        <w:trPr>
          <w:trHeight w:val="29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A1260A" w14:textId="77777777" w:rsidR="008107EA" w:rsidRPr="009E5B39" w:rsidRDefault="008107EA" w:rsidP="00513698">
            <w:pPr>
              <w:spacing w:after="0" w:line="240" w:lineRule="auto"/>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Anul 2020</w:t>
            </w:r>
          </w:p>
        </w:tc>
        <w:tc>
          <w:tcPr>
            <w:tcW w:w="1105" w:type="dxa"/>
            <w:tcBorders>
              <w:top w:val="nil"/>
              <w:left w:val="nil"/>
              <w:bottom w:val="single" w:sz="4" w:space="0" w:color="auto"/>
              <w:right w:val="single" w:sz="4" w:space="0" w:color="auto"/>
            </w:tcBorders>
            <w:shd w:val="clear" w:color="auto" w:fill="auto"/>
            <w:noWrap/>
            <w:vAlign w:val="bottom"/>
            <w:hideMark/>
          </w:tcPr>
          <w:p w14:paraId="263D0D19"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169.250,80</w:t>
            </w:r>
          </w:p>
        </w:tc>
        <w:tc>
          <w:tcPr>
            <w:tcW w:w="1020" w:type="dxa"/>
            <w:tcBorders>
              <w:top w:val="nil"/>
              <w:left w:val="nil"/>
              <w:bottom w:val="single" w:sz="4" w:space="0" w:color="auto"/>
              <w:right w:val="single" w:sz="4" w:space="0" w:color="auto"/>
            </w:tcBorders>
            <w:shd w:val="clear" w:color="auto" w:fill="auto"/>
            <w:noWrap/>
            <w:vAlign w:val="bottom"/>
            <w:hideMark/>
          </w:tcPr>
          <w:p w14:paraId="0F2C4C28"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94.071,10</w:t>
            </w:r>
          </w:p>
        </w:tc>
        <w:tc>
          <w:tcPr>
            <w:tcW w:w="1390" w:type="dxa"/>
            <w:tcBorders>
              <w:top w:val="nil"/>
              <w:left w:val="nil"/>
              <w:bottom w:val="single" w:sz="4" w:space="0" w:color="auto"/>
              <w:right w:val="single" w:sz="4" w:space="0" w:color="auto"/>
            </w:tcBorders>
            <w:shd w:val="clear" w:color="auto" w:fill="auto"/>
            <w:noWrap/>
            <w:vAlign w:val="bottom"/>
            <w:hideMark/>
          </w:tcPr>
          <w:p w14:paraId="3172465E"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75.179,70</w:t>
            </w:r>
          </w:p>
        </w:tc>
        <w:tc>
          <w:tcPr>
            <w:tcW w:w="1040" w:type="dxa"/>
            <w:tcBorders>
              <w:top w:val="nil"/>
              <w:left w:val="nil"/>
              <w:bottom w:val="single" w:sz="4" w:space="0" w:color="auto"/>
              <w:right w:val="single" w:sz="4" w:space="0" w:color="auto"/>
            </w:tcBorders>
            <w:shd w:val="clear" w:color="auto" w:fill="auto"/>
            <w:noWrap/>
            <w:vAlign w:val="bottom"/>
            <w:hideMark/>
          </w:tcPr>
          <w:p w14:paraId="08024198"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155.744,40</w:t>
            </w:r>
          </w:p>
        </w:tc>
        <w:tc>
          <w:tcPr>
            <w:tcW w:w="960" w:type="dxa"/>
            <w:tcBorders>
              <w:top w:val="nil"/>
              <w:left w:val="nil"/>
              <w:bottom w:val="single" w:sz="4" w:space="0" w:color="auto"/>
              <w:right w:val="single" w:sz="4" w:space="0" w:color="auto"/>
            </w:tcBorders>
            <w:shd w:val="clear" w:color="auto" w:fill="auto"/>
            <w:noWrap/>
            <w:vAlign w:val="bottom"/>
            <w:hideMark/>
          </w:tcPr>
          <w:p w14:paraId="599B1598"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-13.506,40</w:t>
            </w:r>
          </w:p>
        </w:tc>
        <w:tc>
          <w:tcPr>
            <w:tcW w:w="1408" w:type="dxa"/>
            <w:gridSpan w:val="2"/>
            <w:tcBorders>
              <w:top w:val="nil"/>
              <w:left w:val="nil"/>
              <w:bottom w:val="single" w:sz="4" w:space="0" w:color="auto"/>
              <w:right w:val="single" w:sz="4" w:space="0" w:color="auto"/>
            </w:tcBorders>
            <w:shd w:val="clear" w:color="auto" w:fill="auto"/>
            <w:noWrap/>
            <w:vAlign w:val="bottom"/>
            <w:hideMark/>
          </w:tcPr>
          <w:p w14:paraId="2D985CF5"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155.744,40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932FCB1"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155.744,40</w:t>
            </w:r>
          </w:p>
        </w:tc>
        <w:tc>
          <w:tcPr>
            <w:tcW w:w="1775" w:type="dxa"/>
            <w:gridSpan w:val="2"/>
            <w:tcBorders>
              <w:top w:val="nil"/>
              <w:left w:val="nil"/>
              <w:bottom w:val="single" w:sz="4" w:space="0" w:color="auto"/>
              <w:right w:val="single" w:sz="4" w:space="0" w:color="auto"/>
            </w:tcBorders>
            <w:shd w:val="clear" w:color="auto" w:fill="auto"/>
            <w:noWrap/>
            <w:vAlign w:val="bottom"/>
            <w:hideMark/>
          </w:tcPr>
          <w:p w14:paraId="4414FC66"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423B6AF"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323" w:type="dxa"/>
            <w:gridSpan w:val="4"/>
            <w:tcBorders>
              <w:top w:val="nil"/>
              <w:left w:val="nil"/>
              <w:bottom w:val="single" w:sz="4" w:space="0" w:color="auto"/>
              <w:right w:val="single" w:sz="4" w:space="0" w:color="auto"/>
            </w:tcBorders>
            <w:shd w:val="clear" w:color="auto" w:fill="auto"/>
            <w:noWrap/>
            <w:vAlign w:val="bottom"/>
            <w:hideMark/>
          </w:tcPr>
          <w:p w14:paraId="19244B6B"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80.564,70</w:t>
            </w:r>
          </w:p>
        </w:tc>
        <w:tc>
          <w:tcPr>
            <w:tcW w:w="1589" w:type="dxa"/>
            <w:gridSpan w:val="3"/>
            <w:tcBorders>
              <w:top w:val="nil"/>
              <w:left w:val="nil"/>
              <w:bottom w:val="single" w:sz="4" w:space="0" w:color="auto"/>
              <w:right w:val="single" w:sz="4" w:space="0" w:color="auto"/>
            </w:tcBorders>
            <w:shd w:val="clear" w:color="auto" w:fill="auto"/>
            <w:noWrap/>
            <w:vAlign w:val="bottom"/>
            <w:hideMark/>
          </w:tcPr>
          <w:p w14:paraId="206DF475" w14:textId="77777777" w:rsidR="008107EA" w:rsidRPr="009E5B39" w:rsidRDefault="008107EA" w:rsidP="00513698">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-94.071,10</w:t>
            </w:r>
          </w:p>
        </w:tc>
      </w:tr>
      <w:tr w:rsidR="008107EA" w:rsidRPr="009E5B39" w14:paraId="708E24B5" w14:textId="77777777" w:rsidTr="00513698">
        <w:trPr>
          <w:trHeight w:val="29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D88CD0"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105" w:type="dxa"/>
            <w:tcBorders>
              <w:top w:val="nil"/>
              <w:left w:val="nil"/>
              <w:bottom w:val="single" w:sz="4" w:space="0" w:color="auto"/>
              <w:right w:val="single" w:sz="4" w:space="0" w:color="auto"/>
            </w:tcBorders>
            <w:shd w:val="clear" w:color="auto" w:fill="auto"/>
            <w:noWrap/>
            <w:vAlign w:val="bottom"/>
            <w:hideMark/>
          </w:tcPr>
          <w:p w14:paraId="0B9ED9B0"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20" w:type="dxa"/>
            <w:tcBorders>
              <w:top w:val="nil"/>
              <w:left w:val="nil"/>
              <w:bottom w:val="single" w:sz="4" w:space="0" w:color="auto"/>
              <w:right w:val="single" w:sz="4" w:space="0" w:color="auto"/>
            </w:tcBorders>
            <w:shd w:val="clear" w:color="auto" w:fill="auto"/>
            <w:noWrap/>
            <w:vAlign w:val="bottom"/>
            <w:hideMark/>
          </w:tcPr>
          <w:p w14:paraId="6811EB69"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390" w:type="dxa"/>
            <w:tcBorders>
              <w:top w:val="nil"/>
              <w:left w:val="nil"/>
              <w:bottom w:val="single" w:sz="4" w:space="0" w:color="auto"/>
              <w:right w:val="single" w:sz="4" w:space="0" w:color="auto"/>
            </w:tcBorders>
            <w:shd w:val="clear" w:color="auto" w:fill="auto"/>
            <w:noWrap/>
            <w:vAlign w:val="bottom"/>
            <w:hideMark/>
          </w:tcPr>
          <w:p w14:paraId="1280F702"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40" w:type="dxa"/>
            <w:tcBorders>
              <w:top w:val="nil"/>
              <w:left w:val="nil"/>
              <w:bottom w:val="single" w:sz="4" w:space="0" w:color="auto"/>
              <w:right w:val="single" w:sz="4" w:space="0" w:color="auto"/>
            </w:tcBorders>
            <w:shd w:val="clear" w:color="auto" w:fill="auto"/>
            <w:noWrap/>
            <w:vAlign w:val="bottom"/>
            <w:hideMark/>
          </w:tcPr>
          <w:p w14:paraId="7890D5B9"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0" w:type="dxa"/>
            <w:tcBorders>
              <w:top w:val="nil"/>
              <w:left w:val="nil"/>
              <w:bottom w:val="single" w:sz="4" w:space="0" w:color="auto"/>
              <w:right w:val="single" w:sz="4" w:space="0" w:color="auto"/>
            </w:tcBorders>
            <w:shd w:val="clear" w:color="auto" w:fill="auto"/>
            <w:noWrap/>
            <w:vAlign w:val="bottom"/>
            <w:hideMark/>
          </w:tcPr>
          <w:p w14:paraId="67641DC7"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408" w:type="dxa"/>
            <w:gridSpan w:val="2"/>
            <w:tcBorders>
              <w:top w:val="nil"/>
              <w:left w:val="nil"/>
              <w:bottom w:val="single" w:sz="4" w:space="0" w:color="auto"/>
              <w:right w:val="single" w:sz="4" w:space="0" w:color="auto"/>
            </w:tcBorders>
            <w:shd w:val="clear" w:color="auto" w:fill="auto"/>
            <w:noWrap/>
            <w:vAlign w:val="bottom"/>
            <w:hideMark/>
          </w:tcPr>
          <w:p w14:paraId="06D75A00"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EA46B66"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775" w:type="dxa"/>
            <w:gridSpan w:val="2"/>
            <w:tcBorders>
              <w:top w:val="nil"/>
              <w:left w:val="nil"/>
              <w:bottom w:val="single" w:sz="4" w:space="0" w:color="auto"/>
              <w:right w:val="single" w:sz="4" w:space="0" w:color="auto"/>
            </w:tcBorders>
            <w:shd w:val="clear" w:color="auto" w:fill="auto"/>
            <w:noWrap/>
            <w:vAlign w:val="bottom"/>
            <w:hideMark/>
          </w:tcPr>
          <w:p w14:paraId="54B8E0C6"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393F906"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323" w:type="dxa"/>
            <w:gridSpan w:val="4"/>
            <w:tcBorders>
              <w:top w:val="nil"/>
              <w:left w:val="nil"/>
              <w:bottom w:val="single" w:sz="4" w:space="0" w:color="auto"/>
              <w:right w:val="single" w:sz="4" w:space="0" w:color="auto"/>
            </w:tcBorders>
            <w:shd w:val="clear" w:color="auto" w:fill="auto"/>
            <w:noWrap/>
            <w:vAlign w:val="bottom"/>
            <w:hideMark/>
          </w:tcPr>
          <w:p w14:paraId="6EC54700"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589" w:type="dxa"/>
            <w:gridSpan w:val="3"/>
            <w:tcBorders>
              <w:top w:val="nil"/>
              <w:left w:val="nil"/>
              <w:bottom w:val="single" w:sz="4" w:space="0" w:color="auto"/>
              <w:right w:val="single" w:sz="4" w:space="0" w:color="auto"/>
            </w:tcBorders>
            <w:shd w:val="clear" w:color="auto" w:fill="auto"/>
            <w:noWrap/>
            <w:vAlign w:val="bottom"/>
            <w:hideMark/>
          </w:tcPr>
          <w:p w14:paraId="2141B374"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r>
      <w:tr w:rsidR="008107EA" w:rsidRPr="009E5B39" w14:paraId="1482DE5C" w14:textId="77777777" w:rsidTr="00513698">
        <w:trPr>
          <w:trHeight w:val="29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231D1B" w14:textId="77777777" w:rsidR="008107EA" w:rsidRPr="009E5B39" w:rsidRDefault="008107EA" w:rsidP="00513698">
            <w:pPr>
              <w:spacing w:after="0" w:line="240" w:lineRule="auto"/>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TOTAL</w:t>
            </w:r>
          </w:p>
        </w:tc>
        <w:tc>
          <w:tcPr>
            <w:tcW w:w="1105" w:type="dxa"/>
            <w:tcBorders>
              <w:top w:val="nil"/>
              <w:left w:val="nil"/>
              <w:bottom w:val="single" w:sz="4" w:space="0" w:color="auto"/>
              <w:right w:val="single" w:sz="4" w:space="0" w:color="auto"/>
            </w:tcBorders>
            <w:shd w:val="clear" w:color="auto" w:fill="auto"/>
            <w:noWrap/>
            <w:vAlign w:val="bottom"/>
            <w:hideMark/>
          </w:tcPr>
          <w:p w14:paraId="16205746"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426.879,00</w:t>
            </w:r>
          </w:p>
        </w:tc>
        <w:tc>
          <w:tcPr>
            <w:tcW w:w="1020" w:type="dxa"/>
            <w:tcBorders>
              <w:top w:val="nil"/>
              <w:left w:val="nil"/>
              <w:bottom w:val="single" w:sz="4" w:space="0" w:color="auto"/>
              <w:right w:val="single" w:sz="4" w:space="0" w:color="auto"/>
            </w:tcBorders>
            <w:shd w:val="clear" w:color="auto" w:fill="auto"/>
            <w:noWrap/>
            <w:vAlign w:val="bottom"/>
            <w:hideMark/>
          </w:tcPr>
          <w:p w14:paraId="71C0D053"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203.362,60</w:t>
            </w:r>
          </w:p>
        </w:tc>
        <w:tc>
          <w:tcPr>
            <w:tcW w:w="1390" w:type="dxa"/>
            <w:tcBorders>
              <w:top w:val="nil"/>
              <w:left w:val="nil"/>
              <w:bottom w:val="single" w:sz="4" w:space="0" w:color="auto"/>
              <w:right w:val="single" w:sz="4" w:space="0" w:color="auto"/>
            </w:tcBorders>
            <w:shd w:val="clear" w:color="auto" w:fill="auto"/>
            <w:noWrap/>
            <w:vAlign w:val="bottom"/>
            <w:hideMark/>
          </w:tcPr>
          <w:p w14:paraId="0D04ED54"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223.516,40</w:t>
            </w:r>
          </w:p>
        </w:tc>
        <w:tc>
          <w:tcPr>
            <w:tcW w:w="1040" w:type="dxa"/>
            <w:tcBorders>
              <w:top w:val="nil"/>
              <w:left w:val="nil"/>
              <w:bottom w:val="single" w:sz="4" w:space="0" w:color="auto"/>
              <w:right w:val="single" w:sz="4" w:space="0" w:color="auto"/>
            </w:tcBorders>
            <w:shd w:val="clear" w:color="auto" w:fill="auto"/>
            <w:noWrap/>
            <w:vAlign w:val="bottom"/>
            <w:hideMark/>
          </w:tcPr>
          <w:p w14:paraId="111155A8"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397.672,40</w:t>
            </w:r>
          </w:p>
        </w:tc>
        <w:tc>
          <w:tcPr>
            <w:tcW w:w="960" w:type="dxa"/>
            <w:tcBorders>
              <w:top w:val="nil"/>
              <w:left w:val="nil"/>
              <w:bottom w:val="single" w:sz="4" w:space="0" w:color="auto"/>
              <w:right w:val="single" w:sz="4" w:space="0" w:color="auto"/>
            </w:tcBorders>
            <w:shd w:val="clear" w:color="auto" w:fill="auto"/>
            <w:noWrap/>
            <w:vAlign w:val="bottom"/>
            <w:hideMark/>
          </w:tcPr>
          <w:p w14:paraId="610FD2F7"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-29.206,60</w:t>
            </w:r>
          </w:p>
        </w:tc>
        <w:tc>
          <w:tcPr>
            <w:tcW w:w="1408" w:type="dxa"/>
            <w:gridSpan w:val="2"/>
            <w:tcBorders>
              <w:top w:val="nil"/>
              <w:left w:val="nil"/>
              <w:bottom w:val="single" w:sz="4" w:space="0" w:color="auto"/>
              <w:right w:val="single" w:sz="4" w:space="0" w:color="auto"/>
            </w:tcBorders>
            <w:shd w:val="clear" w:color="auto" w:fill="auto"/>
            <w:noWrap/>
            <w:vAlign w:val="bottom"/>
            <w:hideMark/>
          </w:tcPr>
          <w:p w14:paraId="371D2BC4"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397.672,40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524D677"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386.322,00</w:t>
            </w:r>
          </w:p>
        </w:tc>
        <w:tc>
          <w:tcPr>
            <w:tcW w:w="1775" w:type="dxa"/>
            <w:gridSpan w:val="2"/>
            <w:tcBorders>
              <w:top w:val="nil"/>
              <w:left w:val="nil"/>
              <w:bottom w:val="single" w:sz="4" w:space="0" w:color="auto"/>
              <w:right w:val="single" w:sz="4" w:space="0" w:color="auto"/>
            </w:tcBorders>
            <w:shd w:val="clear" w:color="auto" w:fill="auto"/>
            <w:noWrap/>
            <w:vAlign w:val="bottom"/>
            <w:hideMark/>
          </w:tcPr>
          <w:p w14:paraId="21449263"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10.350,40</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5EB09CE1"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1.000,00</w:t>
            </w:r>
          </w:p>
        </w:tc>
        <w:tc>
          <w:tcPr>
            <w:tcW w:w="1323" w:type="dxa"/>
            <w:gridSpan w:val="4"/>
            <w:tcBorders>
              <w:top w:val="nil"/>
              <w:left w:val="nil"/>
              <w:bottom w:val="single" w:sz="4" w:space="0" w:color="auto"/>
              <w:right w:val="single" w:sz="4" w:space="0" w:color="auto"/>
            </w:tcBorders>
            <w:shd w:val="clear" w:color="auto" w:fill="auto"/>
            <w:noWrap/>
            <w:vAlign w:val="bottom"/>
            <w:hideMark/>
          </w:tcPr>
          <w:p w14:paraId="387F576E"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162.805,60</w:t>
            </w:r>
          </w:p>
        </w:tc>
        <w:tc>
          <w:tcPr>
            <w:tcW w:w="1589" w:type="dxa"/>
            <w:gridSpan w:val="3"/>
            <w:tcBorders>
              <w:top w:val="nil"/>
              <w:left w:val="nil"/>
              <w:bottom w:val="single" w:sz="4" w:space="0" w:color="auto"/>
              <w:right w:val="single" w:sz="4" w:space="0" w:color="auto"/>
            </w:tcBorders>
            <w:shd w:val="clear" w:color="auto" w:fill="auto"/>
            <w:noWrap/>
            <w:vAlign w:val="bottom"/>
            <w:hideMark/>
          </w:tcPr>
          <w:p w14:paraId="0849DBD3" w14:textId="77777777" w:rsidR="008107EA" w:rsidRPr="009E5B39" w:rsidRDefault="008107EA" w:rsidP="00513698">
            <w:pPr>
              <w:spacing w:after="0" w:line="240" w:lineRule="auto"/>
              <w:jc w:val="right"/>
              <w:rPr>
                <w:rFonts w:asciiTheme="majorHAnsi" w:eastAsia="Times New Roman" w:hAnsiTheme="majorHAnsi" w:cstheme="majorHAnsi"/>
                <w:b/>
                <w:bCs/>
                <w:i/>
                <w:iCs/>
                <w:sz w:val="16"/>
                <w:szCs w:val="16"/>
                <w:lang w:val="ro-MD"/>
              </w:rPr>
            </w:pPr>
            <w:r w:rsidRPr="009E5B39">
              <w:rPr>
                <w:rFonts w:asciiTheme="majorHAnsi" w:eastAsia="Times New Roman" w:hAnsiTheme="majorHAnsi" w:cstheme="majorHAnsi"/>
                <w:b/>
                <w:bCs/>
                <w:i/>
                <w:iCs/>
                <w:sz w:val="16"/>
                <w:szCs w:val="16"/>
                <w:lang w:val="ro-MD"/>
              </w:rPr>
              <w:t>-193.012,20</w:t>
            </w:r>
          </w:p>
        </w:tc>
      </w:tr>
      <w:tr w:rsidR="008107EA" w:rsidRPr="009E5B39" w14:paraId="0059FBBD" w14:textId="77777777" w:rsidTr="00513698">
        <w:trPr>
          <w:trHeight w:val="240"/>
        </w:trPr>
        <w:tc>
          <w:tcPr>
            <w:tcW w:w="6407" w:type="dxa"/>
            <w:gridSpan w:val="7"/>
            <w:tcBorders>
              <w:top w:val="nil"/>
              <w:left w:val="nil"/>
              <w:bottom w:val="nil"/>
              <w:right w:val="nil"/>
            </w:tcBorders>
            <w:shd w:val="clear" w:color="auto" w:fill="auto"/>
            <w:noWrap/>
            <w:vAlign w:val="bottom"/>
            <w:hideMark/>
          </w:tcPr>
          <w:p w14:paraId="7B992571" w14:textId="30289C41"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date preluate din Anexa nr.7 la Legea bugetului de stat pentru an</w:t>
            </w:r>
            <w:r w:rsidR="00294D94" w:rsidRPr="009E5B39">
              <w:rPr>
                <w:rFonts w:asciiTheme="majorHAnsi" w:eastAsia="Times New Roman" w:hAnsiTheme="majorHAnsi" w:cstheme="majorHAnsi"/>
                <w:sz w:val="16"/>
                <w:szCs w:val="16"/>
                <w:lang w:val="ro-MD"/>
              </w:rPr>
              <w:t>ii</w:t>
            </w:r>
            <w:r w:rsidRPr="009E5B39">
              <w:rPr>
                <w:rFonts w:asciiTheme="majorHAnsi" w:eastAsia="Times New Roman" w:hAnsiTheme="majorHAnsi" w:cstheme="majorHAnsi"/>
                <w:sz w:val="16"/>
                <w:szCs w:val="16"/>
                <w:lang w:val="ro-MD"/>
              </w:rPr>
              <w:t xml:space="preserve"> 2018, 2019 și 2020</w:t>
            </w:r>
            <w:r w:rsidR="00294D94" w:rsidRPr="009E5B39">
              <w:rPr>
                <w:rFonts w:asciiTheme="majorHAnsi" w:eastAsia="Times New Roman" w:hAnsiTheme="majorHAnsi" w:cstheme="majorHAnsi"/>
                <w:sz w:val="16"/>
                <w:szCs w:val="16"/>
                <w:lang w:val="ro-MD"/>
              </w:rPr>
              <w:t>.</w:t>
            </w:r>
          </w:p>
        </w:tc>
        <w:tc>
          <w:tcPr>
            <w:tcW w:w="1402" w:type="dxa"/>
            <w:gridSpan w:val="2"/>
            <w:tcBorders>
              <w:top w:val="nil"/>
              <w:left w:val="nil"/>
              <w:bottom w:val="nil"/>
              <w:right w:val="nil"/>
            </w:tcBorders>
            <w:shd w:val="clear" w:color="auto" w:fill="auto"/>
            <w:noWrap/>
            <w:vAlign w:val="bottom"/>
            <w:hideMark/>
          </w:tcPr>
          <w:p w14:paraId="3D3E5ED4"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p>
        </w:tc>
        <w:tc>
          <w:tcPr>
            <w:tcW w:w="1276" w:type="dxa"/>
            <w:gridSpan w:val="2"/>
            <w:tcBorders>
              <w:top w:val="nil"/>
              <w:left w:val="nil"/>
              <w:bottom w:val="nil"/>
              <w:right w:val="nil"/>
            </w:tcBorders>
            <w:shd w:val="clear" w:color="auto" w:fill="auto"/>
            <w:noWrap/>
            <w:vAlign w:val="bottom"/>
            <w:hideMark/>
          </w:tcPr>
          <w:p w14:paraId="1CC8D1BF"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775" w:type="dxa"/>
            <w:gridSpan w:val="2"/>
            <w:tcBorders>
              <w:top w:val="nil"/>
              <w:left w:val="nil"/>
              <w:bottom w:val="nil"/>
              <w:right w:val="nil"/>
            </w:tcBorders>
            <w:shd w:val="clear" w:color="auto" w:fill="auto"/>
            <w:noWrap/>
            <w:vAlign w:val="bottom"/>
            <w:hideMark/>
          </w:tcPr>
          <w:p w14:paraId="5F2340FC"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260" w:type="dxa"/>
            <w:gridSpan w:val="2"/>
            <w:tcBorders>
              <w:top w:val="nil"/>
              <w:left w:val="nil"/>
              <w:bottom w:val="nil"/>
              <w:right w:val="nil"/>
            </w:tcBorders>
            <w:shd w:val="clear" w:color="auto" w:fill="auto"/>
            <w:noWrap/>
            <w:vAlign w:val="bottom"/>
            <w:hideMark/>
          </w:tcPr>
          <w:p w14:paraId="6680F104"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323" w:type="dxa"/>
            <w:gridSpan w:val="4"/>
            <w:tcBorders>
              <w:top w:val="nil"/>
              <w:left w:val="nil"/>
              <w:bottom w:val="nil"/>
              <w:right w:val="nil"/>
            </w:tcBorders>
            <w:shd w:val="clear" w:color="auto" w:fill="auto"/>
            <w:noWrap/>
            <w:vAlign w:val="bottom"/>
            <w:hideMark/>
          </w:tcPr>
          <w:p w14:paraId="7BAB0EC0"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c>
          <w:tcPr>
            <w:tcW w:w="1583" w:type="dxa"/>
            <w:gridSpan w:val="2"/>
            <w:tcBorders>
              <w:top w:val="nil"/>
              <w:left w:val="nil"/>
              <w:bottom w:val="nil"/>
              <w:right w:val="nil"/>
            </w:tcBorders>
            <w:shd w:val="clear" w:color="auto" w:fill="auto"/>
            <w:noWrap/>
            <w:vAlign w:val="bottom"/>
            <w:hideMark/>
          </w:tcPr>
          <w:p w14:paraId="6C61D5F5"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r>
      <w:tr w:rsidR="008107EA" w:rsidRPr="009E5B39" w14:paraId="71733427" w14:textId="77777777" w:rsidTr="00513698">
        <w:trPr>
          <w:trHeight w:val="240"/>
        </w:trPr>
        <w:tc>
          <w:tcPr>
            <w:tcW w:w="12145" w:type="dxa"/>
            <w:gridSpan w:val="17"/>
            <w:tcBorders>
              <w:top w:val="nil"/>
              <w:left w:val="nil"/>
              <w:bottom w:val="nil"/>
              <w:right w:val="nil"/>
            </w:tcBorders>
            <w:shd w:val="clear" w:color="auto" w:fill="auto"/>
            <w:noWrap/>
            <w:vAlign w:val="bottom"/>
            <w:hideMark/>
          </w:tcPr>
          <w:p w14:paraId="171B2C26" w14:textId="77703CFD" w:rsidR="008107EA" w:rsidRPr="009E5B39" w:rsidRDefault="008107EA" w:rsidP="00513698">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date preluate din Raportul privind executarea bugetului (FD-044)  Primăriei municipiului Chișinău (instituția 1001) pentru an</w:t>
            </w:r>
            <w:r w:rsidR="00294D94" w:rsidRPr="009E5B39">
              <w:rPr>
                <w:rFonts w:asciiTheme="majorHAnsi" w:eastAsia="Times New Roman" w:hAnsiTheme="majorHAnsi" w:cstheme="majorHAnsi"/>
                <w:sz w:val="16"/>
                <w:szCs w:val="16"/>
                <w:lang w:val="ro-MD"/>
              </w:rPr>
              <w:t>ii</w:t>
            </w:r>
            <w:r w:rsidRPr="009E5B39">
              <w:rPr>
                <w:rFonts w:asciiTheme="majorHAnsi" w:eastAsia="Times New Roman" w:hAnsiTheme="majorHAnsi" w:cstheme="majorHAnsi"/>
                <w:sz w:val="16"/>
                <w:szCs w:val="16"/>
                <w:lang w:val="ro-MD"/>
              </w:rPr>
              <w:t xml:space="preserve"> 2018,2019 și 2020</w:t>
            </w:r>
            <w:r w:rsidR="00294D94" w:rsidRPr="009E5B39">
              <w:rPr>
                <w:rFonts w:asciiTheme="majorHAnsi" w:eastAsia="Times New Roman" w:hAnsiTheme="majorHAnsi" w:cstheme="majorHAnsi"/>
                <w:sz w:val="16"/>
                <w:szCs w:val="16"/>
                <w:lang w:val="ro-MD"/>
              </w:rPr>
              <w:t>.</w:t>
            </w:r>
          </w:p>
        </w:tc>
        <w:tc>
          <w:tcPr>
            <w:tcW w:w="1309" w:type="dxa"/>
            <w:gridSpan w:val="3"/>
            <w:tcBorders>
              <w:top w:val="nil"/>
              <w:left w:val="nil"/>
              <w:bottom w:val="nil"/>
              <w:right w:val="nil"/>
            </w:tcBorders>
            <w:shd w:val="clear" w:color="auto" w:fill="auto"/>
            <w:noWrap/>
            <w:vAlign w:val="bottom"/>
            <w:hideMark/>
          </w:tcPr>
          <w:p w14:paraId="087960E9" w14:textId="77777777" w:rsidR="008107EA" w:rsidRPr="009E5B39" w:rsidRDefault="008107EA" w:rsidP="00513698">
            <w:pPr>
              <w:spacing w:after="0" w:line="240" w:lineRule="auto"/>
              <w:rPr>
                <w:rFonts w:asciiTheme="majorHAnsi" w:eastAsia="Times New Roman" w:hAnsiTheme="majorHAnsi" w:cstheme="majorHAnsi"/>
                <w:sz w:val="16"/>
                <w:szCs w:val="16"/>
                <w:lang w:val="ro-MD"/>
              </w:rPr>
            </w:pPr>
          </w:p>
        </w:tc>
        <w:tc>
          <w:tcPr>
            <w:tcW w:w="1572" w:type="dxa"/>
            <w:tcBorders>
              <w:top w:val="nil"/>
              <w:left w:val="nil"/>
              <w:bottom w:val="nil"/>
              <w:right w:val="nil"/>
            </w:tcBorders>
            <w:shd w:val="clear" w:color="auto" w:fill="auto"/>
            <w:noWrap/>
            <w:vAlign w:val="bottom"/>
            <w:hideMark/>
          </w:tcPr>
          <w:p w14:paraId="338787D8" w14:textId="77777777" w:rsidR="008107EA" w:rsidRPr="009E5B39" w:rsidRDefault="008107EA" w:rsidP="00513698">
            <w:pPr>
              <w:spacing w:after="0" w:line="240" w:lineRule="auto"/>
              <w:rPr>
                <w:rFonts w:asciiTheme="majorHAnsi" w:eastAsia="Times New Roman" w:hAnsiTheme="majorHAnsi" w:cstheme="majorHAnsi"/>
                <w:sz w:val="20"/>
                <w:szCs w:val="20"/>
                <w:lang w:val="ro-MD"/>
              </w:rPr>
            </w:pPr>
          </w:p>
        </w:tc>
      </w:tr>
      <w:tr w:rsidR="008107EA" w:rsidRPr="009E5B39" w14:paraId="25D6488F" w14:textId="77777777" w:rsidTr="00513698">
        <w:trPr>
          <w:trHeight w:val="210"/>
        </w:trPr>
        <w:tc>
          <w:tcPr>
            <w:tcW w:w="15026" w:type="dxa"/>
            <w:gridSpan w:val="21"/>
            <w:tcBorders>
              <w:top w:val="nil"/>
              <w:left w:val="nil"/>
              <w:bottom w:val="nil"/>
            </w:tcBorders>
            <w:shd w:val="clear" w:color="auto" w:fill="auto"/>
            <w:noWrap/>
            <w:vAlign w:val="bottom"/>
            <w:hideMark/>
          </w:tcPr>
          <w:p w14:paraId="13BC2C22" w14:textId="27E0A960" w:rsidR="008107EA" w:rsidRPr="009E5B39" w:rsidRDefault="008107EA" w:rsidP="003C5073">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***date preluate din Informația privind utilizarea mijloacelor financiare primite de la bugetul de stat ca transferuri cu destinație specială pentru infrastructura drumurilor, în perioada 2018-2020, prezentată de către DGTCC</w:t>
            </w:r>
            <w:r w:rsidR="00B54E6A" w:rsidRPr="009E5B39">
              <w:rPr>
                <w:rFonts w:asciiTheme="majorHAnsi" w:eastAsia="Times New Roman" w:hAnsiTheme="majorHAnsi" w:cstheme="majorHAnsi"/>
                <w:sz w:val="16"/>
                <w:szCs w:val="16"/>
                <w:lang w:val="ro-MD"/>
              </w:rPr>
              <w:t>.</w:t>
            </w:r>
          </w:p>
          <w:p w14:paraId="29397B66"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794A4C15"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5B423CD9"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376B8D36"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6C0FE78D"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6AFAA6EC"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1C629D2B"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4929B5E6"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6848B213"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7C65EEBD"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740A7349"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45EB19E6"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60847B9F"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51616CD6" w14:textId="77777777"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p w14:paraId="0132D10A" w14:textId="4A088649" w:rsidR="008107EA" w:rsidRPr="009E5B39" w:rsidRDefault="00837BD6" w:rsidP="00F41035">
            <w:pPr>
              <w:pStyle w:val="Heading1"/>
              <w:spacing w:before="0"/>
              <w:jc w:val="right"/>
              <w:rPr>
                <w:rFonts w:cstheme="majorHAnsi"/>
                <w:b/>
                <w:color w:val="auto"/>
                <w:lang w:val="ro-MD"/>
              </w:rPr>
            </w:pPr>
            <w:r w:rsidRPr="009E5B39">
              <w:rPr>
                <w:rFonts w:cstheme="majorHAnsi"/>
                <w:color w:val="auto"/>
                <w:lang w:val="ro-MD"/>
              </w:rPr>
              <w:t xml:space="preserve">                       </w:t>
            </w:r>
            <w:bookmarkStart w:id="23" w:name="_Toc116026888"/>
            <w:r w:rsidR="008107EA" w:rsidRPr="009E5B39">
              <w:rPr>
                <w:rFonts w:cstheme="majorHAnsi"/>
                <w:b/>
                <w:color w:val="auto"/>
                <w:lang w:val="ro-MD"/>
              </w:rPr>
              <w:t>Anexa nr.6</w:t>
            </w:r>
            <w:bookmarkEnd w:id="23"/>
          </w:p>
          <w:tbl>
            <w:tblPr>
              <w:tblW w:w="15322" w:type="dxa"/>
              <w:tblLook w:val="04A0" w:firstRow="1" w:lastRow="0" w:firstColumn="1" w:lastColumn="0" w:noHBand="0" w:noVBand="1"/>
            </w:tblPr>
            <w:tblGrid>
              <w:gridCol w:w="635"/>
              <w:gridCol w:w="580"/>
              <w:gridCol w:w="486"/>
              <w:gridCol w:w="768"/>
              <w:gridCol w:w="541"/>
              <w:gridCol w:w="671"/>
              <w:gridCol w:w="516"/>
              <w:gridCol w:w="620"/>
              <w:gridCol w:w="572"/>
              <w:gridCol w:w="580"/>
              <w:gridCol w:w="91"/>
              <w:gridCol w:w="567"/>
              <w:gridCol w:w="580"/>
              <w:gridCol w:w="580"/>
              <w:gridCol w:w="570"/>
              <w:gridCol w:w="15"/>
              <w:gridCol w:w="656"/>
              <w:gridCol w:w="600"/>
              <w:gridCol w:w="580"/>
              <w:gridCol w:w="570"/>
              <w:gridCol w:w="15"/>
              <w:gridCol w:w="526"/>
              <w:gridCol w:w="580"/>
              <w:gridCol w:w="480"/>
              <w:gridCol w:w="540"/>
              <w:gridCol w:w="15"/>
              <w:gridCol w:w="656"/>
              <w:gridCol w:w="543"/>
              <w:gridCol w:w="10"/>
              <w:gridCol w:w="511"/>
              <w:gridCol w:w="10"/>
              <w:gridCol w:w="18"/>
              <w:gridCol w:w="640"/>
            </w:tblGrid>
            <w:tr w:rsidR="00837BD6" w:rsidRPr="009E5B39" w14:paraId="36BA1E63" w14:textId="77777777" w:rsidTr="00B32230">
              <w:trPr>
                <w:trHeight w:val="20"/>
              </w:trPr>
              <w:tc>
                <w:tcPr>
                  <w:tcW w:w="635" w:type="dxa"/>
                  <w:tcBorders>
                    <w:top w:val="nil"/>
                    <w:left w:val="nil"/>
                    <w:bottom w:val="nil"/>
                    <w:right w:val="nil"/>
                  </w:tcBorders>
                  <w:shd w:val="clear" w:color="auto" w:fill="auto"/>
                  <w:noWrap/>
                  <w:vAlign w:val="bottom"/>
                  <w:hideMark/>
                </w:tcPr>
                <w:p w14:paraId="158A1FA9" w14:textId="77777777" w:rsidR="00837BD6" w:rsidRPr="009E5B39" w:rsidRDefault="00837BD6" w:rsidP="00B32230">
                  <w:pPr>
                    <w:spacing w:after="0" w:line="240" w:lineRule="auto"/>
                    <w:jc w:val="center"/>
                    <w:rPr>
                      <w:rFonts w:asciiTheme="majorHAnsi" w:eastAsia="Times New Roman" w:hAnsiTheme="majorHAnsi" w:cstheme="majorHAnsi"/>
                      <w:sz w:val="24"/>
                      <w:szCs w:val="24"/>
                      <w:lang w:val="ro-MD"/>
                    </w:rPr>
                  </w:pPr>
                </w:p>
              </w:tc>
              <w:tc>
                <w:tcPr>
                  <w:tcW w:w="1066" w:type="dxa"/>
                  <w:gridSpan w:val="2"/>
                  <w:tcBorders>
                    <w:top w:val="nil"/>
                    <w:left w:val="nil"/>
                    <w:bottom w:val="nil"/>
                    <w:right w:val="nil"/>
                  </w:tcBorders>
                  <w:shd w:val="clear" w:color="auto" w:fill="auto"/>
                  <w:noWrap/>
                  <w:vAlign w:val="bottom"/>
                  <w:hideMark/>
                </w:tcPr>
                <w:p w14:paraId="6EED649E"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768" w:type="dxa"/>
                  <w:tcBorders>
                    <w:top w:val="nil"/>
                    <w:left w:val="nil"/>
                    <w:bottom w:val="nil"/>
                    <w:right w:val="nil"/>
                  </w:tcBorders>
                  <w:shd w:val="clear" w:color="auto" w:fill="auto"/>
                  <w:noWrap/>
                  <w:vAlign w:val="bottom"/>
                  <w:hideMark/>
                </w:tcPr>
                <w:p w14:paraId="2439FF05"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41" w:type="dxa"/>
                  <w:tcBorders>
                    <w:top w:val="nil"/>
                    <w:left w:val="nil"/>
                    <w:bottom w:val="nil"/>
                    <w:right w:val="nil"/>
                  </w:tcBorders>
                  <w:shd w:val="clear" w:color="auto" w:fill="auto"/>
                  <w:noWrap/>
                  <w:vAlign w:val="bottom"/>
                  <w:hideMark/>
                </w:tcPr>
                <w:p w14:paraId="5FF91731"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71" w:type="dxa"/>
                  <w:tcBorders>
                    <w:top w:val="nil"/>
                    <w:left w:val="nil"/>
                    <w:bottom w:val="nil"/>
                    <w:right w:val="nil"/>
                  </w:tcBorders>
                  <w:shd w:val="clear" w:color="auto" w:fill="auto"/>
                  <w:noWrap/>
                  <w:vAlign w:val="bottom"/>
                  <w:hideMark/>
                </w:tcPr>
                <w:p w14:paraId="71FB8B5D"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16" w:type="dxa"/>
                  <w:tcBorders>
                    <w:top w:val="nil"/>
                    <w:left w:val="nil"/>
                    <w:bottom w:val="nil"/>
                    <w:right w:val="nil"/>
                  </w:tcBorders>
                  <w:shd w:val="clear" w:color="auto" w:fill="auto"/>
                  <w:noWrap/>
                  <w:vAlign w:val="bottom"/>
                  <w:hideMark/>
                </w:tcPr>
                <w:p w14:paraId="5A1E6372"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20" w:type="dxa"/>
                  <w:tcBorders>
                    <w:top w:val="nil"/>
                    <w:left w:val="nil"/>
                    <w:bottom w:val="nil"/>
                    <w:right w:val="nil"/>
                  </w:tcBorders>
                  <w:shd w:val="clear" w:color="auto" w:fill="auto"/>
                  <w:noWrap/>
                  <w:vAlign w:val="bottom"/>
                  <w:hideMark/>
                </w:tcPr>
                <w:p w14:paraId="5ADA0592"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72" w:type="dxa"/>
                  <w:tcBorders>
                    <w:top w:val="nil"/>
                    <w:left w:val="nil"/>
                    <w:bottom w:val="nil"/>
                    <w:right w:val="nil"/>
                  </w:tcBorders>
                  <w:shd w:val="clear" w:color="auto" w:fill="auto"/>
                  <w:noWrap/>
                  <w:vAlign w:val="bottom"/>
                  <w:hideMark/>
                </w:tcPr>
                <w:p w14:paraId="7914A739"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71" w:type="dxa"/>
                  <w:gridSpan w:val="2"/>
                  <w:tcBorders>
                    <w:top w:val="nil"/>
                    <w:left w:val="nil"/>
                    <w:bottom w:val="nil"/>
                    <w:right w:val="nil"/>
                  </w:tcBorders>
                  <w:shd w:val="clear" w:color="auto" w:fill="auto"/>
                  <w:noWrap/>
                  <w:vAlign w:val="bottom"/>
                  <w:hideMark/>
                </w:tcPr>
                <w:p w14:paraId="28603935"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67" w:type="dxa"/>
                  <w:tcBorders>
                    <w:top w:val="nil"/>
                    <w:left w:val="nil"/>
                    <w:bottom w:val="nil"/>
                    <w:right w:val="nil"/>
                  </w:tcBorders>
                  <w:shd w:val="clear" w:color="auto" w:fill="auto"/>
                  <w:noWrap/>
                  <w:vAlign w:val="bottom"/>
                  <w:hideMark/>
                </w:tcPr>
                <w:p w14:paraId="0E7F77B4"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80" w:type="dxa"/>
                  <w:tcBorders>
                    <w:top w:val="nil"/>
                    <w:left w:val="nil"/>
                    <w:bottom w:val="nil"/>
                    <w:right w:val="nil"/>
                  </w:tcBorders>
                </w:tcPr>
                <w:p w14:paraId="5CCF1739" w14:textId="77777777" w:rsidR="00837BD6" w:rsidRPr="009E5B39" w:rsidRDefault="00837BD6" w:rsidP="00837BD6">
                  <w:pPr>
                    <w:spacing w:after="0" w:line="240" w:lineRule="auto"/>
                    <w:jc w:val="center"/>
                    <w:rPr>
                      <w:rFonts w:asciiTheme="majorHAnsi" w:eastAsia="Times New Roman" w:hAnsiTheme="majorHAnsi" w:cstheme="majorHAnsi"/>
                      <w:sz w:val="20"/>
                      <w:szCs w:val="20"/>
                      <w:lang w:val="ro-MD"/>
                    </w:rPr>
                  </w:pPr>
                </w:p>
              </w:tc>
              <w:tc>
                <w:tcPr>
                  <w:tcW w:w="580" w:type="dxa"/>
                  <w:tcBorders>
                    <w:top w:val="nil"/>
                    <w:left w:val="nil"/>
                    <w:bottom w:val="nil"/>
                    <w:right w:val="nil"/>
                  </w:tcBorders>
                  <w:shd w:val="clear" w:color="auto" w:fill="auto"/>
                  <w:noWrap/>
                  <w:vAlign w:val="bottom"/>
                  <w:hideMark/>
                </w:tcPr>
                <w:p w14:paraId="4B1FF8E0" w14:textId="72AC7345"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70" w:type="dxa"/>
                  <w:tcBorders>
                    <w:top w:val="nil"/>
                    <w:left w:val="nil"/>
                    <w:bottom w:val="nil"/>
                    <w:right w:val="nil"/>
                  </w:tcBorders>
                  <w:shd w:val="clear" w:color="auto" w:fill="auto"/>
                  <w:noWrap/>
                  <w:vAlign w:val="bottom"/>
                  <w:hideMark/>
                </w:tcPr>
                <w:p w14:paraId="249B83F7"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71" w:type="dxa"/>
                  <w:gridSpan w:val="2"/>
                  <w:tcBorders>
                    <w:top w:val="nil"/>
                    <w:left w:val="nil"/>
                    <w:bottom w:val="nil"/>
                    <w:right w:val="nil"/>
                  </w:tcBorders>
                  <w:shd w:val="clear" w:color="auto" w:fill="auto"/>
                  <w:noWrap/>
                  <w:vAlign w:val="bottom"/>
                  <w:hideMark/>
                </w:tcPr>
                <w:p w14:paraId="7D22655B"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00" w:type="dxa"/>
                  <w:tcBorders>
                    <w:top w:val="nil"/>
                    <w:left w:val="nil"/>
                    <w:bottom w:val="nil"/>
                    <w:right w:val="nil"/>
                  </w:tcBorders>
                  <w:shd w:val="clear" w:color="auto" w:fill="auto"/>
                  <w:noWrap/>
                  <w:vAlign w:val="bottom"/>
                  <w:hideMark/>
                </w:tcPr>
                <w:p w14:paraId="2B9750F7"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80" w:type="dxa"/>
                  <w:tcBorders>
                    <w:top w:val="nil"/>
                    <w:left w:val="nil"/>
                    <w:bottom w:val="nil"/>
                    <w:right w:val="nil"/>
                  </w:tcBorders>
                  <w:shd w:val="clear" w:color="auto" w:fill="auto"/>
                  <w:noWrap/>
                  <w:vAlign w:val="bottom"/>
                  <w:hideMark/>
                </w:tcPr>
                <w:p w14:paraId="6709E5C6"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70" w:type="dxa"/>
                  <w:tcBorders>
                    <w:top w:val="nil"/>
                    <w:left w:val="nil"/>
                    <w:bottom w:val="nil"/>
                    <w:right w:val="nil"/>
                  </w:tcBorders>
                  <w:shd w:val="clear" w:color="auto" w:fill="auto"/>
                  <w:noWrap/>
                  <w:vAlign w:val="bottom"/>
                  <w:hideMark/>
                </w:tcPr>
                <w:p w14:paraId="01C0D92A"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41" w:type="dxa"/>
                  <w:gridSpan w:val="2"/>
                  <w:tcBorders>
                    <w:top w:val="nil"/>
                    <w:left w:val="nil"/>
                    <w:bottom w:val="nil"/>
                    <w:right w:val="nil"/>
                  </w:tcBorders>
                  <w:shd w:val="clear" w:color="auto" w:fill="auto"/>
                  <w:noWrap/>
                  <w:vAlign w:val="bottom"/>
                  <w:hideMark/>
                </w:tcPr>
                <w:p w14:paraId="5E57D9E0"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80" w:type="dxa"/>
                  <w:tcBorders>
                    <w:top w:val="nil"/>
                    <w:left w:val="nil"/>
                    <w:bottom w:val="nil"/>
                    <w:right w:val="nil"/>
                  </w:tcBorders>
                  <w:shd w:val="clear" w:color="auto" w:fill="auto"/>
                  <w:noWrap/>
                  <w:vAlign w:val="bottom"/>
                  <w:hideMark/>
                </w:tcPr>
                <w:p w14:paraId="6B4E5A5D"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480" w:type="dxa"/>
                  <w:tcBorders>
                    <w:top w:val="nil"/>
                    <w:left w:val="nil"/>
                    <w:bottom w:val="nil"/>
                    <w:right w:val="nil"/>
                  </w:tcBorders>
                  <w:shd w:val="clear" w:color="auto" w:fill="auto"/>
                  <w:noWrap/>
                  <w:vAlign w:val="bottom"/>
                  <w:hideMark/>
                </w:tcPr>
                <w:p w14:paraId="37ED9985"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40" w:type="dxa"/>
                  <w:tcBorders>
                    <w:top w:val="nil"/>
                    <w:left w:val="nil"/>
                    <w:bottom w:val="nil"/>
                    <w:right w:val="nil"/>
                  </w:tcBorders>
                  <w:shd w:val="clear" w:color="auto" w:fill="auto"/>
                  <w:noWrap/>
                  <w:vAlign w:val="bottom"/>
                  <w:hideMark/>
                </w:tcPr>
                <w:p w14:paraId="31276759"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71" w:type="dxa"/>
                  <w:gridSpan w:val="2"/>
                  <w:tcBorders>
                    <w:top w:val="nil"/>
                    <w:left w:val="nil"/>
                    <w:bottom w:val="nil"/>
                    <w:right w:val="nil"/>
                  </w:tcBorders>
                  <w:shd w:val="clear" w:color="auto" w:fill="auto"/>
                  <w:noWrap/>
                  <w:vAlign w:val="bottom"/>
                  <w:hideMark/>
                </w:tcPr>
                <w:p w14:paraId="4FB4879D"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43" w:type="dxa"/>
                  <w:tcBorders>
                    <w:top w:val="nil"/>
                    <w:left w:val="nil"/>
                    <w:bottom w:val="nil"/>
                    <w:right w:val="nil"/>
                  </w:tcBorders>
                  <w:shd w:val="clear" w:color="auto" w:fill="auto"/>
                  <w:noWrap/>
                  <w:vAlign w:val="bottom"/>
                  <w:hideMark/>
                </w:tcPr>
                <w:p w14:paraId="5BC37A69"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21" w:type="dxa"/>
                  <w:gridSpan w:val="2"/>
                  <w:tcBorders>
                    <w:top w:val="nil"/>
                    <w:left w:val="nil"/>
                    <w:bottom w:val="nil"/>
                    <w:right w:val="nil"/>
                  </w:tcBorders>
                  <w:shd w:val="clear" w:color="auto" w:fill="auto"/>
                  <w:noWrap/>
                  <w:vAlign w:val="bottom"/>
                  <w:hideMark/>
                </w:tcPr>
                <w:p w14:paraId="753BE8F4"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68" w:type="dxa"/>
                  <w:gridSpan w:val="3"/>
                  <w:tcBorders>
                    <w:top w:val="nil"/>
                    <w:left w:val="nil"/>
                    <w:bottom w:val="nil"/>
                    <w:right w:val="nil"/>
                  </w:tcBorders>
                  <w:shd w:val="clear" w:color="auto" w:fill="auto"/>
                  <w:noWrap/>
                  <w:vAlign w:val="bottom"/>
                  <w:hideMark/>
                </w:tcPr>
                <w:p w14:paraId="1664DE8A"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r>
            <w:tr w:rsidR="00837BD6" w:rsidRPr="009E5B39" w14:paraId="67C4093B" w14:textId="77777777" w:rsidTr="00B32230">
              <w:trPr>
                <w:trHeight w:val="20"/>
              </w:trPr>
              <w:tc>
                <w:tcPr>
                  <w:tcW w:w="635" w:type="dxa"/>
                  <w:tcBorders>
                    <w:top w:val="nil"/>
                    <w:left w:val="nil"/>
                    <w:bottom w:val="nil"/>
                    <w:right w:val="nil"/>
                  </w:tcBorders>
                  <w:shd w:val="clear" w:color="auto" w:fill="auto"/>
                  <w:noWrap/>
                  <w:vAlign w:val="bottom"/>
                  <w:hideMark/>
                </w:tcPr>
                <w:p w14:paraId="1D2C9608" w14:textId="342B33A0"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80" w:type="dxa"/>
                  <w:tcBorders>
                    <w:top w:val="nil"/>
                    <w:left w:val="nil"/>
                    <w:bottom w:val="nil"/>
                    <w:right w:val="nil"/>
                  </w:tcBorders>
                </w:tcPr>
                <w:p w14:paraId="0E6F4034" w14:textId="77777777" w:rsidR="00837BD6" w:rsidRPr="009E5B39" w:rsidRDefault="00837BD6" w:rsidP="00837BD6">
                  <w:pPr>
                    <w:spacing w:after="0" w:line="240" w:lineRule="auto"/>
                    <w:jc w:val="center"/>
                    <w:rPr>
                      <w:rFonts w:asciiTheme="majorHAnsi" w:eastAsia="Times New Roman" w:hAnsiTheme="majorHAnsi" w:cstheme="majorHAnsi"/>
                      <w:bCs/>
                      <w:sz w:val="24"/>
                      <w:szCs w:val="24"/>
                      <w:lang w:val="ro-MD"/>
                    </w:rPr>
                  </w:pPr>
                </w:p>
              </w:tc>
              <w:tc>
                <w:tcPr>
                  <w:tcW w:w="13467" w:type="dxa"/>
                  <w:gridSpan w:val="30"/>
                  <w:vMerge w:val="restart"/>
                  <w:tcBorders>
                    <w:top w:val="nil"/>
                    <w:left w:val="nil"/>
                    <w:bottom w:val="nil"/>
                    <w:right w:val="nil"/>
                  </w:tcBorders>
                  <w:shd w:val="clear" w:color="auto" w:fill="auto"/>
                  <w:noWrap/>
                  <w:hideMark/>
                </w:tcPr>
                <w:p w14:paraId="5284711E" w14:textId="65904320" w:rsidR="00837BD6" w:rsidRPr="009E5B39" w:rsidRDefault="00837BD6" w:rsidP="00837BD6">
                  <w:pPr>
                    <w:spacing w:after="0" w:line="240" w:lineRule="auto"/>
                    <w:jc w:val="center"/>
                    <w:rPr>
                      <w:rFonts w:asciiTheme="majorHAnsi" w:eastAsia="Times New Roman" w:hAnsiTheme="majorHAnsi" w:cstheme="majorHAnsi"/>
                      <w:b/>
                      <w:bCs/>
                      <w:sz w:val="24"/>
                      <w:szCs w:val="24"/>
                      <w:lang w:val="ro-MD"/>
                    </w:rPr>
                  </w:pPr>
                  <w:r w:rsidRPr="009E5B39">
                    <w:rPr>
                      <w:rFonts w:asciiTheme="majorHAnsi" w:eastAsia="Times New Roman" w:hAnsiTheme="majorHAnsi" w:cstheme="majorHAnsi"/>
                      <w:b/>
                      <w:bCs/>
                      <w:sz w:val="24"/>
                      <w:szCs w:val="24"/>
                      <w:lang w:val="ro-MD"/>
                    </w:rPr>
                    <w:t>Analiza statelor și efectivul de personal ale autorităților publice locale, în perioada anilor 2018 – 2021, în comparație cu anul 2016</w:t>
                  </w:r>
                </w:p>
              </w:tc>
              <w:tc>
                <w:tcPr>
                  <w:tcW w:w="640" w:type="dxa"/>
                  <w:tcBorders>
                    <w:top w:val="nil"/>
                    <w:left w:val="nil"/>
                    <w:bottom w:val="nil"/>
                    <w:right w:val="nil"/>
                  </w:tcBorders>
                  <w:shd w:val="clear" w:color="auto" w:fill="auto"/>
                  <w:noWrap/>
                  <w:vAlign w:val="bottom"/>
                  <w:hideMark/>
                </w:tcPr>
                <w:p w14:paraId="3DF47F4A" w14:textId="77777777" w:rsidR="00837BD6" w:rsidRPr="009E5B39" w:rsidRDefault="00837BD6" w:rsidP="00837BD6">
                  <w:pPr>
                    <w:spacing w:after="0" w:line="240" w:lineRule="auto"/>
                    <w:jc w:val="center"/>
                    <w:rPr>
                      <w:rFonts w:asciiTheme="majorHAnsi" w:eastAsia="Times New Roman" w:hAnsiTheme="majorHAnsi" w:cstheme="majorHAnsi"/>
                      <w:bCs/>
                      <w:sz w:val="24"/>
                      <w:szCs w:val="24"/>
                      <w:lang w:val="ro-MD"/>
                    </w:rPr>
                  </w:pPr>
                </w:p>
              </w:tc>
            </w:tr>
            <w:tr w:rsidR="00837BD6" w:rsidRPr="009E5B39" w14:paraId="47021013" w14:textId="77777777" w:rsidTr="00B32230">
              <w:trPr>
                <w:trHeight w:val="20"/>
              </w:trPr>
              <w:tc>
                <w:tcPr>
                  <w:tcW w:w="635" w:type="dxa"/>
                  <w:tcBorders>
                    <w:top w:val="nil"/>
                    <w:left w:val="nil"/>
                    <w:bottom w:val="nil"/>
                    <w:right w:val="nil"/>
                  </w:tcBorders>
                  <w:shd w:val="clear" w:color="auto" w:fill="auto"/>
                  <w:noWrap/>
                  <w:vAlign w:val="bottom"/>
                  <w:hideMark/>
                </w:tcPr>
                <w:p w14:paraId="66A303FC"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80" w:type="dxa"/>
                  <w:tcBorders>
                    <w:top w:val="nil"/>
                    <w:left w:val="nil"/>
                    <w:bottom w:val="nil"/>
                    <w:right w:val="nil"/>
                  </w:tcBorders>
                </w:tcPr>
                <w:p w14:paraId="31F7038C" w14:textId="77777777" w:rsidR="00837BD6" w:rsidRPr="009E5B39" w:rsidRDefault="00837BD6" w:rsidP="00837BD6">
                  <w:pPr>
                    <w:spacing w:after="0" w:line="240" w:lineRule="auto"/>
                    <w:jc w:val="center"/>
                    <w:rPr>
                      <w:rFonts w:asciiTheme="majorHAnsi" w:eastAsia="Times New Roman" w:hAnsiTheme="majorHAnsi" w:cstheme="majorHAnsi"/>
                      <w:bCs/>
                      <w:sz w:val="24"/>
                      <w:szCs w:val="24"/>
                      <w:lang w:val="ro-MD"/>
                    </w:rPr>
                  </w:pPr>
                </w:p>
              </w:tc>
              <w:tc>
                <w:tcPr>
                  <w:tcW w:w="13467" w:type="dxa"/>
                  <w:gridSpan w:val="30"/>
                  <w:vMerge/>
                  <w:tcBorders>
                    <w:top w:val="nil"/>
                    <w:left w:val="nil"/>
                    <w:bottom w:val="nil"/>
                    <w:right w:val="nil"/>
                  </w:tcBorders>
                  <w:vAlign w:val="center"/>
                  <w:hideMark/>
                </w:tcPr>
                <w:p w14:paraId="16DCB570" w14:textId="5CFEB1C7" w:rsidR="00837BD6" w:rsidRPr="009E5B39" w:rsidRDefault="00837BD6" w:rsidP="00B32230">
                  <w:pPr>
                    <w:spacing w:after="0" w:line="240" w:lineRule="auto"/>
                    <w:jc w:val="center"/>
                    <w:rPr>
                      <w:rFonts w:asciiTheme="majorHAnsi" w:eastAsia="Times New Roman" w:hAnsiTheme="majorHAnsi" w:cstheme="majorHAnsi"/>
                      <w:bCs/>
                      <w:sz w:val="24"/>
                      <w:szCs w:val="24"/>
                      <w:lang w:val="ro-MD"/>
                    </w:rPr>
                  </w:pPr>
                </w:p>
              </w:tc>
              <w:tc>
                <w:tcPr>
                  <w:tcW w:w="640" w:type="dxa"/>
                  <w:tcBorders>
                    <w:top w:val="nil"/>
                    <w:left w:val="nil"/>
                    <w:bottom w:val="nil"/>
                    <w:right w:val="nil"/>
                  </w:tcBorders>
                  <w:shd w:val="clear" w:color="auto" w:fill="auto"/>
                  <w:noWrap/>
                  <w:vAlign w:val="bottom"/>
                  <w:hideMark/>
                </w:tcPr>
                <w:p w14:paraId="2C2949D4"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r>
            <w:tr w:rsidR="00837BD6" w:rsidRPr="009E5B39" w14:paraId="206B390C" w14:textId="77777777" w:rsidTr="00B32230">
              <w:trPr>
                <w:trHeight w:val="20"/>
              </w:trPr>
              <w:tc>
                <w:tcPr>
                  <w:tcW w:w="635" w:type="dxa"/>
                  <w:tcBorders>
                    <w:top w:val="nil"/>
                    <w:left w:val="nil"/>
                    <w:bottom w:val="nil"/>
                    <w:right w:val="nil"/>
                  </w:tcBorders>
                  <w:shd w:val="clear" w:color="auto" w:fill="auto"/>
                  <w:noWrap/>
                  <w:vAlign w:val="bottom"/>
                  <w:hideMark/>
                </w:tcPr>
                <w:p w14:paraId="352F7C60"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1066" w:type="dxa"/>
                  <w:gridSpan w:val="2"/>
                  <w:tcBorders>
                    <w:top w:val="nil"/>
                    <w:left w:val="nil"/>
                    <w:bottom w:val="nil"/>
                    <w:right w:val="nil"/>
                  </w:tcBorders>
                  <w:shd w:val="clear" w:color="auto" w:fill="auto"/>
                  <w:noWrap/>
                  <w:vAlign w:val="bottom"/>
                  <w:hideMark/>
                </w:tcPr>
                <w:p w14:paraId="79C32FAF"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768" w:type="dxa"/>
                  <w:tcBorders>
                    <w:top w:val="nil"/>
                    <w:left w:val="nil"/>
                    <w:bottom w:val="nil"/>
                    <w:right w:val="nil"/>
                  </w:tcBorders>
                  <w:shd w:val="clear" w:color="auto" w:fill="auto"/>
                  <w:noWrap/>
                  <w:vAlign w:val="bottom"/>
                  <w:hideMark/>
                </w:tcPr>
                <w:p w14:paraId="50095159"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41" w:type="dxa"/>
                  <w:tcBorders>
                    <w:top w:val="nil"/>
                    <w:left w:val="nil"/>
                    <w:bottom w:val="nil"/>
                    <w:right w:val="nil"/>
                  </w:tcBorders>
                  <w:shd w:val="clear" w:color="auto" w:fill="auto"/>
                  <w:noWrap/>
                  <w:vAlign w:val="bottom"/>
                  <w:hideMark/>
                </w:tcPr>
                <w:p w14:paraId="10829814"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71" w:type="dxa"/>
                  <w:tcBorders>
                    <w:top w:val="nil"/>
                    <w:left w:val="nil"/>
                    <w:bottom w:val="nil"/>
                    <w:right w:val="nil"/>
                  </w:tcBorders>
                  <w:shd w:val="clear" w:color="auto" w:fill="auto"/>
                  <w:noWrap/>
                  <w:vAlign w:val="bottom"/>
                  <w:hideMark/>
                </w:tcPr>
                <w:p w14:paraId="7D10FB72"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16" w:type="dxa"/>
                  <w:tcBorders>
                    <w:top w:val="nil"/>
                    <w:left w:val="nil"/>
                    <w:bottom w:val="nil"/>
                    <w:right w:val="nil"/>
                  </w:tcBorders>
                  <w:shd w:val="clear" w:color="auto" w:fill="auto"/>
                  <w:noWrap/>
                  <w:vAlign w:val="bottom"/>
                  <w:hideMark/>
                </w:tcPr>
                <w:p w14:paraId="0F8B4FDC"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20" w:type="dxa"/>
                  <w:tcBorders>
                    <w:top w:val="nil"/>
                    <w:left w:val="nil"/>
                    <w:bottom w:val="nil"/>
                    <w:right w:val="nil"/>
                  </w:tcBorders>
                  <w:shd w:val="clear" w:color="auto" w:fill="auto"/>
                  <w:noWrap/>
                  <w:vAlign w:val="bottom"/>
                  <w:hideMark/>
                </w:tcPr>
                <w:p w14:paraId="6E835FBE"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72" w:type="dxa"/>
                  <w:tcBorders>
                    <w:top w:val="nil"/>
                    <w:left w:val="nil"/>
                    <w:bottom w:val="nil"/>
                    <w:right w:val="nil"/>
                  </w:tcBorders>
                  <w:shd w:val="clear" w:color="auto" w:fill="auto"/>
                  <w:noWrap/>
                  <w:vAlign w:val="bottom"/>
                  <w:hideMark/>
                </w:tcPr>
                <w:p w14:paraId="40FCFE66"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71" w:type="dxa"/>
                  <w:gridSpan w:val="2"/>
                  <w:tcBorders>
                    <w:top w:val="nil"/>
                    <w:left w:val="nil"/>
                    <w:bottom w:val="nil"/>
                    <w:right w:val="nil"/>
                  </w:tcBorders>
                  <w:shd w:val="clear" w:color="auto" w:fill="auto"/>
                  <w:noWrap/>
                  <w:vAlign w:val="bottom"/>
                  <w:hideMark/>
                </w:tcPr>
                <w:p w14:paraId="44B86AFE"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67" w:type="dxa"/>
                  <w:tcBorders>
                    <w:top w:val="nil"/>
                    <w:left w:val="nil"/>
                    <w:bottom w:val="nil"/>
                    <w:right w:val="nil"/>
                  </w:tcBorders>
                  <w:shd w:val="clear" w:color="auto" w:fill="auto"/>
                  <w:noWrap/>
                  <w:vAlign w:val="bottom"/>
                  <w:hideMark/>
                </w:tcPr>
                <w:p w14:paraId="71ED673D"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80" w:type="dxa"/>
                  <w:tcBorders>
                    <w:top w:val="nil"/>
                    <w:left w:val="nil"/>
                    <w:bottom w:val="nil"/>
                    <w:right w:val="nil"/>
                  </w:tcBorders>
                </w:tcPr>
                <w:p w14:paraId="5145C15F" w14:textId="77777777" w:rsidR="00837BD6" w:rsidRPr="009E5B39" w:rsidRDefault="00837BD6" w:rsidP="00837BD6">
                  <w:pPr>
                    <w:spacing w:after="0" w:line="240" w:lineRule="auto"/>
                    <w:jc w:val="center"/>
                    <w:rPr>
                      <w:rFonts w:asciiTheme="majorHAnsi" w:eastAsia="Times New Roman" w:hAnsiTheme="majorHAnsi" w:cstheme="majorHAnsi"/>
                      <w:sz w:val="20"/>
                      <w:szCs w:val="20"/>
                      <w:lang w:val="ro-MD"/>
                    </w:rPr>
                  </w:pPr>
                </w:p>
              </w:tc>
              <w:tc>
                <w:tcPr>
                  <w:tcW w:w="580" w:type="dxa"/>
                  <w:tcBorders>
                    <w:top w:val="nil"/>
                    <w:left w:val="nil"/>
                    <w:bottom w:val="nil"/>
                    <w:right w:val="nil"/>
                  </w:tcBorders>
                  <w:shd w:val="clear" w:color="auto" w:fill="auto"/>
                  <w:noWrap/>
                  <w:vAlign w:val="bottom"/>
                  <w:hideMark/>
                </w:tcPr>
                <w:p w14:paraId="3B9E8E9D" w14:textId="6C4FED0B"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70" w:type="dxa"/>
                  <w:tcBorders>
                    <w:top w:val="nil"/>
                    <w:left w:val="nil"/>
                    <w:bottom w:val="nil"/>
                    <w:right w:val="nil"/>
                  </w:tcBorders>
                  <w:shd w:val="clear" w:color="auto" w:fill="auto"/>
                  <w:noWrap/>
                  <w:vAlign w:val="bottom"/>
                  <w:hideMark/>
                </w:tcPr>
                <w:p w14:paraId="4CD1F5D3"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71" w:type="dxa"/>
                  <w:gridSpan w:val="2"/>
                  <w:tcBorders>
                    <w:top w:val="nil"/>
                    <w:left w:val="nil"/>
                    <w:bottom w:val="nil"/>
                    <w:right w:val="nil"/>
                  </w:tcBorders>
                  <w:shd w:val="clear" w:color="auto" w:fill="auto"/>
                  <w:noWrap/>
                  <w:vAlign w:val="bottom"/>
                  <w:hideMark/>
                </w:tcPr>
                <w:p w14:paraId="2DD082DC"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00" w:type="dxa"/>
                  <w:tcBorders>
                    <w:top w:val="nil"/>
                    <w:left w:val="nil"/>
                    <w:bottom w:val="nil"/>
                    <w:right w:val="nil"/>
                  </w:tcBorders>
                  <w:shd w:val="clear" w:color="auto" w:fill="auto"/>
                  <w:noWrap/>
                  <w:vAlign w:val="bottom"/>
                  <w:hideMark/>
                </w:tcPr>
                <w:p w14:paraId="3338F848"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80" w:type="dxa"/>
                  <w:tcBorders>
                    <w:top w:val="nil"/>
                    <w:left w:val="nil"/>
                    <w:bottom w:val="nil"/>
                    <w:right w:val="nil"/>
                  </w:tcBorders>
                  <w:shd w:val="clear" w:color="auto" w:fill="auto"/>
                  <w:noWrap/>
                  <w:vAlign w:val="bottom"/>
                  <w:hideMark/>
                </w:tcPr>
                <w:p w14:paraId="2B99AB23"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70" w:type="dxa"/>
                  <w:tcBorders>
                    <w:top w:val="nil"/>
                    <w:left w:val="nil"/>
                    <w:bottom w:val="nil"/>
                    <w:right w:val="nil"/>
                  </w:tcBorders>
                  <w:shd w:val="clear" w:color="auto" w:fill="auto"/>
                  <w:noWrap/>
                  <w:vAlign w:val="bottom"/>
                  <w:hideMark/>
                </w:tcPr>
                <w:p w14:paraId="41473468"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41" w:type="dxa"/>
                  <w:gridSpan w:val="2"/>
                  <w:tcBorders>
                    <w:top w:val="nil"/>
                    <w:left w:val="nil"/>
                    <w:bottom w:val="nil"/>
                    <w:right w:val="nil"/>
                  </w:tcBorders>
                  <w:shd w:val="clear" w:color="auto" w:fill="auto"/>
                  <w:noWrap/>
                  <w:vAlign w:val="bottom"/>
                  <w:hideMark/>
                </w:tcPr>
                <w:p w14:paraId="63B259B0"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80" w:type="dxa"/>
                  <w:tcBorders>
                    <w:top w:val="nil"/>
                    <w:left w:val="nil"/>
                    <w:bottom w:val="nil"/>
                    <w:right w:val="nil"/>
                  </w:tcBorders>
                  <w:shd w:val="clear" w:color="auto" w:fill="auto"/>
                  <w:noWrap/>
                  <w:vAlign w:val="bottom"/>
                  <w:hideMark/>
                </w:tcPr>
                <w:p w14:paraId="4C27A1F5"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480" w:type="dxa"/>
                  <w:tcBorders>
                    <w:top w:val="nil"/>
                    <w:left w:val="nil"/>
                    <w:bottom w:val="nil"/>
                    <w:right w:val="nil"/>
                  </w:tcBorders>
                  <w:shd w:val="clear" w:color="auto" w:fill="auto"/>
                  <w:noWrap/>
                  <w:vAlign w:val="bottom"/>
                  <w:hideMark/>
                </w:tcPr>
                <w:p w14:paraId="277D18DC"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40" w:type="dxa"/>
                  <w:tcBorders>
                    <w:top w:val="nil"/>
                    <w:left w:val="nil"/>
                    <w:bottom w:val="nil"/>
                    <w:right w:val="nil"/>
                  </w:tcBorders>
                  <w:shd w:val="clear" w:color="auto" w:fill="auto"/>
                  <w:noWrap/>
                  <w:vAlign w:val="bottom"/>
                  <w:hideMark/>
                </w:tcPr>
                <w:p w14:paraId="052F7622"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71" w:type="dxa"/>
                  <w:gridSpan w:val="2"/>
                  <w:tcBorders>
                    <w:top w:val="nil"/>
                    <w:left w:val="nil"/>
                    <w:bottom w:val="nil"/>
                    <w:right w:val="nil"/>
                  </w:tcBorders>
                  <w:shd w:val="clear" w:color="auto" w:fill="auto"/>
                  <w:noWrap/>
                  <w:vAlign w:val="bottom"/>
                  <w:hideMark/>
                </w:tcPr>
                <w:p w14:paraId="08D3B166"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43" w:type="dxa"/>
                  <w:tcBorders>
                    <w:top w:val="nil"/>
                    <w:left w:val="nil"/>
                    <w:bottom w:val="nil"/>
                    <w:right w:val="nil"/>
                  </w:tcBorders>
                  <w:shd w:val="clear" w:color="auto" w:fill="auto"/>
                  <w:noWrap/>
                  <w:vAlign w:val="bottom"/>
                  <w:hideMark/>
                </w:tcPr>
                <w:p w14:paraId="3C494EA0"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21" w:type="dxa"/>
                  <w:gridSpan w:val="2"/>
                  <w:tcBorders>
                    <w:top w:val="nil"/>
                    <w:left w:val="nil"/>
                    <w:bottom w:val="nil"/>
                    <w:right w:val="nil"/>
                  </w:tcBorders>
                  <w:shd w:val="clear" w:color="auto" w:fill="auto"/>
                  <w:noWrap/>
                  <w:vAlign w:val="bottom"/>
                  <w:hideMark/>
                </w:tcPr>
                <w:p w14:paraId="635A2F48"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668" w:type="dxa"/>
                  <w:gridSpan w:val="3"/>
                  <w:tcBorders>
                    <w:top w:val="nil"/>
                    <w:left w:val="nil"/>
                    <w:bottom w:val="nil"/>
                    <w:right w:val="nil"/>
                  </w:tcBorders>
                  <w:shd w:val="clear" w:color="auto" w:fill="auto"/>
                  <w:noWrap/>
                  <w:vAlign w:val="bottom"/>
                  <w:hideMark/>
                </w:tcPr>
                <w:p w14:paraId="15D4D139"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r>
            <w:tr w:rsidR="00837BD6" w:rsidRPr="009E5B39" w14:paraId="43321693" w14:textId="77777777" w:rsidTr="00B32230">
              <w:trPr>
                <w:trHeight w:val="20"/>
              </w:trPr>
              <w:tc>
                <w:tcPr>
                  <w:tcW w:w="6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C7843D2" w14:textId="4DBDFC03"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Nr.</w:t>
                  </w:r>
                </w:p>
              </w:tc>
              <w:tc>
                <w:tcPr>
                  <w:tcW w:w="106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CEAD8D"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Denumirea entității</w:t>
                  </w:r>
                </w:p>
              </w:tc>
              <w:tc>
                <w:tcPr>
                  <w:tcW w:w="7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FE4C10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Cod instituție</w:t>
                  </w:r>
                </w:p>
              </w:tc>
              <w:tc>
                <w:tcPr>
                  <w:tcW w:w="5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CE1C55" w14:textId="786860BB"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Anul</w:t>
                  </w:r>
                </w:p>
              </w:tc>
              <w:tc>
                <w:tcPr>
                  <w:tcW w:w="2379"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2F21CD36"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Aprobat la începutul anului</w:t>
                  </w:r>
                </w:p>
              </w:tc>
              <w:tc>
                <w:tcPr>
                  <w:tcW w:w="580" w:type="dxa"/>
                  <w:tcBorders>
                    <w:top w:val="single" w:sz="4" w:space="0" w:color="auto"/>
                    <w:left w:val="single" w:sz="4" w:space="0" w:color="auto"/>
                    <w:bottom w:val="single" w:sz="4" w:space="0" w:color="000000"/>
                    <w:right w:val="single" w:sz="4" w:space="0" w:color="auto"/>
                  </w:tcBorders>
                </w:tcPr>
                <w:p w14:paraId="47C751BF"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2403"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14:paraId="3ECA4C69" w14:textId="7A8D70B3"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 xml:space="preserve">Aprobat la </w:t>
                  </w:r>
                  <w:r w:rsidR="00DF18D8" w:rsidRPr="009E5B39">
                    <w:rPr>
                      <w:rFonts w:asciiTheme="majorHAnsi" w:eastAsia="Times New Roman" w:hAnsiTheme="majorHAnsi" w:cstheme="majorHAnsi"/>
                      <w:bCs/>
                      <w:sz w:val="16"/>
                      <w:szCs w:val="16"/>
                      <w:lang w:val="ro-MD"/>
                    </w:rPr>
                    <w:t>sfârșitul</w:t>
                  </w:r>
                  <w:r w:rsidRPr="009E5B39">
                    <w:rPr>
                      <w:rFonts w:asciiTheme="majorHAnsi" w:eastAsia="Times New Roman" w:hAnsiTheme="majorHAnsi" w:cstheme="majorHAnsi"/>
                      <w:bCs/>
                      <w:sz w:val="16"/>
                      <w:szCs w:val="16"/>
                      <w:lang w:val="ro-MD"/>
                    </w:rPr>
                    <w:t xml:space="preserve"> anului</w:t>
                  </w:r>
                </w:p>
              </w:tc>
              <w:tc>
                <w:tcPr>
                  <w:tcW w:w="2421"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14:paraId="71E23008" w14:textId="77777777" w:rsidR="00837BD6" w:rsidRPr="009E5B39" w:rsidRDefault="00837BD6" w:rsidP="009F3608">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Real încadrat la finele anului</w:t>
                  </w:r>
                </w:p>
              </w:tc>
              <w:tc>
                <w:tcPr>
                  <w:tcW w:w="4529" w:type="dxa"/>
                  <w:gridSpan w:val="12"/>
                  <w:tcBorders>
                    <w:top w:val="single" w:sz="4" w:space="0" w:color="auto"/>
                    <w:left w:val="nil"/>
                    <w:bottom w:val="single" w:sz="4" w:space="0" w:color="auto"/>
                    <w:right w:val="single" w:sz="4" w:space="0" w:color="000000"/>
                  </w:tcBorders>
                  <w:shd w:val="clear" w:color="auto" w:fill="auto"/>
                  <w:hideMark/>
                </w:tcPr>
                <w:p w14:paraId="0D59A596" w14:textId="77777777" w:rsidR="00837BD6" w:rsidRPr="009E5B39" w:rsidRDefault="00837BD6" w:rsidP="001849BD">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Diferența dintre</w:t>
                  </w:r>
                </w:p>
              </w:tc>
            </w:tr>
            <w:tr w:rsidR="00837BD6" w:rsidRPr="009E5B39" w14:paraId="4F7022CA" w14:textId="77777777" w:rsidTr="00B32230">
              <w:trPr>
                <w:trHeight w:val="20"/>
              </w:trPr>
              <w:tc>
                <w:tcPr>
                  <w:tcW w:w="635" w:type="dxa"/>
                  <w:vMerge/>
                  <w:tcBorders>
                    <w:top w:val="single" w:sz="4" w:space="0" w:color="auto"/>
                    <w:left w:val="single" w:sz="4" w:space="0" w:color="auto"/>
                    <w:bottom w:val="single" w:sz="4" w:space="0" w:color="000000"/>
                    <w:right w:val="single" w:sz="4" w:space="0" w:color="auto"/>
                  </w:tcBorders>
                  <w:vAlign w:val="center"/>
                  <w:hideMark/>
                </w:tcPr>
                <w:p w14:paraId="7398F03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single" w:sz="4" w:space="0" w:color="auto"/>
                    <w:left w:val="single" w:sz="4" w:space="0" w:color="auto"/>
                    <w:bottom w:val="single" w:sz="4" w:space="0" w:color="000000"/>
                    <w:right w:val="single" w:sz="4" w:space="0" w:color="auto"/>
                  </w:tcBorders>
                  <w:vAlign w:val="center"/>
                  <w:hideMark/>
                </w:tcPr>
                <w:p w14:paraId="4D45A1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single" w:sz="4" w:space="0" w:color="auto"/>
                    <w:left w:val="single" w:sz="4" w:space="0" w:color="auto"/>
                    <w:bottom w:val="single" w:sz="4" w:space="0" w:color="000000"/>
                    <w:right w:val="single" w:sz="4" w:space="0" w:color="auto"/>
                  </w:tcBorders>
                  <w:vAlign w:val="center"/>
                  <w:hideMark/>
                </w:tcPr>
                <w:p w14:paraId="035E7FD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vMerge/>
                  <w:tcBorders>
                    <w:top w:val="single" w:sz="4" w:space="0" w:color="auto"/>
                    <w:left w:val="single" w:sz="4" w:space="0" w:color="auto"/>
                    <w:bottom w:val="single" w:sz="4" w:space="0" w:color="000000"/>
                    <w:right w:val="single" w:sz="4" w:space="0" w:color="auto"/>
                  </w:tcBorders>
                  <w:vAlign w:val="center"/>
                  <w:hideMark/>
                </w:tcPr>
                <w:p w14:paraId="5B5A05B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2379" w:type="dxa"/>
                  <w:gridSpan w:val="4"/>
                  <w:vMerge/>
                  <w:tcBorders>
                    <w:top w:val="single" w:sz="4" w:space="0" w:color="auto"/>
                    <w:left w:val="single" w:sz="4" w:space="0" w:color="auto"/>
                    <w:bottom w:val="single" w:sz="4" w:space="0" w:color="000000"/>
                    <w:right w:val="single" w:sz="4" w:space="0" w:color="000000"/>
                  </w:tcBorders>
                  <w:vAlign w:val="center"/>
                  <w:hideMark/>
                </w:tcPr>
                <w:p w14:paraId="2799E4F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single" w:sz="4" w:space="0" w:color="auto"/>
                    <w:left w:val="single" w:sz="4" w:space="0" w:color="auto"/>
                    <w:bottom w:val="single" w:sz="4" w:space="0" w:color="000000"/>
                    <w:right w:val="single" w:sz="4" w:space="0" w:color="auto"/>
                  </w:tcBorders>
                </w:tcPr>
                <w:p w14:paraId="125111C8"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2403" w:type="dxa"/>
                  <w:gridSpan w:val="6"/>
                  <w:vMerge/>
                  <w:tcBorders>
                    <w:top w:val="single" w:sz="4" w:space="0" w:color="auto"/>
                    <w:left w:val="single" w:sz="4" w:space="0" w:color="auto"/>
                    <w:bottom w:val="single" w:sz="4" w:space="0" w:color="000000"/>
                    <w:right w:val="single" w:sz="4" w:space="0" w:color="000000"/>
                  </w:tcBorders>
                  <w:vAlign w:val="center"/>
                  <w:hideMark/>
                </w:tcPr>
                <w:p w14:paraId="55F1CD5E" w14:textId="4497E5A0"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2421" w:type="dxa"/>
                  <w:gridSpan w:val="5"/>
                  <w:vMerge/>
                  <w:tcBorders>
                    <w:top w:val="single" w:sz="4" w:space="0" w:color="auto"/>
                    <w:left w:val="single" w:sz="4" w:space="0" w:color="auto"/>
                    <w:bottom w:val="single" w:sz="4" w:space="0" w:color="000000"/>
                    <w:right w:val="single" w:sz="4" w:space="0" w:color="000000"/>
                  </w:tcBorders>
                  <w:vAlign w:val="center"/>
                  <w:hideMark/>
                </w:tcPr>
                <w:p w14:paraId="38606FB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2141" w:type="dxa"/>
                  <w:gridSpan w:val="5"/>
                  <w:tcBorders>
                    <w:top w:val="single" w:sz="4" w:space="0" w:color="auto"/>
                    <w:left w:val="nil"/>
                    <w:bottom w:val="single" w:sz="4" w:space="0" w:color="auto"/>
                    <w:right w:val="single" w:sz="4" w:space="0" w:color="000000"/>
                  </w:tcBorders>
                  <w:shd w:val="clear" w:color="auto" w:fill="auto"/>
                  <w:hideMark/>
                </w:tcPr>
                <w:p w14:paraId="66AB37F1" w14:textId="5FD3A429"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 xml:space="preserve">Aprobat la </w:t>
                  </w:r>
                  <w:r w:rsidR="00DF18D8" w:rsidRPr="009E5B39">
                    <w:rPr>
                      <w:rFonts w:asciiTheme="majorHAnsi" w:eastAsia="Times New Roman" w:hAnsiTheme="majorHAnsi" w:cstheme="majorHAnsi"/>
                      <w:bCs/>
                      <w:sz w:val="16"/>
                      <w:szCs w:val="16"/>
                      <w:lang w:val="ro-MD"/>
                    </w:rPr>
                    <w:t>sfârșitul</w:t>
                  </w:r>
                  <w:r w:rsidRPr="009E5B39">
                    <w:rPr>
                      <w:rFonts w:asciiTheme="majorHAnsi" w:eastAsia="Times New Roman" w:hAnsiTheme="majorHAnsi" w:cstheme="majorHAnsi"/>
                      <w:bCs/>
                      <w:sz w:val="16"/>
                      <w:szCs w:val="16"/>
                      <w:lang w:val="ro-MD"/>
                    </w:rPr>
                    <w:t xml:space="preserve"> anului și aprobat la începutul anului</w:t>
                  </w:r>
                </w:p>
              </w:tc>
              <w:tc>
                <w:tcPr>
                  <w:tcW w:w="2388" w:type="dxa"/>
                  <w:gridSpan w:val="7"/>
                  <w:tcBorders>
                    <w:top w:val="single" w:sz="4" w:space="0" w:color="auto"/>
                    <w:left w:val="nil"/>
                    <w:bottom w:val="single" w:sz="4" w:space="0" w:color="auto"/>
                    <w:right w:val="single" w:sz="4" w:space="0" w:color="000000"/>
                  </w:tcBorders>
                  <w:shd w:val="clear" w:color="auto" w:fill="auto"/>
                  <w:hideMark/>
                </w:tcPr>
                <w:p w14:paraId="518DFEAD" w14:textId="4264614C"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 xml:space="preserve">Real încadrat la finele anului și aprobat la </w:t>
                  </w:r>
                  <w:r w:rsidR="00DF18D8" w:rsidRPr="009E5B39">
                    <w:rPr>
                      <w:rFonts w:asciiTheme="majorHAnsi" w:eastAsia="Times New Roman" w:hAnsiTheme="majorHAnsi" w:cstheme="majorHAnsi"/>
                      <w:bCs/>
                      <w:sz w:val="16"/>
                      <w:szCs w:val="16"/>
                      <w:lang w:val="ro-MD"/>
                    </w:rPr>
                    <w:t>sfârșitul</w:t>
                  </w:r>
                  <w:r w:rsidRPr="009E5B39">
                    <w:rPr>
                      <w:rFonts w:asciiTheme="majorHAnsi" w:eastAsia="Times New Roman" w:hAnsiTheme="majorHAnsi" w:cstheme="majorHAnsi"/>
                      <w:bCs/>
                      <w:sz w:val="16"/>
                      <w:szCs w:val="16"/>
                      <w:lang w:val="ro-MD"/>
                    </w:rPr>
                    <w:t xml:space="preserve"> anului</w:t>
                  </w:r>
                </w:p>
              </w:tc>
            </w:tr>
            <w:tr w:rsidR="00837BD6" w:rsidRPr="009E5B39" w14:paraId="73244B85" w14:textId="77777777" w:rsidTr="00B32230">
              <w:trPr>
                <w:trHeight w:val="909"/>
              </w:trPr>
              <w:tc>
                <w:tcPr>
                  <w:tcW w:w="635" w:type="dxa"/>
                  <w:vMerge/>
                  <w:tcBorders>
                    <w:top w:val="single" w:sz="4" w:space="0" w:color="auto"/>
                    <w:left w:val="single" w:sz="4" w:space="0" w:color="auto"/>
                    <w:bottom w:val="single" w:sz="4" w:space="0" w:color="000000"/>
                    <w:right w:val="single" w:sz="4" w:space="0" w:color="auto"/>
                  </w:tcBorders>
                  <w:vAlign w:val="center"/>
                  <w:hideMark/>
                </w:tcPr>
                <w:p w14:paraId="1BF3877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single" w:sz="4" w:space="0" w:color="auto"/>
                    <w:left w:val="single" w:sz="4" w:space="0" w:color="auto"/>
                    <w:bottom w:val="single" w:sz="4" w:space="0" w:color="000000"/>
                    <w:right w:val="single" w:sz="4" w:space="0" w:color="auto"/>
                  </w:tcBorders>
                  <w:vAlign w:val="center"/>
                  <w:hideMark/>
                </w:tcPr>
                <w:p w14:paraId="68A078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single" w:sz="4" w:space="0" w:color="auto"/>
                    <w:left w:val="single" w:sz="4" w:space="0" w:color="auto"/>
                    <w:bottom w:val="single" w:sz="4" w:space="0" w:color="000000"/>
                    <w:right w:val="single" w:sz="4" w:space="0" w:color="auto"/>
                  </w:tcBorders>
                  <w:vAlign w:val="center"/>
                  <w:hideMark/>
                </w:tcPr>
                <w:p w14:paraId="6F4766D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vMerge/>
                  <w:tcBorders>
                    <w:top w:val="single" w:sz="4" w:space="0" w:color="auto"/>
                    <w:left w:val="single" w:sz="4" w:space="0" w:color="auto"/>
                    <w:bottom w:val="single" w:sz="4" w:space="0" w:color="000000"/>
                    <w:right w:val="single" w:sz="4" w:space="0" w:color="auto"/>
                  </w:tcBorders>
                  <w:vAlign w:val="center"/>
                  <w:hideMark/>
                </w:tcPr>
                <w:p w14:paraId="2141A83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tcBorders>
                    <w:top w:val="nil"/>
                    <w:left w:val="nil"/>
                    <w:bottom w:val="single" w:sz="4" w:space="0" w:color="auto"/>
                    <w:right w:val="single" w:sz="4" w:space="0" w:color="auto"/>
                  </w:tcBorders>
                  <w:shd w:val="clear" w:color="auto" w:fill="auto"/>
                  <w:noWrap/>
                  <w:vAlign w:val="center"/>
                  <w:hideMark/>
                </w:tcPr>
                <w:p w14:paraId="6EE00D7D"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Total</w:t>
                  </w:r>
                </w:p>
              </w:tc>
              <w:tc>
                <w:tcPr>
                  <w:tcW w:w="516" w:type="dxa"/>
                  <w:tcBorders>
                    <w:top w:val="nil"/>
                    <w:left w:val="nil"/>
                    <w:bottom w:val="single" w:sz="4" w:space="0" w:color="auto"/>
                    <w:right w:val="single" w:sz="4" w:space="0" w:color="auto"/>
                  </w:tcBorders>
                  <w:shd w:val="clear" w:color="auto" w:fill="auto"/>
                  <w:textDirection w:val="btLr"/>
                  <w:vAlign w:val="center"/>
                  <w:hideMark/>
                </w:tcPr>
                <w:p w14:paraId="247272B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Cu funcție de demnitate publică</w:t>
                  </w:r>
                </w:p>
              </w:tc>
              <w:tc>
                <w:tcPr>
                  <w:tcW w:w="620" w:type="dxa"/>
                  <w:tcBorders>
                    <w:top w:val="nil"/>
                    <w:left w:val="nil"/>
                    <w:bottom w:val="single" w:sz="4" w:space="0" w:color="auto"/>
                    <w:right w:val="single" w:sz="4" w:space="0" w:color="auto"/>
                  </w:tcBorders>
                  <w:shd w:val="clear" w:color="auto" w:fill="auto"/>
                  <w:textDirection w:val="btLr"/>
                  <w:vAlign w:val="center"/>
                  <w:hideMark/>
                </w:tcPr>
                <w:p w14:paraId="55A8A01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Funcționari publici</w:t>
                  </w:r>
                </w:p>
              </w:tc>
              <w:tc>
                <w:tcPr>
                  <w:tcW w:w="572" w:type="dxa"/>
                  <w:tcBorders>
                    <w:top w:val="nil"/>
                    <w:left w:val="nil"/>
                    <w:bottom w:val="single" w:sz="4" w:space="0" w:color="auto"/>
                    <w:right w:val="single" w:sz="4" w:space="0" w:color="auto"/>
                  </w:tcBorders>
                  <w:shd w:val="clear" w:color="auto" w:fill="auto"/>
                  <w:textDirection w:val="btLr"/>
                  <w:vAlign w:val="center"/>
                  <w:hideMark/>
                </w:tcPr>
                <w:p w14:paraId="41126D9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Personal auxiliar</w:t>
                  </w:r>
                </w:p>
              </w:tc>
              <w:tc>
                <w:tcPr>
                  <w:tcW w:w="671" w:type="dxa"/>
                  <w:gridSpan w:val="2"/>
                  <w:tcBorders>
                    <w:top w:val="nil"/>
                    <w:left w:val="nil"/>
                    <w:bottom w:val="single" w:sz="4" w:space="0" w:color="auto"/>
                    <w:right w:val="single" w:sz="4" w:space="0" w:color="auto"/>
                  </w:tcBorders>
                  <w:shd w:val="clear" w:color="auto" w:fill="auto"/>
                  <w:noWrap/>
                  <w:vAlign w:val="center"/>
                  <w:hideMark/>
                </w:tcPr>
                <w:p w14:paraId="7B042960"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Total</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69B4460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Cu funcție de demnitate publică</w:t>
                  </w:r>
                </w:p>
              </w:tc>
              <w:tc>
                <w:tcPr>
                  <w:tcW w:w="580" w:type="dxa"/>
                  <w:tcBorders>
                    <w:top w:val="nil"/>
                    <w:left w:val="nil"/>
                    <w:bottom w:val="single" w:sz="4" w:space="0" w:color="auto"/>
                    <w:right w:val="nil"/>
                  </w:tcBorders>
                  <w:textDirection w:val="btLr"/>
                </w:tcPr>
                <w:p w14:paraId="386D891D"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textDirection w:val="btLr"/>
                  <w:hideMark/>
                </w:tcPr>
                <w:p w14:paraId="43F05C6E" w14:textId="4B23D34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Funcționari publici</w:t>
                  </w:r>
                </w:p>
              </w:tc>
              <w:tc>
                <w:tcPr>
                  <w:tcW w:w="570" w:type="dxa"/>
                  <w:tcBorders>
                    <w:top w:val="nil"/>
                    <w:left w:val="nil"/>
                    <w:bottom w:val="single" w:sz="4" w:space="0" w:color="auto"/>
                    <w:right w:val="single" w:sz="4" w:space="0" w:color="auto"/>
                  </w:tcBorders>
                  <w:shd w:val="clear" w:color="auto" w:fill="auto"/>
                  <w:textDirection w:val="btLr"/>
                  <w:hideMark/>
                </w:tcPr>
                <w:p w14:paraId="7716BD8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Personal auxiliar</w:t>
                  </w:r>
                </w:p>
              </w:tc>
              <w:tc>
                <w:tcPr>
                  <w:tcW w:w="671" w:type="dxa"/>
                  <w:gridSpan w:val="2"/>
                  <w:tcBorders>
                    <w:top w:val="nil"/>
                    <w:left w:val="nil"/>
                    <w:bottom w:val="single" w:sz="4" w:space="0" w:color="auto"/>
                    <w:right w:val="single" w:sz="4" w:space="0" w:color="auto"/>
                  </w:tcBorders>
                  <w:shd w:val="clear" w:color="auto" w:fill="auto"/>
                  <w:noWrap/>
                  <w:vAlign w:val="center"/>
                  <w:hideMark/>
                </w:tcPr>
                <w:p w14:paraId="3E71CE84"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Total</w:t>
                  </w:r>
                </w:p>
              </w:tc>
              <w:tc>
                <w:tcPr>
                  <w:tcW w:w="600" w:type="dxa"/>
                  <w:tcBorders>
                    <w:top w:val="nil"/>
                    <w:left w:val="nil"/>
                    <w:bottom w:val="single" w:sz="4" w:space="0" w:color="auto"/>
                    <w:right w:val="single" w:sz="4" w:space="0" w:color="auto"/>
                  </w:tcBorders>
                  <w:shd w:val="clear" w:color="auto" w:fill="auto"/>
                  <w:textDirection w:val="btLr"/>
                  <w:vAlign w:val="center"/>
                  <w:hideMark/>
                </w:tcPr>
                <w:p w14:paraId="2F0C7C2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Cu funcție de demnitate publică</w:t>
                  </w:r>
                </w:p>
              </w:tc>
              <w:tc>
                <w:tcPr>
                  <w:tcW w:w="580" w:type="dxa"/>
                  <w:tcBorders>
                    <w:top w:val="nil"/>
                    <w:left w:val="nil"/>
                    <w:bottom w:val="single" w:sz="4" w:space="0" w:color="auto"/>
                    <w:right w:val="single" w:sz="4" w:space="0" w:color="auto"/>
                  </w:tcBorders>
                  <w:shd w:val="clear" w:color="auto" w:fill="auto"/>
                  <w:textDirection w:val="btLr"/>
                  <w:hideMark/>
                </w:tcPr>
                <w:p w14:paraId="0D0330E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Funcționari publici</w:t>
                  </w:r>
                </w:p>
              </w:tc>
              <w:tc>
                <w:tcPr>
                  <w:tcW w:w="570" w:type="dxa"/>
                  <w:tcBorders>
                    <w:top w:val="nil"/>
                    <w:left w:val="nil"/>
                    <w:bottom w:val="single" w:sz="4" w:space="0" w:color="auto"/>
                    <w:right w:val="single" w:sz="4" w:space="0" w:color="auto"/>
                  </w:tcBorders>
                  <w:shd w:val="clear" w:color="auto" w:fill="auto"/>
                  <w:textDirection w:val="btLr"/>
                  <w:hideMark/>
                </w:tcPr>
                <w:p w14:paraId="4E7877E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Personal auxiliar</w:t>
                  </w:r>
                </w:p>
              </w:tc>
              <w:tc>
                <w:tcPr>
                  <w:tcW w:w="541" w:type="dxa"/>
                  <w:gridSpan w:val="2"/>
                  <w:tcBorders>
                    <w:top w:val="nil"/>
                    <w:left w:val="nil"/>
                    <w:bottom w:val="single" w:sz="4" w:space="0" w:color="auto"/>
                    <w:right w:val="single" w:sz="4" w:space="0" w:color="auto"/>
                  </w:tcBorders>
                  <w:shd w:val="clear" w:color="auto" w:fill="auto"/>
                  <w:noWrap/>
                  <w:vAlign w:val="center"/>
                  <w:hideMark/>
                </w:tcPr>
                <w:p w14:paraId="7E9D5652"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Total</w:t>
                  </w:r>
                </w:p>
              </w:tc>
              <w:tc>
                <w:tcPr>
                  <w:tcW w:w="580" w:type="dxa"/>
                  <w:tcBorders>
                    <w:top w:val="nil"/>
                    <w:left w:val="nil"/>
                    <w:bottom w:val="single" w:sz="4" w:space="0" w:color="auto"/>
                    <w:right w:val="single" w:sz="4" w:space="0" w:color="auto"/>
                  </w:tcBorders>
                  <w:shd w:val="clear" w:color="auto" w:fill="auto"/>
                  <w:textDirection w:val="btLr"/>
                  <w:vAlign w:val="center"/>
                  <w:hideMark/>
                </w:tcPr>
                <w:p w14:paraId="750593D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Cu funcție de demnitate publică</w:t>
                  </w:r>
                </w:p>
              </w:tc>
              <w:tc>
                <w:tcPr>
                  <w:tcW w:w="480" w:type="dxa"/>
                  <w:tcBorders>
                    <w:top w:val="nil"/>
                    <w:left w:val="nil"/>
                    <w:bottom w:val="single" w:sz="4" w:space="0" w:color="auto"/>
                    <w:right w:val="single" w:sz="4" w:space="0" w:color="auto"/>
                  </w:tcBorders>
                  <w:shd w:val="clear" w:color="auto" w:fill="auto"/>
                  <w:textDirection w:val="btLr"/>
                  <w:hideMark/>
                </w:tcPr>
                <w:p w14:paraId="7205189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Funcționari publici</w:t>
                  </w:r>
                </w:p>
              </w:tc>
              <w:tc>
                <w:tcPr>
                  <w:tcW w:w="540" w:type="dxa"/>
                  <w:tcBorders>
                    <w:top w:val="nil"/>
                    <w:left w:val="nil"/>
                    <w:bottom w:val="single" w:sz="4" w:space="0" w:color="auto"/>
                    <w:right w:val="single" w:sz="4" w:space="0" w:color="auto"/>
                  </w:tcBorders>
                  <w:shd w:val="clear" w:color="auto" w:fill="auto"/>
                  <w:textDirection w:val="btLr"/>
                  <w:hideMark/>
                </w:tcPr>
                <w:p w14:paraId="488D13F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Personal auxiliar</w:t>
                  </w:r>
                </w:p>
              </w:tc>
              <w:tc>
                <w:tcPr>
                  <w:tcW w:w="671" w:type="dxa"/>
                  <w:gridSpan w:val="2"/>
                  <w:tcBorders>
                    <w:top w:val="nil"/>
                    <w:left w:val="nil"/>
                    <w:bottom w:val="single" w:sz="4" w:space="0" w:color="auto"/>
                    <w:right w:val="single" w:sz="4" w:space="0" w:color="auto"/>
                  </w:tcBorders>
                  <w:shd w:val="clear" w:color="auto" w:fill="auto"/>
                  <w:noWrap/>
                  <w:vAlign w:val="center"/>
                  <w:hideMark/>
                </w:tcPr>
                <w:p w14:paraId="67441D6F"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Total</w:t>
                  </w:r>
                </w:p>
              </w:tc>
              <w:tc>
                <w:tcPr>
                  <w:tcW w:w="543" w:type="dxa"/>
                  <w:tcBorders>
                    <w:top w:val="nil"/>
                    <w:left w:val="nil"/>
                    <w:bottom w:val="single" w:sz="4" w:space="0" w:color="auto"/>
                    <w:right w:val="single" w:sz="4" w:space="0" w:color="auto"/>
                  </w:tcBorders>
                  <w:shd w:val="clear" w:color="auto" w:fill="auto"/>
                  <w:textDirection w:val="btLr"/>
                  <w:vAlign w:val="center"/>
                  <w:hideMark/>
                </w:tcPr>
                <w:p w14:paraId="3B2A0D5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Cu funcție de demnitate publică</w:t>
                  </w:r>
                </w:p>
              </w:tc>
              <w:tc>
                <w:tcPr>
                  <w:tcW w:w="521" w:type="dxa"/>
                  <w:gridSpan w:val="2"/>
                  <w:tcBorders>
                    <w:top w:val="nil"/>
                    <w:left w:val="nil"/>
                    <w:bottom w:val="single" w:sz="4" w:space="0" w:color="auto"/>
                    <w:right w:val="single" w:sz="4" w:space="0" w:color="auto"/>
                  </w:tcBorders>
                  <w:shd w:val="clear" w:color="auto" w:fill="auto"/>
                  <w:textDirection w:val="btLr"/>
                  <w:hideMark/>
                </w:tcPr>
                <w:p w14:paraId="574E3FD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Funcționari publici</w:t>
                  </w:r>
                </w:p>
              </w:tc>
              <w:tc>
                <w:tcPr>
                  <w:tcW w:w="668" w:type="dxa"/>
                  <w:gridSpan w:val="3"/>
                  <w:tcBorders>
                    <w:top w:val="nil"/>
                    <w:left w:val="nil"/>
                    <w:bottom w:val="single" w:sz="4" w:space="0" w:color="auto"/>
                    <w:right w:val="single" w:sz="4" w:space="0" w:color="auto"/>
                  </w:tcBorders>
                  <w:shd w:val="clear" w:color="auto" w:fill="auto"/>
                  <w:textDirection w:val="btLr"/>
                  <w:hideMark/>
                </w:tcPr>
                <w:p w14:paraId="6FF3B2E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Personal auxiliar</w:t>
                  </w:r>
                </w:p>
              </w:tc>
            </w:tr>
            <w:tr w:rsidR="00837BD6" w:rsidRPr="009E5B39" w14:paraId="5E8C8FF5"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721F48"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F26F1A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Aparatul primarului general</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10C3F3"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O7229</w:t>
                  </w:r>
                </w:p>
              </w:tc>
              <w:tc>
                <w:tcPr>
                  <w:tcW w:w="541" w:type="dxa"/>
                  <w:tcBorders>
                    <w:top w:val="nil"/>
                    <w:left w:val="nil"/>
                    <w:bottom w:val="single" w:sz="4" w:space="0" w:color="auto"/>
                    <w:right w:val="single" w:sz="4" w:space="0" w:color="auto"/>
                  </w:tcBorders>
                  <w:shd w:val="clear" w:color="auto" w:fill="auto"/>
                  <w:vAlign w:val="center"/>
                  <w:hideMark/>
                </w:tcPr>
                <w:p w14:paraId="6239EA90"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center"/>
                  <w:hideMark/>
                </w:tcPr>
                <w:p w14:paraId="62E8735F"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213</w:t>
                  </w:r>
                </w:p>
              </w:tc>
              <w:tc>
                <w:tcPr>
                  <w:tcW w:w="516" w:type="dxa"/>
                  <w:tcBorders>
                    <w:top w:val="nil"/>
                    <w:left w:val="nil"/>
                    <w:bottom w:val="single" w:sz="4" w:space="0" w:color="auto"/>
                    <w:right w:val="single" w:sz="4" w:space="0" w:color="auto"/>
                  </w:tcBorders>
                  <w:shd w:val="clear" w:color="auto" w:fill="auto"/>
                  <w:vAlign w:val="center"/>
                  <w:hideMark/>
                </w:tcPr>
                <w:p w14:paraId="0A9EF44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620" w:type="dxa"/>
                  <w:tcBorders>
                    <w:top w:val="nil"/>
                    <w:left w:val="nil"/>
                    <w:bottom w:val="single" w:sz="4" w:space="0" w:color="auto"/>
                    <w:right w:val="single" w:sz="4" w:space="0" w:color="auto"/>
                  </w:tcBorders>
                  <w:shd w:val="clear" w:color="auto" w:fill="auto"/>
                  <w:hideMark/>
                </w:tcPr>
                <w:p w14:paraId="0F0E2FC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134</w:t>
                  </w:r>
                </w:p>
              </w:tc>
              <w:tc>
                <w:tcPr>
                  <w:tcW w:w="572" w:type="dxa"/>
                  <w:tcBorders>
                    <w:top w:val="nil"/>
                    <w:left w:val="nil"/>
                    <w:bottom w:val="single" w:sz="4" w:space="0" w:color="auto"/>
                    <w:right w:val="single" w:sz="4" w:space="0" w:color="auto"/>
                  </w:tcBorders>
                  <w:shd w:val="clear" w:color="auto" w:fill="auto"/>
                  <w:hideMark/>
                </w:tcPr>
                <w:p w14:paraId="2E4C5D1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74</w:t>
                  </w:r>
                </w:p>
              </w:tc>
              <w:tc>
                <w:tcPr>
                  <w:tcW w:w="671" w:type="dxa"/>
                  <w:gridSpan w:val="2"/>
                  <w:tcBorders>
                    <w:top w:val="nil"/>
                    <w:left w:val="nil"/>
                    <w:bottom w:val="single" w:sz="4" w:space="0" w:color="auto"/>
                    <w:right w:val="single" w:sz="4" w:space="0" w:color="auto"/>
                  </w:tcBorders>
                  <w:shd w:val="clear" w:color="auto" w:fill="auto"/>
                  <w:noWrap/>
                  <w:vAlign w:val="center"/>
                  <w:hideMark/>
                </w:tcPr>
                <w:p w14:paraId="429BBC68"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213</w:t>
                  </w:r>
                </w:p>
              </w:tc>
              <w:tc>
                <w:tcPr>
                  <w:tcW w:w="567" w:type="dxa"/>
                  <w:tcBorders>
                    <w:top w:val="nil"/>
                    <w:left w:val="nil"/>
                    <w:bottom w:val="single" w:sz="4" w:space="0" w:color="auto"/>
                    <w:right w:val="single" w:sz="4" w:space="0" w:color="auto"/>
                  </w:tcBorders>
                  <w:shd w:val="clear" w:color="auto" w:fill="auto"/>
                  <w:vAlign w:val="center"/>
                  <w:hideMark/>
                </w:tcPr>
                <w:p w14:paraId="6B97AA1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80" w:type="dxa"/>
                  <w:tcBorders>
                    <w:top w:val="nil"/>
                    <w:left w:val="nil"/>
                    <w:bottom w:val="single" w:sz="4" w:space="0" w:color="auto"/>
                    <w:right w:val="nil"/>
                  </w:tcBorders>
                </w:tcPr>
                <w:p w14:paraId="5D489972"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hideMark/>
                </w:tcPr>
                <w:p w14:paraId="3464F2B2" w14:textId="5D31DF19"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134</w:t>
                  </w:r>
                </w:p>
              </w:tc>
              <w:tc>
                <w:tcPr>
                  <w:tcW w:w="570" w:type="dxa"/>
                  <w:tcBorders>
                    <w:top w:val="nil"/>
                    <w:left w:val="nil"/>
                    <w:bottom w:val="single" w:sz="4" w:space="0" w:color="auto"/>
                    <w:right w:val="single" w:sz="4" w:space="0" w:color="auto"/>
                  </w:tcBorders>
                  <w:shd w:val="clear" w:color="auto" w:fill="auto"/>
                  <w:hideMark/>
                </w:tcPr>
                <w:p w14:paraId="1FBF754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74</w:t>
                  </w:r>
                </w:p>
              </w:tc>
              <w:tc>
                <w:tcPr>
                  <w:tcW w:w="671" w:type="dxa"/>
                  <w:gridSpan w:val="2"/>
                  <w:tcBorders>
                    <w:top w:val="nil"/>
                    <w:left w:val="nil"/>
                    <w:bottom w:val="single" w:sz="4" w:space="0" w:color="auto"/>
                    <w:right w:val="single" w:sz="4" w:space="0" w:color="auto"/>
                  </w:tcBorders>
                  <w:shd w:val="clear" w:color="auto" w:fill="auto"/>
                  <w:noWrap/>
                  <w:vAlign w:val="center"/>
                  <w:hideMark/>
                </w:tcPr>
                <w:p w14:paraId="0F03CE43"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171</w:t>
                  </w:r>
                </w:p>
              </w:tc>
              <w:tc>
                <w:tcPr>
                  <w:tcW w:w="600" w:type="dxa"/>
                  <w:tcBorders>
                    <w:top w:val="nil"/>
                    <w:left w:val="nil"/>
                    <w:bottom w:val="single" w:sz="4" w:space="0" w:color="auto"/>
                    <w:right w:val="single" w:sz="4" w:space="0" w:color="auto"/>
                  </w:tcBorders>
                  <w:shd w:val="clear" w:color="auto" w:fill="auto"/>
                  <w:vAlign w:val="center"/>
                  <w:hideMark/>
                </w:tcPr>
                <w:p w14:paraId="200C982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580" w:type="dxa"/>
                  <w:tcBorders>
                    <w:top w:val="nil"/>
                    <w:left w:val="nil"/>
                    <w:bottom w:val="single" w:sz="4" w:space="0" w:color="auto"/>
                    <w:right w:val="single" w:sz="4" w:space="0" w:color="auto"/>
                  </w:tcBorders>
                  <w:shd w:val="clear" w:color="auto" w:fill="auto"/>
                  <w:hideMark/>
                </w:tcPr>
                <w:p w14:paraId="1E36431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117</w:t>
                  </w:r>
                </w:p>
              </w:tc>
              <w:tc>
                <w:tcPr>
                  <w:tcW w:w="570" w:type="dxa"/>
                  <w:tcBorders>
                    <w:top w:val="nil"/>
                    <w:left w:val="nil"/>
                    <w:bottom w:val="single" w:sz="4" w:space="0" w:color="auto"/>
                    <w:right w:val="single" w:sz="4" w:space="0" w:color="auto"/>
                  </w:tcBorders>
                  <w:shd w:val="clear" w:color="auto" w:fill="auto"/>
                  <w:hideMark/>
                </w:tcPr>
                <w:p w14:paraId="22B8E6A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A74927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522DEB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5C7721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F6FD09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FA2FA1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-42</w:t>
                  </w:r>
                </w:p>
              </w:tc>
              <w:tc>
                <w:tcPr>
                  <w:tcW w:w="543" w:type="dxa"/>
                  <w:tcBorders>
                    <w:top w:val="nil"/>
                    <w:left w:val="nil"/>
                    <w:bottom w:val="single" w:sz="4" w:space="0" w:color="auto"/>
                    <w:right w:val="single" w:sz="4" w:space="0" w:color="auto"/>
                  </w:tcBorders>
                  <w:shd w:val="clear" w:color="auto" w:fill="auto"/>
                  <w:noWrap/>
                  <w:vAlign w:val="bottom"/>
                  <w:hideMark/>
                </w:tcPr>
                <w:p w14:paraId="6A61232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B8DED4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ED578E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r>
            <w:tr w:rsidR="00837BD6" w:rsidRPr="009E5B39" w14:paraId="402A4FCF"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517B9A0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DD0A0D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17B7F91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7DC4AD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292FDF4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213</w:t>
                  </w:r>
                </w:p>
              </w:tc>
              <w:tc>
                <w:tcPr>
                  <w:tcW w:w="516" w:type="dxa"/>
                  <w:tcBorders>
                    <w:top w:val="nil"/>
                    <w:left w:val="nil"/>
                    <w:bottom w:val="single" w:sz="4" w:space="0" w:color="auto"/>
                    <w:right w:val="single" w:sz="4" w:space="0" w:color="auto"/>
                  </w:tcBorders>
                  <w:shd w:val="clear" w:color="auto" w:fill="auto"/>
                  <w:noWrap/>
                  <w:vAlign w:val="bottom"/>
                  <w:hideMark/>
                </w:tcPr>
                <w:p w14:paraId="2C95004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620" w:type="dxa"/>
                  <w:tcBorders>
                    <w:top w:val="nil"/>
                    <w:left w:val="nil"/>
                    <w:bottom w:val="single" w:sz="4" w:space="0" w:color="auto"/>
                    <w:right w:val="single" w:sz="4" w:space="0" w:color="auto"/>
                  </w:tcBorders>
                  <w:shd w:val="clear" w:color="auto" w:fill="auto"/>
                  <w:noWrap/>
                  <w:vAlign w:val="bottom"/>
                  <w:hideMark/>
                </w:tcPr>
                <w:p w14:paraId="6B38960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134</w:t>
                  </w:r>
                </w:p>
              </w:tc>
              <w:tc>
                <w:tcPr>
                  <w:tcW w:w="572" w:type="dxa"/>
                  <w:tcBorders>
                    <w:top w:val="nil"/>
                    <w:left w:val="nil"/>
                    <w:bottom w:val="single" w:sz="4" w:space="0" w:color="auto"/>
                    <w:right w:val="single" w:sz="4" w:space="0" w:color="auto"/>
                  </w:tcBorders>
                  <w:shd w:val="clear" w:color="auto" w:fill="auto"/>
                  <w:noWrap/>
                  <w:vAlign w:val="bottom"/>
                  <w:hideMark/>
                </w:tcPr>
                <w:p w14:paraId="74E1975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D78A36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213</w:t>
                  </w:r>
                </w:p>
              </w:tc>
              <w:tc>
                <w:tcPr>
                  <w:tcW w:w="567" w:type="dxa"/>
                  <w:tcBorders>
                    <w:top w:val="nil"/>
                    <w:left w:val="nil"/>
                    <w:bottom w:val="single" w:sz="4" w:space="0" w:color="auto"/>
                    <w:right w:val="single" w:sz="4" w:space="0" w:color="auto"/>
                  </w:tcBorders>
                  <w:shd w:val="clear" w:color="auto" w:fill="auto"/>
                  <w:noWrap/>
                  <w:vAlign w:val="bottom"/>
                  <w:hideMark/>
                </w:tcPr>
                <w:p w14:paraId="682261F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80" w:type="dxa"/>
                  <w:tcBorders>
                    <w:top w:val="nil"/>
                    <w:left w:val="nil"/>
                    <w:bottom w:val="single" w:sz="4" w:space="0" w:color="auto"/>
                    <w:right w:val="nil"/>
                  </w:tcBorders>
                </w:tcPr>
                <w:p w14:paraId="68F48EC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A14301F" w14:textId="4533A2A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134</w:t>
                  </w:r>
                </w:p>
              </w:tc>
              <w:tc>
                <w:tcPr>
                  <w:tcW w:w="570" w:type="dxa"/>
                  <w:tcBorders>
                    <w:top w:val="nil"/>
                    <w:left w:val="nil"/>
                    <w:bottom w:val="single" w:sz="4" w:space="0" w:color="auto"/>
                    <w:right w:val="single" w:sz="4" w:space="0" w:color="auto"/>
                  </w:tcBorders>
                  <w:shd w:val="clear" w:color="auto" w:fill="auto"/>
                  <w:noWrap/>
                  <w:vAlign w:val="bottom"/>
                  <w:hideMark/>
                </w:tcPr>
                <w:p w14:paraId="4386D95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74DEFA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125</w:t>
                  </w:r>
                </w:p>
              </w:tc>
              <w:tc>
                <w:tcPr>
                  <w:tcW w:w="600" w:type="dxa"/>
                  <w:tcBorders>
                    <w:top w:val="nil"/>
                    <w:left w:val="nil"/>
                    <w:bottom w:val="single" w:sz="4" w:space="0" w:color="auto"/>
                    <w:right w:val="single" w:sz="4" w:space="0" w:color="auto"/>
                  </w:tcBorders>
                  <w:shd w:val="clear" w:color="auto" w:fill="auto"/>
                  <w:noWrap/>
                  <w:vAlign w:val="bottom"/>
                  <w:hideMark/>
                </w:tcPr>
                <w:p w14:paraId="73EE85F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80" w:type="dxa"/>
                  <w:tcBorders>
                    <w:top w:val="nil"/>
                    <w:left w:val="nil"/>
                    <w:bottom w:val="single" w:sz="4" w:space="0" w:color="auto"/>
                    <w:right w:val="single" w:sz="4" w:space="0" w:color="auto"/>
                  </w:tcBorders>
                  <w:shd w:val="clear" w:color="auto" w:fill="auto"/>
                  <w:noWrap/>
                  <w:vAlign w:val="bottom"/>
                  <w:hideMark/>
                </w:tcPr>
                <w:p w14:paraId="20975C4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77</w:t>
                  </w:r>
                </w:p>
              </w:tc>
              <w:tc>
                <w:tcPr>
                  <w:tcW w:w="570" w:type="dxa"/>
                  <w:tcBorders>
                    <w:top w:val="nil"/>
                    <w:left w:val="nil"/>
                    <w:bottom w:val="single" w:sz="4" w:space="0" w:color="auto"/>
                    <w:right w:val="single" w:sz="4" w:space="0" w:color="auto"/>
                  </w:tcBorders>
                  <w:shd w:val="clear" w:color="auto" w:fill="auto"/>
                  <w:noWrap/>
                  <w:vAlign w:val="bottom"/>
                  <w:hideMark/>
                </w:tcPr>
                <w:p w14:paraId="69BD001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2B85CF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5D2A8C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DA18D3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79B4712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A65685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-88</w:t>
                  </w:r>
                </w:p>
              </w:tc>
              <w:tc>
                <w:tcPr>
                  <w:tcW w:w="543" w:type="dxa"/>
                  <w:tcBorders>
                    <w:top w:val="nil"/>
                    <w:left w:val="nil"/>
                    <w:bottom w:val="single" w:sz="4" w:space="0" w:color="auto"/>
                    <w:right w:val="single" w:sz="4" w:space="0" w:color="auto"/>
                  </w:tcBorders>
                  <w:shd w:val="clear" w:color="auto" w:fill="auto"/>
                  <w:noWrap/>
                  <w:vAlign w:val="bottom"/>
                  <w:hideMark/>
                </w:tcPr>
                <w:p w14:paraId="3F5FB72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6032BB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2AFDFD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w:t>
                  </w:r>
                </w:p>
              </w:tc>
            </w:tr>
            <w:tr w:rsidR="00837BD6" w:rsidRPr="009E5B39" w14:paraId="13E737E7"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2448DD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B02628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758B6ED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1285A7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0422723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213</w:t>
                  </w:r>
                </w:p>
              </w:tc>
              <w:tc>
                <w:tcPr>
                  <w:tcW w:w="516" w:type="dxa"/>
                  <w:tcBorders>
                    <w:top w:val="nil"/>
                    <w:left w:val="nil"/>
                    <w:bottom w:val="single" w:sz="4" w:space="0" w:color="auto"/>
                    <w:right w:val="single" w:sz="4" w:space="0" w:color="auto"/>
                  </w:tcBorders>
                  <w:shd w:val="clear" w:color="auto" w:fill="auto"/>
                  <w:noWrap/>
                  <w:vAlign w:val="bottom"/>
                  <w:hideMark/>
                </w:tcPr>
                <w:p w14:paraId="3883DD8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620" w:type="dxa"/>
                  <w:tcBorders>
                    <w:top w:val="nil"/>
                    <w:left w:val="nil"/>
                    <w:bottom w:val="single" w:sz="4" w:space="0" w:color="auto"/>
                    <w:right w:val="single" w:sz="4" w:space="0" w:color="auto"/>
                  </w:tcBorders>
                  <w:shd w:val="clear" w:color="auto" w:fill="auto"/>
                  <w:noWrap/>
                  <w:vAlign w:val="bottom"/>
                  <w:hideMark/>
                </w:tcPr>
                <w:p w14:paraId="35D56E1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134</w:t>
                  </w:r>
                </w:p>
              </w:tc>
              <w:tc>
                <w:tcPr>
                  <w:tcW w:w="572" w:type="dxa"/>
                  <w:tcBorders>
                    <w:top w:val="nil"/>
                    <w:left w:val="nil"/>
                    <w:bottom w:val="single" w:sz="4" w:space="0" w:color="auto"/>
                    <w:right w:val="single" w:sz="4" w:space="0" w:color="auto"/>
                  </w:tcBorders>
                  <w:shd w:val="clear" w:color="auto" w:fill="auto"/>
                  <w:noWrap/>
                  <w:vAlign w:val="bottom"/>
                  <w:hideMark/>
                </w:tcPr>
                <w:p w14:paraId="57EC78B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5DFC59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213</w:t>
                  </w:r>
                </w:p>
              </w:tc>
              <w:tc>
                <w:tcPr>
                  <w:tcW w:w="567" w:type="dxa"/>
                  <w:tcBorders>
                    <w:top w:val="nil"/>
                    <w:left w:val="nil"/>
                    <w:bottom w:val="single" w:sz="4" w:space="0" w:color="auto"/>
                    <w:right w:val="single" w:sz="4" w:space="0" w:color="auto"/>
                  </w:tcBorders>
                  <w:shd w:val="clear" w:color="auto" w:fill="auto"/>
                  <w:noWrap/>
                  <w:vAlign w:val="bottom"/>
                  <w:hideMark/>
                </w:tcPr>
                <w:p w14:paraId="14AC2C2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580" w:type="dxa"/>
                  <w:tcBorders>
                    <w:top w:val="nil"/>
                    <w:left w:val="nil"/>
                    <w:bottom w:val="single" w:sz="4" w:space="0" w:color="auto"/>
                    <w:right w:val="nil"/>
                  </w:tcBorders>
                </w:tcPr>
                <w:p w14:paraId="381BCB3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C262557" w14:textId="0916508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128</w:t>
                  </w:r>
                </w:p>
              </w:tc>
              <w:tc>
                <w:tcPr>
                  <w:tcW w:w="570" w:type="dxa"/>
                  <w:tcBorders>
                    <w:top w:val="nil"/>
                    <w:left w:val="nil"/>
                    <w:bottom w:val="single" w:sz="4" w:space="0" w:color="auto"/>
                    <w:right w:val="single" w:sz="4" w:space="0" w:color="auto"/>
                  </w:tcBorders>
                  <w:shd w:val="clear" w:color="auto" w:fill="auto"/>
                  <w:noWrap/>
                  <w:vAlign w:val="bottom"/>
                  <w:hideMark/>
                </w:tcPr>
                <w:p w14:paraId="4E73404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6762DE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153</w:t>
                  </w:r>
                </w:p>
              </w:tc>
              <w:tc>
                <w:tcPr>
                  <w:tcW w:w="600" w:type="dxa"/>
                  <w:tcBorders>
                    <w:top w:val="nil"/>
                    <w:left w:val="nil"/>
                    <w:bottom w:val="single" w:sz="4" w:space="0" w:color="auto"/>
                    <w:right w:val="single" w:sz="4" w:space="0" w:color="auto"/>
                  </w:tcBorders>
                  <w:shd w:val="clear" w:color="auto" w:fill="auto"/>
                  <w:noWrap/>
                  <w:vAlign w:val="bottom"/>
                  <w:hideMark/>
                </w:tcPr>
                <w:p w14:paraId="6ECABFC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w:t>
                  </w:r>
                </w:p>
              </w:tc>
              <w:tc>
                <w:tcPr>
                  <w:tcW w:w="580" w:type="dxa"/>
                  <w:tcBorders>
                    <w:top w:val="nil"/>
                    <w:left w:val="nil"/>
                    <w:bottom w:val="single" w:sz="4" w:space="0" w:color="auto"/>
                    <w:right w:val="single" w:sz="4" w:space="0" w:color="auto"/>
                  </w:tcBorders>
                  <w:shd w:val="clear" w:color="auto" w:fill="auto"/>
                  <w:noWrap/>
                  <w:vAlign w:val="bottom"/>
                  <w:hideMark/>
                </w:tcPr>
                <w:p w14:paraId="732CAB4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85</w:t>
                  </w:r>
                </w:p>
              </w:tc>
              <w:tc>
                <w:tcPr>
                  <w:tcW w:w="570" w:type="dxa"/>
                  <w:tcBorders>
                    <w:top w:val="nil"/>
                    <w:left w:val="nil"/>
                    <w:bottom w:val="single" w:sz="4" w:space="0" w:color="auto"/>
                    <w:right w:val="single" w:sz="4" w:space="0" w:color="auto"/>
                  </w:tcBorders>
                  <w:shd w:val="clear" w:color="auto" w:fill="auto"/>
                  <w:noWrap/>
                  <w:vAlign w:val="bottom"/>
                  <w:hideMark/>
                </w:tcPr>
                <w:p w14:paraId="13B3CF9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42F6CA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A68479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480" w:type="dxa"/>
                  <w:tcBorders>
                    <w:top w:val="nil"/>
                    <w:left w:val="nil"/>
                    <w:bottom w:val="single" w:sz="4" w:space="0" w:color="auto"/>
                    <w:right w:val="single" w:sz="4" w:space="0" w:color="auto"/>
                  </w:tcBorders>
                  <w:shd w:val="clear" w:color="auto" w:fill="auto"/>
                  <w:noWrap/>
                  <w:vAlign w:val="bottom"/>
                  <w:hideMark/>
                </w:tcPr>
                <w:p w14:paraId="6D8F4EA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540" w:type="dxa"/>
                  <w:tcBorders>
                    <w:top w:val="nil"/>
                    <w:left w:val="nil"/>
                    <w:bottom w:val="single" w:sz="4" w:space="0" w:color="auto"/>
                    <w:right w:val="single" w:sz="4" w:space="0" w:color="auto"/>
                  </w:tcBorders>
                  <w:shd w:val="clear" w:color="auto" w:fill="auto"/>
                  <w:noWrap/>
                  <w:vAlign w:val="bottom"/>
                  <w:hideMark/>
                </w:tcPr>
                <w:p w14:paraId="2DCA7FD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C9652A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-60</w:t>
                  </w:r>
                </w:p>
              </w:tc>
              <w:tc>
                <w:tcPr>
                  <w:tcW w:w="543" w:type="dxa"/>
                  <w:tcBorders>
                    <w:top w:val="nil"/>
                    <w:left w:val="nil"/>
                    <w:bottom w:val="single" w:sz="4" w:space="0" w:color="auto"/>
                    <w:right w:val="single" w:sz="4" w:space="0" w:color="auto"/>
                  </w:tcBorders>
                  <w:shd w:val="clear" w:color="auto" w:fill="auto"/>
                  <w:noWrap/>
                  <w:vAlign w:val="bottom"/>
                  <w:hideMark/>
                </w:tcPr>
                <w:p w14:paraId="3DEE002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E889B1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9B22FF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w:t>
                  </w:r>
                </w:p>
              </w:tc>
            </w:tr>
            <w:tr w:rsidR="00837BD6" w:rsidRPr="009E5B39" w14:paraId="356E1530"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2858679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628B016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09C23F7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7C0A5B2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3458B31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213</w:t>
                  </w:r>
                </w:p>
              </w:tc>
              <w:tc>
                <w:tcPr>
                  <w:tcW w:w="516" w:type="dxa"/>
                  <w:tcBorders>
                    <w:top w:val="nil"/>
                    <w:left w:val="nil"/>
                    <w:bottom w:val="single" w:sz="4" w:space="0" w:color="auto"/>
                    <w:right w:val="single" w:sz="4" w:space="0" w:color="auto"/>
                  </w:tcBorders>
                  <w:shd w:val="clear" w:color="auto" w:fill="auto"/>
                  <w:noWrap/>
                  <w:vAlign w:val="bottom"/>
                  <w:hideMark/>
                </w:tcPr>
                <w:p w14:paraId="49DBB9B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620" w:type="dxa"/>
                  <w:tcBorders>
                    <w:top w:val="nil"/>
                    <w:left w:val="nil"/>
                    <w:bottom w:val="single" w:sz="4" w:space="0" w:color="auto"/>
                    <w:right w:val="single" w:sz="4" w:space="0" w:color="auto"/>
                  </w:tcBorders>
                  <w:shd w:val="clear" w:color="auto" w:fill="auto"/>
                  <w:noWrap/>
                  <w:vAlign w:val="bottom"/>
                  <w:hideMark/>
                </w:tcPr>
                <w:p w14:paraId="0D6FC5E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128</w:t>
                  </w:r>
                </w:p>
              </w:tc>
              <w:tc>
                <w:tcPr>
                  <w:tcW w:w="572" w:type="dxa"/>
                  <w:tcBorders>
                    <w:top w:val="nil"/>
                    <w:left w:val="nil"/>
                    <w:bottom w:val="single" w:sz="4" w:space="0" w:color="auto"/>
                    <w:right w:val="single" w:sz="4" w:space="0" w:color="auto"/>
                  </w:tcBorders>
                  <w:shd w:val="clear" w:color="auto" w:fill="auto"/>
                  <w:noWrap/>
                  <w:vAlign w:val="bottom"/>
                  <w:hideMark/>
                </w:tcPr>
                <w:p w14:paraId="1408A39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A7780F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213</w:t>
                  </w:r>
                </w:p>
              </w:tc>
              <w:tc>
                <w:tcPr>
                  <w:tcW w:w="567" w:type="dxa"/>
                  <w:tcBorders>
                    <w:top w:val="nil"/>
                    <w:left w:val="nil"/>
                    <w:bottom w:val="single" w:sz="4" w:space="0" w:color="auto"/>
                    <w:right w:val="single" w:sz="4" w:space="0" w:color="auto"/>
                  </w:tcBorders>
                  <w:shd w:val="clear" w:color="auto" w:fill="auto"/>
                  <w:noWrap/>
                  <w:vAlign w:val="bottom"/>
                  <w:hideMark/>
                </w:tcPr>
                <w:p w14:paraId="459B394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580" w:type="dxa"/>
                  <w:tcBorders>
                    <w:top w:val="nil"/>
                    <w:left w:val="nil"/>
                    <w:bottom w:val="single" w:sz="4" w:space="0" w:color="auto"/>
                    <w:right w:val="nil"/>
                  </w:tcBorders>
                </w:tcPr>
                <w:p w14:paraId="7A893D3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EF23A4D" w14:textId="1D4EFE9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128</w:t>
                  </w:r>
                </w:p>
              </w:tc>
              <w:tc>
                <w:tcPr>
                  <w:tcW w:w="570" w:type="dxa"/>
                  <w:tcBorders>
                    <w:top w:val="nil"/>
                    <w:left w:val="nil"/>
                    <w:bottom w:val="single" w:sz="4" w:space="0" w:color="auto"/>
                    <w:right w:val="single" w:sz="4" w:space="0" w:color="auto"/>
                  </w:tcBorders>
                  <w:shd w:val="clear" w:color="auto" w:fill="auto"/>
                  <w:noWrap/>
                  <w:vAlign w:val="bottom"/>
                  <w:hideMark/>
                </w:tcPr>
                <w:p w14:paraId="5DB39B6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E5E7D6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167</w:t>
                  </w:r>
                </w:p>
              </w:tc>
              <w:tc>
                <w:tcPr>
                  <w:tcW w:w="600" w:type="dxa"/>
                  <w:tcBorders>
                    <w:top w:val="nil"/>
                    <w:left w:val="nil"/>
                    <w:bottom w:val="single" w:sz="4" w:space="0" w:color="auto"/>
                    <w:right w:val="single" w:sz="4" w:space="0" w:color="auto"/>
                  </w:tcBorders>
                  <w:shd w:val="clear" w:color="auto" w:fill="auto"/>
                  <w:noWrap/>
                  <w:vAlign w:val="bottom"/>
                  <w:hideMark/>
                </w:tcPr>
                <w:p w14:paraId="19FD222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580" w:type="dxa"/>
                  <w:tcBorders>
                    <w:top w:val="nil"/>
                    <w:left w:val="nil"/>
                    <w:bottom w:val="single" w:sz="4" w:space="0" w:color="auto"/>
                    <w:right w:val="single" w:sz="4" w:space="0" w:color="auto"/>
                  </w:tcBorders>
                  <w:shd w:val="clear" w:color="auto" w:fill="auto"/>
                  <w:noWrap/>
                  <w:vAlign w:val="bottom"/>
                  <w:hideMark/>
                </w:tcPr>
                <w:p w14:paraId="1F14B85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94</w:t>
                  </w:r>
                </w:p>
              </w:tc>
              <w:tc>
                <w:tcPr>
                  <w:tcW w:w="570" w:type="dxa"/>
                  <w:tcBorders>
                    <w:top w:val="nil"/>
                    <w:left w:val="nil"/>
                    <w:bottom w:val="single" w:sz="4" w:space="0" w:color="auto"/>
                    <w:right w:val="single" w:sz="4" w:space="0" w:color="auto"/>
                  </w:tcBorders>
                  <w:shd w:val="clear" w:color="auto" w:fill="auto"/>
                  <w:noWrap/>
                  <w:vAlign w:val="bottom"/>
                  <w:hideMark/>
                </w:tcPr>
                <w:p w14:paraId="78F0D0F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98CD0F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A399A1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4ED8BEE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6C20118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54E87E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-46</w:t>
                  </w:r>
                </w:p>
              </w:tc>
              <w:tc>
                <w:tcPr>
                  <w:tcW w:w="543" w:type="dxa"/>
                  <w:tcBorders>
                    <w:top w:val="nil"/>
                    <w:left w:val="nil"/>
                    <w:bottom w:val="single" w:sz="4" w:space="0" w:color="auto"/>
                    <w:right w:val="single" w:sz="4" w:space="0" w:color="auto"/>
                  </w:tcBorders>
                  <w:shd w:val="clear" w:color="auto" w:fill="auto"/>
                  <w:noWrap/>
                  <w:vAlign w:val="bottom"/>
                  <w:hideMark/>
                </w:tcPr>
                <w:p w14:paraId="50C03A3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9869B5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C020B0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r>
            <w:tr w:rsidR="00837BD6" w:rsidRPr="009E5B39" w14:paraId="29FE7E66"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5B2F9FC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4D10E71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1C7D27E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86FBF2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4204070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227</w:t>
                  </w:r>
                </w:p>
              </w:tc>
              <w:tc>
                <w:tcPr>
                  <w:tcW w:w="516" w:type="dxa"/>
                  <w:tcBorders>
                    <w:top w:val="nil"/>
                    <w:left w:val="nil"/>
                    <w:bottom w:val="single" w:sz="4" w:space="0" w:color="auto"/>
                    <w:right w:val="single" w:sz="4" w:space="0" w:color="auto"/>
                  </w:tcBorders>
                  <w:shd w:val="clear" w:color="auto" w:fill="auto"/>
                  <w:noWrap/>
                  <w:vAlign w:val="bottom"/>
                  <w:hideMark/>
                </w:tcPr>
                <w:p w14:paraId="2F8EF15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620" w:type="dxa"/>
                  <w:tcBorders>
                    <w:top w:val="nil"/>
                    <w:left w:val="nil"/>
                    <w:bottom w:val="single" w:sz="4" w:space="0" w:color="auto"/>
                    <w:right w:val="single" w:sz="4" w:space="0" w:color="auto"/>
                  </w:tcBorders>
                  <w:shd w:val="clear" w:color="auto" w:fill="auto"/>
                  <w:noWrap/>
                  <w:vAlign w:val="bottom"/>
                  <w:hideMark/>
                </w:tcPr>
                <w:p w14:paraId="19CE316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w:t>
                  </w:r>
                </w:p>
              </w:tc>
              <w:tc>
                <w:tcPr>
                  <w:tcW w:w="572" w:type="dxa"/>
                  <w:tcBorders>
                    <w:top w:val="nil"/>
                    <w:left w:val="nil"/>
                    <w:bottom w:val="single" w:sz="4" w:space="0" w:color="auto"/>
                    <w:right w:val="single" w:sz="4" w:space="0" w:color="auto"/>
                  </w:tcBorders>
                  <w:shd w:val="clear" w:color="auto" w:fill="auto"/>
                  <w:noWrap/>
                  <w:vAlign w:val="bottom"/>
                  <w:hideMark/>
                </w:tcPr>
                <w:p w14:paraId="16496A1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9771CD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227</w:t>
                  </w:r>
                </w:p>
              </w:tc>
              <w:tc>
                <w:tcPr>
                  <w:tcW w:w="567" w:type="dxa"/>
                  <w:tcBorders>
                    <w:top w:val="nil"/>
                    <w:left w:val="nil"/>
                    <w:bottom w:val="single" w:sz="4" w:space="0" w:color="auto"/>
                    <w:right w:val="single" w:sz="4" w:space="0" w:color="auto"/>
                  </w:tcBorders>
                  <w:shd w:val="clear" w:color="auto" w:fill="auto"/>
                  <w:noWrap/>
                  <w:vAlign w:val="bottom"/>
                  <w:hideMark/>
                </w:tcPr>
                <w:p w14:paraId="099A37F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580" w:type="dxa"/>
                  <w:tcBorders>
                    <w:top w:val="nil"/>
                    <w:left w:val="nil"/>
                    <w:bottom w:val="single" w:sz="4" w:space="0" w:color="auto"/>
                    <w:right w:val="nil"/>
                  </w:tcBorders>
                </w:tcPr>
                <w:p w14:paraId="01565499"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C6148EE" w14:textId="7DFD814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w:t>
                  </w:r>
                </w:p>
              </w:tc>
              <w:tc>
                <w:tcPr>
                  <w:tcW w:w="570" w:type="dxa"/>
                  <w:tcBorders>
                    <w:top w:val="nil"/>
                    <w:left w:val="nil"/>
                    <w:bottom w:val="single" w:sz="4" w:space="0" w:color="auto"/>
                    <w:right w:val="single" w:sz="4" w:space="0" w:color="auto"/>
                  </w:tcBorders>
                  <w:shd w:val="clear" w:color="auto" w:fill="auto"/>
                  <w:noWrap/>
                  <w:vAlign w:val="bottom"/>
                  <w:hideMark/>
                </w:tcPr>
                <w:p w14:paraId="3B37C2A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532712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153</w:t>
                  </w:r>
                </w:p>
              </w:tc>
              <w:tc>
                <w:tcPr>
                  <w:tcW w:w="600" w:type="dxa"/>
                  <w:tcBorders>
                    <w:top w:val="nil"/>
                    <w:left w:val="nil"/>
                    <w:bottom w:val="single" w:sz="4" w:space="0" w:color="auto"/>
                    <w:right w:val="single" w:sz="4" w:space="0" w:color="auto"/>
                  </w:tcBorders>
                  <w:shd w:val="clear" w:color="auto" w:fill="auto"/>
                  <w:noWrap/>
                  <w:vAlign w:val="bottom"/>
                  <w:hideMark/>
                </w:tcPr>
                <w:p w14:paraId="5B2CD19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580" w:type="dxa"/>
                  <w:tcBorders>
                    <w:top w:val="nil"/>
                    <w:left w:val="nil"/>
                    <w:bottom w:val="single" w:sz="4" w:space="0" w:color="auto"/>
                    <w:right w:val="single" w:sz="4" w:space="0" w:color="auto"/>
                  </w:tcBorders>
                  <w:shd w:val="clear" w:color="auto" w:fill="auto"/>
                  <w:noWrap/>
                  <w:vAlign w:val="bottom"/>
                  <w:hideMark/>
                </w:tcPr>
                <w:p w14:paraId="6172876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84</w:t>
                  </w:r>
                </w:p>
              </w:tc>
              <w:tc>
                <w:tcPr>
                  <w:tcW w:w="570" w:type="dxa"/>
                  <w:tcBorders>
                    <w:top w:val="nil"/>
                    <w:left w:val="nil"/>
                    <w:bottom w:val="single" w:sz="4" w:space="0" w:color="auto"/>
                    <w:right w:val="single" w:sz="4" w:space="0" w:color="auto"/>
                  </w:tcBorders>
                  <w:shd w:val="clear" w:color="auto" w:fill="auto"/>
                  <w:noWrap/>
                  <w:vAlign w:val="bottom"/>
                  <w:hideMark/>
                </w:tcPr>
                <w:p w14:paraId="01C1F8B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96FBDC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1ED05CB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A8134F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9D961D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38BA4E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-74</w:t>
                  </w:r>
                </w:p>
              </w:tc>
              <w:tc>
                <w:tcPr>
                  <w:tcW w:w="543" w:type="dxa"/>
                  <w:tcBorders>
                    <w:top w:val="nil"/>
                    <w:left w:val="nil"/>
                    <w:bottom w:val="single" w:sz="4" w:space="0" w:color="auto"/>
                    <w:right w:val="single" w:sz="4" w:space="0" w:color="auto"/>
                  </w:tcBorders>
                  <w:shd w:val="clear" w:color="auto" w:fill="auto"/>
                  <w:noWrap/>
                  <w:vAlign w:val="bottom"/>
                  <w:hideMark/>
                </w:tcPr>
                <w:p w14:paraId="4F41774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D88A38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-58</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DF70EC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r>
            <w:tr w:rsidR="00837BD6" w:rsidRPr="009E5B39" w14:paraId="6A498CF2"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43D8F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CE62668"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Pretura Botanica</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5C5EF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O7290</w:t>
                  </w:r>
                </w:p>
              </w:tc>
              <w:tc>
                <w:tcPr>
                  <w:tcW w:w="541" w:type="dxa"/>
                  <w:tcBorders>
                    <w:top w:val="nil"/>
                    <w:left w:val="nil"/>
                    <w:bottom w:val="single" w:sz="4" w:space="0" w:color="auto"/>
                    <w:right w:val="single" w:sz="4" w:space="0" w:color="auto"/>
                  </w:tcBorders>
                  <w:shd w:val="clear" w:color="auto" w:fill="auto"/>
                  <w:noWrap/>
                  <w:vAlign w:val="bottom"/>
                  <w:hideMark/>
                </w:tcPr>
                <w:p w14:paraId="06B3F4E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40C6630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50</w:t>
                  </w:r>
                </w:p>
              </w:tc>
              <w:tc>
                <w:tcPr>
                  <w:tcW w:w="516" w:type="dxa"/>
                  <w:tcBorders>
                    <w:top w:val="nil"/>
                    <w:left w:val="nil"/>
                    <w:bottom w:val="single" w:sz="4" w:space="0" w:color="auto"/>
                    <w:right w:val="single" w:sz="4" w:space="0" w:color="auto"/>
                  </w:tcBorders>
                  <w:shd w:val="clear" w:color="auto" w:fill="auto"/>
                  <w:noWrap/>
                  <w:vAlign w:val="bottom"/>
                  <w:hideMark/>
                </w:tcPr>
                <w:p w14:paraId="15D311F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5D63F5B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30</w:t>
                  </w:r>
                </w:p>
              </w:tc>
              <w:tc>
                <w:tcPr>
                  <w:tcW w:w="572" w:type="dxa"/>
                  <w:tcBorders>
                    <w:top w:val="nil"/>
                    <w:left w:val="nil"/>
                    <w:bottom w:val="single" w:sz="4" w:space="0" w:color="auto"/>
                    <w:right w:val="single" w:sz="4" w:space="0" w:color="auto"/>
                  </w:tcBorders>
                  <w:shd w:val="clear" w:color="auto" w:fill="auto"/>
                  <w:noWrap/>
                  <w:vAlign w:val="bottom"/>
                  <w:hideMark/>
                </w:tcPr>
                <w:p w14:paraId="5ED6129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593418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50</w:t>
                  </w:r>
                </w:p>
              </w:tc>
              <w:tc>
                <w:tcPr>
                  <w:tcW w:w="567" w:type="dxa"/>
                  <w:tcBorders>
                    <w:top w:val="nil"/>
                    <w:left w:val="nil"/>
                    <w:bottom w:val="single" w:sz="4" w:space="0" w:color="auto"/>
                    <w:right w:val="single" w:sz="4" w:space="0" w:color="auto"/>
                  </w:tcBorders>
                  <w:shd w:val="clear" w:color="auto" w:fill="auto"/>
                  <w:noWrap/>
                  <w:vAlign w:val="bottom"/>
                  <w:hideMark/>
                </w:tcPr>
                <w:p w14:paraId="0D44E33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80" w:type="dxa"/>
                  <w:tcBorders>
                    <w:top w:val="nil"/>
                    <w:left w:val="nil"/>
                    <w:bottom w:val="single" w:sz="4" w:space="0" w:color="auto"/>
                    <w:right w:val="nil"/>
                  </w:tcBorders>
                </w:tcPr>
                <w:p w14:paraId="34371332"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6CE2175" w14:textId="67F81B2A"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30</w:t>
                  </w:r>
                </w:p>
              </w:tc>
              <w:tc>
                <w:tcPr>
                  <w:tcW w:w="570" w:type="dxa"/>
                  <w:tcBorders>
                    <w:top w:val="nil"/>
                    <w:left w:val="nil"/>
                    <w:bottom w:val="single" w:sz="4" w:space="0" w:color="auto"/>
                    <w:right w:val="single" w:sz="4" w:space="0" w:color="auto"/>
                  </w:tcBorders>
                  <w:shd w:val="clear" w:color="auto" w:fill="auto"/>
                  <w:noWrap/>
                  <w:vAlign w:val="bottom"/>
                  <w:hideMark/>
                </w:tcPr>
                <w:p w14:paraId="4CE642D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8A035C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42</w:t>
                  </w:r>
                </w:p>
              </w:tc>
              <w:tc>
                <w:tcPr>
                  <w:tcW w:w="600" w:type="dxa"/>
                  <w:tcBorders>
                    <w:top w:val="nil"/>
                    <w:left w:val="nil"/>
                    <w:bottom w:val="single" w:sz="4" w:space="0" w:color="auto"/>
                    <w:right w:val="single" w:sz="4" w:space="0" w:color="auto"/>
                  </w:tcBorders>
                  <w:shd w:val="clear" w:color="auto" w:fill="auto"/>
                  <w:noWrap/>
                  <w:vAlign w:val="bottom"/>
                  <w:hideMark/>
                </w:tcPr>
                <w:p w14:paraId="753C328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216ACB4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26</w:t>
                  </w:r>
                </w:p>
              </w:tc>
              <w:tc>
                <w:tcPr>
                  <w:tcW w:w="570" w:type="dxa"/>
                  <w:tcBorders>
                    <w:top w:val="nil"/>
                    <w:left w:val="nil"/>
                    <w:bottom w:val="single" w:sz="4" w:space="0" w:color="auto"/>
                    <w:right w:val="single" w:sz="4" w:space="0" w:color="auto"/>
                  </w:tcBorders>
                  <w:shd w:val="clear" w:color="auto" w:fill="auto"/>
                  <w:noWrap/>
                  <w:vAlign w:val="bottom"/>
                  <w:hideMark/>
                </w:tcPr>
                <w:p w14:paraId="1904DD5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AAB890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1B49D2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18FD78D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4F11DF9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BBB9DF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w:t>
                  </w:r>
                </w:p>
              </w:tc>
              <w:tc>
                <w:tcPr>
                  <w:tcW w:w="543" w:type="dxa"/>
                  <w:tcBorders>
                    <w:top w:val="nil"/>
                    <w:left w:val="nil"/>
                    <w:bottom w:val="single" w:sz="4" w:space="0" w:color="auto"/>
                    <w:right w:val="single" w:sz="4" w:space="0" w:color="auto"/>
                  </w:tcBorders>
                  <w:shd w:val="clear" w:color="auto" w:fill="auto"/>
                  <w:noWrap/>
                  <w:vAlign w:val="bottom"/>
                  <w:hideMark/>
                </w:tcPr>
                <w:p w14:paraId="67A8CF9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230EE9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A3DA75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224F06C9"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22B0FFA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7B4D489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5EE5CFC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3160A46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638F526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50</w:t>
                  </w:r>
                </w:p>
              </w:tc>
              <w:tc>
                <w:tcPr>
                  <w:tcW w:w="516" w:type="dxa"/>
                  <w:tcBorders>
                    <w:top w:val="nil"/>
                    <w:left w:val="nil"/>
                    <w:bottom w:val="single" w:sz="4" w:space="0" w:color="auto"/>
                    <w:right w:val="single" w:sz="4" w:space="0" w:color="auto"/>
                  </w:tcBorders>
                  <w:shd w:val="clear" w:color="auto" w:fill="auto"/>
                  <w:noWrap/>
                  <w:vAlign w:val="bottom"/>
                  <w:hideMark/>
                </w:tcPr>
                <w:p w14:paraId="0C598E4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62B4884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w:t>
                  </w:r>
                </w:p>
              </w:tc>
              <w:tc>
                <w:tcPr>
                  <w:tcW w:w="572" w:type="dxa"/>
                  <w:tcBorders>
                    <w:top w:val="nil"/>
                    <w:left w:val="nil"/>
                    <w:bottom w:val="single" w:sz="4" w:space="0" w:color="auto"/>
                    <w:right w:val="single" w:sz="4" w:space="0" w:color="auto"/>
                  </w:tcBorders>
                  <w:shd w:val="clear" w:color="auto" w:fill="auto"/>
                  <w:noWrap/>
                  <w:vAlign w:val="bottom"/>
                  <w:hideMark/>
                </w:tcPr>
                <w:p w14:paraId="42DD962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9D698D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50</w:t>
                  </w:r>
                </w:p>
              </w:tc>
              <w:tc>
                <w:tcPr>
                  <w:tcW w:w="567" w:type="dxa"/>
                  <w:tcBorders>
                    <w:top w:val="nil"/>
                    <w:left w:val="nil"/>
                    <w:bottom w:val="single" w:sz="4" w:space="0" w:color="auto"/>
                    <w:right w:val="single" w:sz="4" w:space="0" w:color="auto"/>
                  </w:tcBorders>
                  <w:shd w:val="clear" w:color="auto" w:fill="auto"/>
                  <w:noWrap/>
                  <w:vAlign w:val="bottom"/>
                  <w:hideMark/>
                </w:tcPr>
                <w:p w14:paraId="48B1F97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48B51E5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EBC657B" w14:textId="3FE82A8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w:t>
                  </w:r>
                </w:p>
              </w:tc>
              <w:tc>
                <w:tcPr>
                  <w:tcW w:w="570" w:type="dxa"/>
                  <w:tcBorders>
                    <w:top w:val="nil"/>
                    <w:left w:val="nil"/>
                    <w:bottom w:val="single" w:sz="4" w:space="0" w:color="auto"/>
                    <w:right w:val="single" w:sz="4" w:space="0" w:color="auto"/>
                  </w:tcBorders>
                  <w:shd w:val="clear" w:color="auto" w:fill="auto"/>
                  <w:noWrap/>
                  <w:vAlign w:val="bottom"/>
                  <w:hideMark/>
                </w:tcPr>
                <w:p w14:paraId="4C8E074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FBB43A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31</w:t>
                  </w:r>
                </w:p>
              </w:tc>
              <w:tc>
                <w:tcPr>
                  <w:tcW w:w="600" w:type="dxa"/>
                  <w:tcBorders>
                    <w:top w:val="nil"/>
                    <w:left w:val="nil"/>
                    <w:bottom w:val="single" w:sz="4" w:space="0" w:color="auto"/>
                    <w:right w:val="single" w:sz="4" w:space="0" w:color="auto"/>
                  </w:tcBorders>
                  <w:shd w:val="clear" w:color="auto" w:fill="auto"/>
                  <w:noWrap/>
                  <w:vAlign w:val="bottom"/>
                  <w:hideMark/>
                </w:tcPr>
                <w:p w14:paraId="4E1E60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80" w:type="dxa"/>
                  <w:tcBorders>
                    <w:top w:val="nil"/>
                    <w:left w:val="nil"/>
                    <w:bottom w:val="single" w:sz="4" w:space="0" w:color="auto"/>
                    <w:right w:val="single" w:sz="4" w:space="0" w:color="auto"/>
                  </w:tcBorders>
                  <w:shd w:val="clear" w:color="auto" w:fill="auto"/>
                  <w:noWrap/>
                  <w:vAlign w:val="bottom"/>
                  <w:hideMark/>
                </w:tcPr>
                <w:p w14:paraId="7E75DA9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570" w:type="dxa"/>
                  <w:tcBorders>
                    <w:top w:val="nil"/>
                    <w:left w:val="nil"/>
                    <w:bottom w:val="single" w:sz="4" w:space="0" w:color="auto"/>
                    <w:right w:val="single" w:sz="4" w:space="0" w:color="auto"/>
                  </w:tcBorders>
                  <w:shd w:val="clear" w:color="auto" w:fill="auto"/>
                  <w:noWrap/>
                  <w:vAlign w:val="bottom"/>
                  <w:hideMark/>
                </w:tcPr>
                <w:p w14:paraId="0A4ECAF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BCC202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0FA05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2BD8BE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CADBFA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09DC76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-19</w:t>
                  </w:r>
                </w:p>
              </w:tc>
              <w:tc>
                <w:tcPr>
                  <w:tcW w:w="543" w:type="dxa"/>
                  <w:tcBorders>
                    <w:top w:val="nil"/>
                    <w:left w:val="nil"/>
                    <w:bottom w:val="single" w:sz="4" w:space="0" w:color="auto"/>
                    <w:right w:val="single" w:sz="4" w:space="0" w:color="auto"/>
                  </w:tcBorders>
                  <w:shd w:val="clear" w:color="auto" w:fill="auto"/>
                  <w:noWrap/>
                  <w:vAlign w:val="bottom"/>
                  <w:hideMark/>
                </w:tcPr>
                <w:p w14:paraId="6FF8911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DE2056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2F529B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r>
            <w:tr w:rsidR="00837BD6" w:rsidRPr="009E5B39" w14:paraId="67F4D098"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4CC41FA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1AFFA40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5C43C61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F13CA6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2549C8E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50</w:t>
                  </w:r>
                </w:p>
              </w:tc>
              <w:tc>
                <w:tcPr>
                  <w:tcW w:w="516" w:type="dxa"/>
                  <w:tcBorders>
                    <w:top w:val="nil"/>
                    <w:left w:val="nil"/>
                    <w:bottom w:val="single" w:sz="4" w:space="0" w:color="auto"/>
                    <w:right w:val="single" w:sz="4" w:space="0" w:color="auto"/>
                  </w:tcBorders>
                  <w:shd w:val="clear" w:color="auto" w:fill="auto"/>
                  <w:noWrap/>
                  <w:vAlign w:val="bottom"/>
                  <w:hideMark/>
                </w:tcPr>
                <w:p w14:paraId="1AAC67A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631184E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w:t>
                  </w:r>
                </w:p>
              </w:tc>
              <w:tc>
                <w:tcPr>
                  <w:tcW w:w="572" w:type="dxa"/>
                  <w:tcBorders>
                    <w:top w:val="nil"/>
                    <w:left w:val="nil"/>
                    <w:bottom w:val="single" w:sz="4" w:space="0" w:color="auto"/>
                    <w:right w:val="single" w:sz="4" w:space="0" w:color="auto"/>
                  </w:tcBorders>
                  <w:shd w:val="clear" w:color="auto" w:fill="auto"/>
                  <w:noWrap/>
                  <w:vAlign w:val="bottom"/>
                  <w:hideMark/>
                </w:tcPr>
                <w:p w14:paraId="322468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9D6A83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50</w:t>
                  </w:r>
                </w:p>
              </w:tc>
              <w:tc>
                <w:tcPr>
                  <w:tcW w:w="567" w:type="dxa"/>
                  <w:tcBorders>
                    <w:top w:val="nil"/>
                    <w:left w:val="nil"/>
                    <w:bottom w:val="single" w:sz="4" w:space="0" w:color="auto"/>
                    <w:right w:val="single" w:sz="4" w:space="0" w:color="auto"/>
                  </w:tcBorders>
                  <w:shd w:val="clear" w:color="auto" w:fill="auto"/>
                  <w:noWrap/>
                  <w:vAlign w:val="bottom"/>
                  <w:hideMark/>
                </w:tcPr>
                <w:p w14:paraId="7AFF407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7C60B743"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D58AE7C" w14:textId="6759D58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w:t>
                  </w:r>
                </w:p>
              </w:tc>
              <w:tc>
                <w:tcPr>
                  <w:tcW w:w="570" w:type="dxa"/>
                  <w:tcBorders>
                    <w:top w:val="nil"/>
                    <w:left w:val="nil"/>
                    <w:bottom w:val="single" w:sz="4" w:space="0" w:color="auto"/>
                    <w:right w:val="single" w:sz="4" w:space="0" w:color="auto"/>
                  </w:tcBorders>
                  <w:shd w:val="clear" w:color="auto" w:fill="auto"/>
                  <w:noWrap/>
                  <w:vAlign w:val="bottom"/>
                  <w:hideMark/>
                </w:tcPr>
                <w:p w14:paraId="3E2A86C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080DE2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27</w:t>
                  </w:r>
                </w:p>
              </w:tc>
              <w:tc>
                <w:tcPr>
                  <w:tcW w:w="600" w:type="dxa"/>
                  <w:tcBorders>
                    <w:top w:val="nil"/>
                    <w:left w:val="nil"/>
                    <w:bottom w:val="single" w:sz="4" w:space="0" w:color="auto"/>
                    <w:right w:val="single" w:sz="4" w:space="0" w:color="auto"/>
                  </w:tcBorders>
                  <w:shd w:val="clear" w:color="auto" w:fill="auto"/>
                  <w:noWrap/>
                  <w:vAlign w:val="bottom"/>
                  <w:hideMark/>
                </w:tcPr>
                <w:p w14:paraId="6AD6520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3B16DA8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570" w:type="dxa"/>
                  <w:tcBorders>
                    <w:top w:val="nil"/>
                    <w:left w:val="nil"/>
                    <w:bottom w:val="single" w:sz="4" w:space="0" w:color="auto"/>
                    <w:right w:val="single" w:sz="4" w:space="0" w:color="auto"/>
                  </w:tcBorders>
                  <w:shd w:val="clear" w:color="auto" w:fill="auto"/>
                  <w:noWrap/>
                  <w:vAlign w:val="bottom"/>
                  <w:hideMark/>
                </w:tcPr>
                <w:p w14:paraId="76CA1A3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25CEAD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1AA87A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62234E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6954871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ACE7F6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-23</w:t>
                  </w:r>
                </w:p>
              </w:tc>
              <w:tc>
                <w:tcPr>
                  <w:tcW w:w="543" w:type="dxa"/>
                  <w:tcBorders>
                    <w:top w:val="nil"/>
                    <w:left w:val="nil"/>
                    <w:bottom w:val="single" w:sz="4" w:space="0" w:color="auto"/>
                    <w:right w:val="single" w:sz="4" w:space="0" w:color="auto"/>
                  </w:tcBorders>
                  <w:shd w:val="clear" w:color="auto" w:fill="auto"/>
                  <w:noWrap/>
                  <w:vAlign w:val="bottom"/>
                  <w:hideMark/>
                </w:tcPr>
                <w:p w14:paraId="0EFA034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85CC6F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A4A859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24182F80"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5F33B0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4F2C2CE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6CC4281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3C4393D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078C491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50</w:t>
                  </w:r>
                </w:p>
              </w:tc>
              <w:tc>
                <w:tcPr>
                  <w:tcW w:w="516" w:type="dxa"/>
                  <w:tcBorders>
                    <w:top w:val="nil"/>
                    <w:left w:val="nil"/>
                    <w:bottom w:val="single" w:sz="4" w:space="0" w:color="auto"/>
                    <w:right w:val="single" w:sz="4" w:space="0" w:color="auto"/>
                  </w:tcBorders>
                  <w:shd w:val="clear" w:color="auto" w:fill="auto"/>
                  <w:noWrap/>
                  <w:vAlign w:val="bottom"/>
                  <w:hideMark/>
                </w:tcPr>
                <w:p w14:paraId="2BDD065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5948412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w:t>
                  </w:r>
                </w:p>
              </w:tc>
              <w:tc>
                <w:tcPr>
                  <w:tcW w:w="572" w:type="dxa"/>
                  <w:tcBorders>
                    <w:top w:val="nil"/>
                    <w:left w:val="nil"/>
                    <w:bottom w:val="single" w:sz="4" w:space="0" w:color="auto"/>
                    <w:right w:val="single" w:sz="4" w:space="0" w:color="auto"/>
                  </w:tcBorders>
                  <w:shd w:val="clear" w:color="auto" w:fill="auto"/>
                  <w:noWrap/>
                  <w:vAlign w:val="bottom"/>
                  <w:hideMark/>
                </w:tcPr>
                <w:p w14:paraId="43F7FB9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B7C815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55</w:t>
                  </w:r>
                </w:p>
              </w:tc>
              <w:tc>
                <w:tcPr>
                  <w:tcW w:w="567" w:type="dxa"/>
                  <w:tcBorders>
                    <w:top w:val="nil"/>
                    <w:left w:val="nil"/>
                    <w:bottom w:val="single" w:sz="4" w:space="0" w:color="auto"/>
                    <w:right w:val="single" w:sz="4" w:space="0" w:color="auto"/>
                  </w:tcBorders>
                  <w:shd w:val="clear" w:color="auto" w:fill="auto"/>
                  <w:noWrap/>
                  <w:vAlign w:val="bottom"/>
                  <w:hideMark/>
                </w:tcPr>
                <w:p w14:paraId="127AAF2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7443AB9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79DA4F7" w14:textId="256379C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36</w:t>
                  </w:r>
                </w:p>
              </w:tc>
              <w:tc>
                <w:tcPr>
                  <w:tcW w:w="570" w:type="dxa"/>
                  <w:tcBorders>
                    <w:top w:val="nil"/>
                    <w:left w:val="nil"/>
                    <w:bottom w:val="single" w:sz="4" w:space="0" w:color="auto"/>
                    <w:right w:val="single" w:sz="4" w:space="0" w:color="auto"/>
                  </w:tcBorders>
                  <w:shd w:val="clear" w:color="auto" w:fill="auto"/>
                  <w:noWrap/>
                  <w:vAlign w:val="bottom"/>
                  <w:hideMark/>
                </w:tcPr>
                <w:p w14:paraId="45CE43A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505AEF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41</w:t>
                  </w:r>
                </w:p>
              </w:tc>
              <w:tc>
                <w:tcPr>
                  <w:tcW w:w="600" w:type="dxa"/>
                  <w:tcBorders>
                    <w:top w:val="nil"/>
                    <w:left w:val="nil"/>
                    <w:bottom w:val="single" w:sz="4" w:space="0" w:color="auto"/>
                    <w:right w:val="single" w:sz="4" w:space="0" w:color="auto"/>
                  </w:tcBorders>
                  <w:shd w:val="clear" w:color="auto" w:fill="auto"/>
                  <w:noWrap/>
                  <w:vAlign w:val="bottom"/>
                  <w:hideMark/>
                </w:tcPr>
                <w:p w14:paraId="1616F38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0989772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w:t>
                  </w:r>
                </w:p>
              </w:tc>
              <w:tc>
                <w:tcPr>
                  <w:tcW w:w="570" w:type="dxa"/>
                  <w:tcBorders>
                    <w:top w:val="nil"/>
                    <w:left w:val="nil"/>
                    <w:bottom w:val="single" w:sz="4" w:space="0" w:color="auto"/>
                    <w:right w:val="single" w:sz="4" w:space="0" w:color="auto"/>
                  </w:tcBorders>
                  <w:shd w:val="clear" w:color="auto" w:fill="auto"/>
                  <w:noWrap/>
                  <w:vAlign w:val="bottom"/>
                  <w:hideMark/>
                </w:tcPr>
                <w:p w14:paraId="79AD0FB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F401B8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80" w:type="dxa"/>
                  <w:tcBorders>
                    <w:top w:val="nil"/>
                    <w:left w:val="nil"/>
                    <w:bottom w:val="single" w:sz="4" w:space="0" w:color="auto"/>
                    <w:right w:val="single" w:sz="4" w:space="0" w:color="auto"/>
                  </w:tcBorders>
                  <w:shd w:val="clear" w:color="auto" w:fill="auto"/>
                  <w:noWrap/>
                  <w:vAlign w:val="bottom"/>
                  <w:hideMark/>
                </w:tcPr>
                <w:p w14:paraId="596CA0E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7655A7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540" w:type="dxa"/>
                  <w:tcBorders>
                    <w:top w:val="nil"/>
                    <w:left w:val="nil"/>
                    <w:bottom w:val="single" w:sz="4" w:space="0" w:color="auto"/>
                    <w:right w:val="single" w:sz="4" w:space="0" w:color="auto"/>
                  </w:tcBorders>
                  <w:shd w:val="clear" w:color="auto" w:fill="auto"/>
                  <w:noWrap/>
                  <w:vAlign w:val="bottom"/>
                  <w:hideMark/>
                </w:tcPr>
                <w:p w14:paraId="464C68F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C6293A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-14</w:t>
                  </w:r>
                </w:p>
              </w:tc>
              <w:tc>
                <w:tcPr>
                  <w:tcW w:w="543" w:type="dxa"/>
                  <w:tcBorders>
                    <w:top w:val="nil"/>
                    <w:left w:val="nil"/>
                    <w:bottom w:val="single" w:sz="4" w:space="0" w:color="auto"/>
                    <w:right w:val="single" w:sz="4" w:space="0" w:color="auto"/>
                  </w:tcBorders>
                  <w:shd w:val="clear" w:color="auto" w:fill="auto"/>
                  <w:noWrap/>
                  <w:vAlign w:val="bottom"/>
                  <w:hideMark/>
                </w:tcPr>
                <w:p w14:paraId="6CC67C8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5A4166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2FBE1F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562AB874"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4EE2FD8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75249DB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18C49EB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4A090BA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5811ACB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55</w:t>
                  </w:r>
                </w:p>
              </w:tc>
              <w:tc>
                <w:tcPr>
                  <w:tcW w:w="516" w:type="dxa"/>
                  <w:tcBorders>
                    <w:top w:val="nil"/>
                    <w:left w:val="nil"/>
                    <w:bottom w:val="single" w:sz="4" w:space="0" w:color="auto"/>
                    <w:right w:val="single" w:sz="4" w:space="0" w:color="auto"/>
                  </w:tcBorders>
                  <w:shd w:val="clear" w:color="auto" w:fill="auto"/>
                  <w:noWrap/>
                  <w:vAlign w:val="bottom"/>
                  <w:hideMark/>
                </w:tcPr>
                <w:p w14:paraId="391C8DA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1773F67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36</w:t>
                  </w:r>
                </w:p>
              </w:tc>
              <w:tc>
                <w:tcPr>
                  <w:tcW w:w="572" w:type="dxa"/>
                  <w:tcBorders>
                    <w:top w:val="nil"/>
                    <w:left w:val="nil"/>
                    <w:bottom w:val="single" w:sz="4" w:space="0" w:color="auto"/>
                    <w:right w:val="single" w:sz="4" w:space="0" w:color="auto"/>
                  </w:tcBorders>
                  <w:shd w:val="clear" w:color="auto" w:fill="auto"/>
                  <w:noWrap/>
                  <w:vAlign w:val="bottom"/>
                  <w:hideMark/>
                </w:tcPr>
                <w:p w14:paraId="56C3448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C285D8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61</w:t>
                  </w:r>
                </w:p>
              </w:tc>
              <w:tc>
                <w:tcPr>
                  <w:tcW w:w="567" w:type="dxa"/>
                  <w:tcBorders>
                    <w:top w:val="nil"/>
                    <w:left w:val="nil"/>
                    <w:bottom w:val="single" w:sz="4" w:space="0" w:color="auto"/>
                    <w:right w:val="single" w:sz="4" w:space="0" w:color="auto"/>
                  </w:tcBorders>
                  <w:shd w:val="clear" w:color="auto" w:fill="auto"/>
                  <w:noWrap/>
                  <w:vAlign w:val="bottom"/>
                  <w:hideMark/>
                </w:tcPr>
                <w:p w14:paraId="5398311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3DC4136A"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0A06301" w14:textId="631BD4E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w:t>
                  </w:r>
                </w:p>
              </w:tc>
              <w:tc>
                <w:tcPr>
                  <w:tcW w:w="570" w:type="dxa"/>
                  <w:tcBorders>
                    <w:top w:val="nil"/>
                    <w:left w:val="nil"/>
                    <w:bottom w:val="single" w:sz="4" w:space="0" w:color="auto"/>
                    <w:right w:val="single" w:sz="4" w:space="0" w:color="auto"/>
                  </w:tcBorders>
                  <w:shd w:val="clear" w:color="auto" w:fill="auto"/>
                  <w:noWrap/>
                  <w:vAlign w:val="bottom"/>
                  <w:hideMark/>
                </w:tcPr>
                <w:p w14:paraId="7402C57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95DAD7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600" w:type="dxa"/>
                  <w:tcBorders>
                    <w:top w:val="nil"/>
                    <w:left w:val="nil"/>
                    <w:bottom w:val="single" w:sz="4" w:space="0" w:color="auto"/>
                    <w:right w:val="single" w:sz="4" w:space="0" w:color="auto"/>
                  </w:tcBorders>
                  <w:shd w:val="clear" w:color="auto" w:fill="auto"/>
                  <w:noWrap/>
                  <w:vAlign w:val="bottom"/>
                  <w:hideMark/>
                </w:tcPr>
                <w:p w14:paraId="09D3617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0D4E68B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w:t>
                  </w:r>
                </w:p>
              </w:tc>
              <w:tc>
                <w:tcPr>
                  <w:tcW w:w="570" w:type="dxa"/>
                  <w:tcBorders>
                    <w:top w:val="nil"/>
                    <w:left w:val="nil"/>
                    <w:bottom w:val="single" w:sz="4" w:space="0" w:color="auto"/>
                    <w:right w:val="single" w:sz="4" w:space="0" w:color="auto"/>
                  </w:tcBorders>
                  <w:shd w:val="clear" w:color="auto" w:fill="auto"/>
                  <w:noWrap/>
                  <w:vAlign w:val="bottom"/>
                  <w:hideMark/>
                </w:tcPr>
                <w:p w14:paraId="141442E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85816A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w:t>
                  </w:r>
                </w:p>
              </w:tc>
              <w:tc>
                <w:tcPr>
                  <w:tcW w:w="580" w:type="dxa"/>
                  <w:tcBorders>
                    <w:top w:val="nil"/>
                    <w:left w:val="nil"/>
                    <w:bottom w:val="single" w:sz="4" w:space="0" w:color="auto"/>
                    <w:right w:val="single" w:sz="4" w:space="0" w:color="auto"/>
                  </w:tcBorders>
                  <w:shd w:val="clear" w:color="auto" w:fill="auto"/>
                  <w:noWrap/>
                  <w:vAlign w:val="bottom"/>
                  <w:hideMark/>
                </w:tcPr>
                <w:p w14:paraId="166AB48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169B818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40" w:type="dxa"/>
                  <w:tcBorders>
                    <w:top w:val="nil"/>
                    <w:left w:val="nil"/>
                    <w:bottom w:val="single" w:sz="4" w:space="0" w:color="auto"/>
                    <w:right w:val="single" w:sz="4" w:space="0" w:color="auto"/>
                  </w:tcBorders>
                  <w:shd w:val="clear" w:color="auto" w:fill="auto"/>
                  <w:noWrap/>
                  <w:vAlign w:val="bottom"/>
                  <w:hideMark/>
                </w:tcPr>
                <w:p w14:paraId="66C592A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498E73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-18</w:t>
                  </w:r>
                </w:p>
              </w:tc>
              <w:tc>
                <w:tcPr>
                  <w:tcW w:w="543" w:type="dxa"/>
                  <w:tcBorders>
                    <w:top w:val="nil"/>
                    <w:left w:val="nil"/>
                    <w:bottom w:val="single" w:sz="4" w:space="0" w:color="auto"/>
                    <w:right w:val="single" w:sz="4" w:space="0" w:color="auto"/>
                  </w:tcBorders>
                  <w:shd w:val="clear" w:color="auto" w:fill="auto"/>
                  <w:noWrap/>
                  <w:vAlign w:val="bottom"/>
                  <w:hideMark/>
                </w:tcPr>
                <w:p w14:paraId="38EBFAA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FFCD82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1FD1C1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395A9551"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F312C8"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B2457EC"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Pretura Buiucani</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4DEDB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O7413</w:t>
                  </w:r>
                </w:p>
              </w:tc>
              <w:tc>
                <w:tcPr>
                  <w:tcW w:w="541" w:type="dxa"/>
                  <w:tcBorders>
                    <w:top w:val="nil"/>
                    <w:left w:val="nil"/>
                    <w:bottom w:val="single" w:sz="4" w:space="0" w:color="auto"/>
                    <w:right w:val="single" w:sz="4" w:space="0" w:color="auto"/>
                  </w:tcBorders>
                  <w:shd w:val="clear" w:color="auto" w:fill="auto"/>
                  <w:noWrap/>
                  <w:vAlign w:val="bottom"/>
                  <w:hideMark/>
                </w:tcPr>
                <w:p w14:paraId="04A4B45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3DA705A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516" w:type="dxa"/>
                  <w:tcBorders>
                    <w:top w:val="nil"/>
                    <w:left w:val="nil"/>
                    <w:bottom w:val="single" w:sz="4" w:space="0" w:color="auto"/>
                    <w:right w:val="single" w:sz="4" w:space="0" w:color="auto"/>
                  </w:tcBorders>
                  <w:shd w:val="clear" w:color="auto" w:fill="auto"/>
                  <w:noWrap/>
                  <w:vAlign w:val="bottom"/>
                  <w:hideMark/>
                </w:tcPr>
                <w:p w14:paraId="4B90E3A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1079A36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27</w:t>
                  </w:r>
                </w:p>
              </w:tc>
              <w:tc>
                <w:tcPr>
                  <w:tcW w:w="572" w:type="dxa"/>
                  <w:tcBorders>
                    <w:top w:val="nil"/>
                    <w:left w:val="nil"/>
                    <w:bottom w:val="single" w:sz="4" w:space="0" w:color="auto"/>
                    <w:right w:val="single" w:sz="4" w:space="0" w:color="auto"/>
                  </w:tcBorders>
                  <w:shd w:val="clear" w:color="auto" w:fill="auto"/>
                  <w:noWrap/>
                  <w:vAlign w:val="bottom"/>
                  <w:hideMark/>
                </w:tcPr>
                <w:p w14:paraId="257D9EC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F41DAC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567" w:type="dxa"/>
                  <w:tcBorders>
                    <w:top w:val="nil"/>
                    <w:left w:val="nil"/>
                    <w:bottom w:val="single" w:sz="4" w:space="0" w:color="auto"/>
                    <w:right w:val="single" w:sz="4" w:space="0" w:color="auto"/>
                  </w:tcBorders>
                  <w:shd w:val="clear" w:color="auto" w:fill="auto"/>
                  <w:noWrap/>
                  <w:vAlign w:val="bottom"/>
                  <w:hideMark/>
                </w:tcPr>
                <w:p w14:paraId="7C7359A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80" w:type="dxa"/>
                  <w:tcBorders>
                    <w:top w:val="nil"/>
                    <w:left w:val="nil"/>
                    <w:bottom w:val="single" w:sz="4" w:space="0" w:color="auto"/>
                    <w:right w:val="nil"/>
                  </w:tcBorders>
                </w:tcPr>
                <w:p w14:paraId="232224E6"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0449AC3" w14:textId="26298D65"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27</w:t>
                  </w:r>
                </w:p>
              </w:tc>
              <w:tc>
                <w:tcPr>
                  <w:tcW w:w="570" w:type="dxa"/>
                  <w:tcBorders>
                    <w:top w:val="nil"/>
                    <w:left w:val="nil"/>
                    <w:bottom w:val="single" w:sz="4" w:space="0" w:color="auto"/>
                    <w:right w:val="single" w:sz="4" w:space="0" w:color="auto"/>
                  </w:tcBorders>
                  <w:shd w:val="clear" w:color="auto" w:fill="auto"/>
                  <w:noWrap/>
                  <w:vAlign w:val="bottom"/>
                  <w:hideMark/>
                </w:tcPr>
                <w:p w14:paraId="12F2255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E8FA09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600" w:type="dxa"/>
                  <w:tcBorders>
                    <w:top w:val="nil"/>
                    <w:left w:val="nil"/>
                    <w:bottom w:val="single" w:sz="4" w:space="0" w:color="auto"/>
                    <w:right w:val="single" w:sz="4" w:space="0" w:color="auto"/>
                  </w:tcBorders>
                  <w:shd w:val="clear" w:color="auto" w:fill="auto"/>
                  <w:noWrap/>
                  <w:vAlign w:val="bottom"/>
                  <w:hideMark/>
                </w:tcPr>
                <w:p w14:paraId="170FE7B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5838457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24</w:t>
                  </w:r>
                </w:p>
              </w:tc>
              <w:tc>
                <w:tcPr>
                  <w:tcW w:w="570" w:type="dxa"/>
                  <w:tcBorders>
                    <w:top w:val="nil"/>
                    <w:left w:val="nil"/>
                    <w:bottom w:val="single" w:sz="4" w:space="0" w:color="auto"/>
                    <w:right w:val="single" w:sz="4" w:space="0" w:color="auto"/>
                  </w:tcBorders>
                  <w:shd w:val="clear" w:color="auto" w:fill="auto"/>
                  <w:noWrap/>
                  <w:vAlign w:val="bottom"/>
                  <w:hideMark/>
                </w:tcPr>
                <w:p w14:paraId="01CCFF9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075B07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2DFF03E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B454A0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C3690B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45B8F7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w:t>
                  </w:r>
                </w:p>
              </w:tc>
              <w:tc>
                <w:tcPr>
                  <w:tcW w:w="543" w:type="dxa"/>
                  <w:tcBorders>
                    <w:top w:val="nil"/>
                    <w:left w:val="nil"/>
                    <w:bottom w:val="single" w:sz="4" w:space="0" w:color="auto"/>
                    <w:right w:val="single" w:sz="4" w:space="0" w:color="auto"/>
                  </w:tcBorders>
                  <w:shd w:val="clear" w:color="auto" w:fill="auto"/>
                  <w:noWrap/>
                  <w:vAlign w:val="bottom"/>
                  <w:hideMark/>
                </w:tcPr>
                <w:p w14:paraId="779B4B7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BAA73C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528CD5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20794E66"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31F111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9DEFF2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AEEB78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7302CF3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4DD54F4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516" w:type="dxa"/>
                  <w:tcBorders>
                    <w:top w:val="nil"/>
                    <w:left w:val="nil"/>
                    <w:bottom w:val="single" w:sz="4" w:space="0" w:color="auto"/>
                    <w:right w:val="single" w:sz="4" w:space="0" w:color="auto"/>
                  </w:tcBorders>
                  <w:shd w:val="clear" w:color="auto" w:fill="auto"/>
                  <w:noWrap/>
                  <w:vAlign w:val="bottom"/>
                  <w:hideMark/>
                </w:tcPr>
                <w:p w14:paraId="0B4EEA8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6D87019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w:t>
                  </w:r>
                </w:p>
              </w:tc>
              <w:tc>
                <w:tcPr>
                  <w:tcW w:w="572" w:type="dxa"/>
                  <w:tcBorders>
                    <w:top w:val="nil"/>
                    <w:left w:val="nil"/>
                    <w:bottom w:val="single" w:sz="4" w:space="0" w:color="auto"/>
                    <w:right w:val="single" w:sz="4" w:space="0" w:color="auto"/>
                  </w:tcBorders>
                  <w:shd w:val="clear" w:color="auto" w:fill="auto"/>
                  <w:noWrap/>
                  <w:vAlign w:val="bottom"/>
                  <w:hideMark/>
                </w:tcPr>
                <w:p w14:paraId="6F542C6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B38810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567" w:type="dxa"/>
                  <w:tcBorders>
                    <w:top w:val="nil"/>
                    <w:left w:val="nil"/>
                    <w:bottom w:val="single" w:sz="4" w:space="0" w:color="auto"/>
                    <w:right w:val="single" w:sz="4" w:space="0" w:color="auto"/>
                  </w:tcBorders>
                  <w:shd w:val="clear" w:color="auto" w:fill="auto"/>
                  <w:noWrap/>
                  <w:vAlign w:val="bottom"/>
                  <w:hideMark/>
                </w:tcPr>
                <w:p w14:paraId="11BB9F8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249E28E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5E39C50" w14:textId="6FEE50C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w:t>
                  </w:r>
                </w:p>
              </w:tc>
              <w:tc>
                <w:tcPr>
                  <w:tcW w:w="570" w:type="dxa"/>
                  <w:tcBorders>
                    <w:top w:val="nil"/>
                    <w:left w:val="nil"/>
                    <w:bottom w:val="single" w:sz="4" w:space="0" w:color="auto"/>
                    <w:right w:val="single" w:sz="4" w:space="0" w:color="auto"/>
                  </w:tcBorders>
                  <w:shd w:val="clear" w:color="auto" w:fill="auto"/>
                  <w:noWrap/>
                  <w:vAlign w:val="bottom"/>
                  <w:hideMark/>
                </w:tcPr>
                <w:p w14:paraId="67F0919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30E103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600" w:type="dxa"/>
                  <w:tcBorders>
                    <w:top w:val="nil"/>
                    <w:left w:val="nil"/>
                    <w:bottom w:val="single" w:sz="4" w:space="0" w:color="auto"/>
                    <w:right w:val="single" w:sz="4" w:space="0" w:color="auto"/>
                  </w:tcBorders>
                  <w:shd w:val="clear" w:color="auto" w:fill="auto"/>
                  <w:noWrap/>
                  <w:vAlign w:val="bottom"/>
                  <w:hideMark/>
                </w:tcPr>
                <w:p w14:paraId="1D91F1D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80" w:type="dxa"/>
                  <w:tcBorders>
                    <w:top w:val="nil"/>
                    <w:left w:val="nil"/>
                    <w:bottom w:val="single" w:sz="4" w:space="0" w:color="auto"/>
                    <w:right w:val="single" w:sz="4" w:space="0" w:color="auto"/>
                  </w:tcBorders>
                  <w:shd w:val="clear" w:color="auto" w:fill="auto"/>
                  <w:noWrap/>
                  <w:vAlign w:val="bottom"/>
                  <w:hideMark/>
                </w:tcPr>
                <w:p w14:paraId="02F6A9D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w:t>
                  </w:r>
                </w:p>
              </w:tc>
              <w:tc>
                <w:tcPr>
                  <w:tcW w:w="570" w:type="dxa"/>
                  <w:tcBorders>
                    <w:top w:val="nil"/>
                    <w:left w:val="nil"/>
                    <w:bottom w:val="single" w:sz="4" w:space="0" w:color="auto"/>
                    <w:right w:val="single" w:sz="4" w:space="0" w:color="auto"/>
                  </w:tcBorders>
                  <w:shd w:val="clear" w:color="auto" w:fill="auto"/>
                  <w:noWrap/>
                  <w:vAlign w:val="bottom"/>
                  <w:hideMark/>
                </w:tcPr>
                <w:p w14:paraId="4BDF029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574028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E91B61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703109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B9FEC8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14122E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w:t>
                  </w:r>
                </w:p>
              </w:tc>
              <w:tc>
                <w:tcPr>
                  <w:tcW w:w="543" w:type="dxa"/>
                  <w:tcBorders>
                    <w:top w:val="nil"/>
                    <w:left w:val="nil"/>
                    <w:bottom w:val="single" w:sz="4" w:space="0" w:color="auto"/>
                    <w:right w:val="single" w:sz="4" w:space="0" w:color="auto"/>
                  </w:tcBorders>
                  <w:shd w:val="clear" w:color="auto" w:fill="auto"/>
                  <w:noWrap/>
                  <w:vAlign w:val="bottom"/>
                  <w:hideMark/>
                </w:tcPr>
                <w:p w14:paraId="1AE4AC1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1A9F23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FBD693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r>
            <w:tr w:rsidR="00837BD6" w:rsidRPr="009E5B39" w14:paraId="3C2FB2A3"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8C1718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602E078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60E4006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5EFCC3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7B79B27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516" w:type="dxa"/>
                  <w:tcBorders>
                    <w:top w:val="nil"/>
                    <w:left w:val="nil"/>
                    <w:bottom w:val="single" w:sz="4" w:space="0" w:color="auto"/>
                    <w:right w:val="single" w:sz="4" w:space="0" w:color="auto"/>
                  </w:tcBorders>
                  <w:shd w:val="clear" w:color="auto" w:fill="auto"/>
                  <w:noWrap/>
                  <w:vAlign w:val="bottom"/>
                  <w:hideMark/>
                </w:tcPr>
                <w:p w14:paraId="06C1702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45F9577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w:t>
                  </w:r>
                </w:p>
              </w:tc>
              <w:tc>
                <w:tcPr>
                  <w:tcW w:w="572" w:type="dxa"/>
                  <w:tcBorders>
                    <w:top w:val="nil"/>
                    <w:left w:val="nil"/>
                    <w:bottom w:val="single" w:sz="4" w:space="0" w:color="auto"/>
                    <w:right w:val="single" w:sz="4" w:space="0" w:color="auto"/>
                  </w:tcBorders>
                  <w:shd w:val="clear" w:color="auto" w:fill="auto"/>
                  <w:noWrap/>
                  <w:vAlign w:val="bottom"/>
                  <w:hideMark/>
                </w:tcPr>
                <w:p w14:paraId="099D90B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CC60C4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567" w:type="dxa"/>
                  <w:tcBorders>
                    <w:top w:val="nil"/>
                    <w:left w:val="nil"/>
                    <w:bottom w:val="single" w:sz="4" w:space="0" w:color="auto"/>
                    <w:right w:val="single" w:sz="4" w:space="0" w:color="auto"/>
                  </w:tcBorders>
                  <w:shd w:val="clear" w:color="auto" w:fill="auto"/>
                  <w:noWrap/>
                  <w:vAlign w:val="bottom"/>
                  <w:hideMark/>
                </w:tcPr>
                <w:p w14:paraId="54D10DE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0853D6B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30F2D28" w14:textId="6294FA5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w:t>
                  </w:r>
                </w:p>
              </w:tc>
              <w:tc>
                <w:tcPr>
                  <w:tcW w:w="570" w:type="dxa"/>
                  <w:tcBorders>
                    <w:top w:val="nil"/>
                    <w:left w:val="nil"/>
                    <w:bottom w:val="single" w:sz="4" w:space="0" w:color="auto"/>
                    <w:right w:val="single" w:sz="4" w:space="0" w:color="auto"/>
                  </w:tcBorders>
                  <w:shd w:val="clear" w:color="auto" w:fill="auto"/>
                  <w:noWrap/>
                  <w:vAlign w:val="bottom"/>
                  <w:hideMark/>
                </w:tcPr>
                <w:p w14:paraId="28445A5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14B349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600" w:type="dxa"/>
                  <w:tcBorders>
                    <w:top w:val="nil"/>
                    <w:left w:val="nil"/>
                    <w:bottom w:val="single" w:sz="4" w:space="0" w:color="auto"/>
                    <w:right w:val="single" w:sz="4" w:space="0" w:color="auto"/>
                  </w:tcBorders>
                  <w:shd w:val="clear" w:color="auto" w:fill="auto"/>
                  <w:noWrap/>
                  <w:vAlign w:val="bottom"/>
                  <w:hideMark/>
                </w:tcPr>
                <w:p w14:paraId="1D2D756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80" w:type="dxa"/>
                  <w:tcBorders>
                    <w:top w:val="nil"/>
                    <w:left w:val="nil"/>
                    <w:bottom w:val="single" w:sz="4" w:space="0" w:color="auto"/>
                    <w:right w:val="single" w:sz="4" w:space="0" w:color="auto"/>
                  </w:tcBorders>
                  <w:shd w:val="clear" w:color="auto" w:fill="auto"/>
                  <w:noWrap/>
                  <w:vAlign w:val="bottom"/>
                  <w:hideMark/>
                </w:tcPr>
                <w:p w14:paraId="73FD9D2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570" w:type="dxa"/>
                  <w:tcBorders>
                    <w:top w:val="nil"/>
                    <w:left w:val="nil"/>
                    <w:bottom w:val="single" w:sz="4" w:space="0" w:color="auto"/>
                    <w:right w:val="single" w:sz="4" w:space="0" w:color="auto"/>
                  </w:tcBorders>
                  <w:shd w:val="clear" w:color="auto" w:fill="auto"/>
                  <w:noWrap/>
                  <w:vAlign w:val="bottom"/>
                  <w:hideMark/>
                </w:tcPr>
                <w:p w14:paraId="6382A58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614128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B1724D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71EC887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A3B568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1726BA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w:t>
                  </w:r>
                </w:p>
              </w:tc>
              <w:tc>
                <w:tcPr>
                  <w:tcW w:w="543" w:type="dxa"/>
                  <w:tcBorders>
                    <w:top w:val="nil"/>
                    <w:left w:val="nil"/>
                    <w:bottom w:val="single" w:sz="4" w:space="0" w:color="auto"/>
                    <w:right w:val="single" w:sz="4" w:space="0" w:color="auto"/>
                  </w:tcBorders>
                  <w:shd w:val="clear" w:color="auto" w:fill="auto"/>
                  <w:noWrap/>
                  <w:vAlign w:val="bottom"/>
                  <w:hideMark/>
                </w:tcPr>
                <w:p w14:paraId="4D98C8D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95EFFB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4C85984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r>
            <w:tr w:rsidR="00837BD6" w:rsidRPr="009E5B39" w14:paraId="4E7967FC"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CE4DEB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4340377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119BCFA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17A1F3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650B9FB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516" w:type="dxa"/>
                  <w:tcBorders>
                    <w:top w:val="nil"/>
                    <w:left w:val="nil"/>
                    <w:bottom w:val="single" w:sz="4" w:space="0" w:color="auto"/>
                    <w:right w:val="single" w:sz="4" w:space="0" w:color="auto"/>
                  </w:tcBorders>
                  <w:shd w:val="clear" w:color="auto" w:fill="auto"/>
                  <w:noWrap/>
                  <w:vAlign w:val="bottom"/>
                  <w:hideMark/>
                </w:tcPr>
                <w:p w14:paraId="09FB5EE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0B740CC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w:t>
                  </w:r>
                </w:p>
              </w:tc>
              <w:tc>
                <w:tcPr>
                  <w:tcW w:w="572" w:type="dxa"/>
                  <w:tcBorders>
                    <w:top w:val="nil"/>
                    <w:left w:val="nil"/>
                    <w:bottom w:val="single" w:sz="4" w:space="0" w:color="auto"/>
                    <w:right w:val="single" w:sz="4" w:space="0" w:color="auto"/>
                  </w:tcBorders>
                  <w:shd w:val="clear" w:color="auto" w:fill="auto"/>
                  <w:noWrap/>
                  <w:vAlign w:val="bottom"/>
                  <w:hideMark/>
                </w:tcPr>
                <w:p w14:paraId="7E1AC76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46041C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49</w:t>
                  </w:r>
                </w:p>
              </w:tc>
              <w:tc>
                <w:tcPr>
                  <w:tcW w:w="567" w:type="dxa"/>
                  <w:tcBorders>
                    <w:top w:val="nil"/>
                    <w:left w:val="nil"/>
                    <w:bottom w:val="single" w:sz="4" w:space="0" w:color="auto"/>
                    <w:right w:val="single" w:sz="4" w:space="0" w:color="auto"/>
                  </w:tcBorders>
                  <w:shd w:val="clear" w:color="auto" w:fill="auto"/>
                  <w:noWrap/>
                  <w:vAlign w:val="bottom"/>
                  <w:hideMark/>
                </w:tcPr>
                <w:p w14:paraId="5BC7A82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5C9E707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58C04D1" w14:textId="135FC89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w:t>
                  </w:r>
                </w:p>
              </w:tc>
              <w:tc>
                <w:tcPr>
                  <w:tcW w:w="570" w:type="dxa"/>
                  <w:tcBorders>
                    <w:top w:val="nil"/>
                    <w:left w:val="nil"/>
                    <w:bottom w:val="single" w:sz="4" w:space="0" w:color="auto"/>
                    <w:right w:val="single" w:sz="4" w:space="0" w:color="auto"/>
                  </w:tcBorders>
                  <w:shd w:val="clear" w:color="auto" w:fill="auto"/>
                  <w:noWrap/>
                  <w:vAlign w:val="bottom"/>
                  <w:hideMark/>
                </w:tcPr>
                <w:p w14:paraId="37A1956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CEE45B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42</w:t>
                  </w:r>
                </w:p>
              </w:tc>
              <w:tc>
                <w:tcPr>
                  <w:tcW w:w="600" w:type="dxa"/>
                  <w:tcBorders>
                    <w:top w:val="nil"/>
                    <w:left w:val="nil"/>
                    <w:bottom w:val="single" w:sz="4" w:space="0" w:color="auto"/>
                    <w:right w:val="single" w:sz="4" w:space="0" w:color="auto"/>
                  </w:tcBorders>
                  <w:shd w:val="clear" w:color="auto" w:fill="auto"/>
                  <w:noWrap/>
                  <w:vAlign w:val="bottom"/>
                  <w:hideMark/>
                </w:tcPr>
                <w:p w14:paraId="6BF59CD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488F3E7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w:t>
                  </w:r>
                </w:p>
              </w:tc>
              <w:tc>
                <w:tcPr>
                  <w:tcW w:w="570" w:type="dxa"/>
                  <w:tcBorders>
                    <w:top w:val="nil"/>
                    <w:left w:val="nil"/>
                    <w:bottom w:val="single" w:sz="4" w:space="0" w:color="auto"/>
                    <w:right w:val="single" w:sz="4" w:space="0" w:color="auto"/>
                  </w:tcBorders>
                  <w:shd w:val="clear" w:color="auto" w:fill="auto"/>
                  <w:noWrap/>
                  <w:vAlign w:val="bottom"/>
                  <w:hideMark/>
                </w:tcPr>
                <w:p w14:paraId="3A5B80F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36E7C1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80" w:type="dxa"/>
                  <w:tcBorders>
                    <w:top w:val="nil"/>
                    <w:left w:val="nil"/>
                    <w:bottom w:val="single" w:sz="4" w:space="0" w:color="auto"/>
                    <w:right w:val="single" w:sz="4" w:space="0" w:color="auto"/>
                  </w:tcBorders>
                  <w:shd w:val="clear" w:color="auto" w:fill="auto"/>
                  <w:noWrap/>
                  <w:vAlign w:val="bottom"/>
                  <w:hideMark/>
                </w:tcPr>
                <w:p w14:paraId="209C20D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0A52D8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40" w:type="dxa"/>
                  <w:tcBorders>
                    <w:top w:val="nil"/>
                    <w:left w:val="nil"/>
                    <w:bottom w:val="single" w:sz="4" w:space="0" w:color="auto"/>
                    <w:right w:val="single" w:sz="4" w:space="0" w:color="auto"/>
                  </w:tcBorders>
                  <w:shd w:val="clear" w:color="auto" w:fill="auto"/>
                  <w:noWrap/>
                  <w:vAlign w:val="bottom"/>
                  <w:hideMark/>
                </w:tcPr>
                <w:p w14:paraId="7BCF6D5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FA2039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w:t>
                  </w:r>
                </w:p>
              </w:tc>
              <w:tc>
                <w:tcPr>
                  <w:tcW w:w="543" w:type="dxa"/>
                  <w:tcBorders>
                    <w:top w:val="nil"/>
                    <w:left w:val="nil"/>
                    <w:bottom w:val="single" w:sz="4" w:space="0" w:color="auto"/>
                    <w:right w:val="single" w:sz="4" w:space="0" w:color="auto"/>
                  </w:tcBorders>
                  <w:shd w:val="clear" w:color="auto" w:fill="auto"/>
                  <w:noWrap/>
                  <w:vAlign w:val="bottom"/>
                  <w:hideMark/>
                </w:tcPr>
                <w:p w14:paraId="657063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3B2FA7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440368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r>
            <w:tr w:rsidR="00837BD6" w:rsidRPr="009E5B39" w14:paraId="495C3835"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2297013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16159C0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5610841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2A8AA1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2B91391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49</w:t>
                  </w:r>
                </w:p>
              </w:tc>
              <w:tc>
                <w:tcPr>
                  <w:tcW w:w="516" w:type="dxa"/>
                  <w:tcBorders>
                    <w:top w:val="nil"/>
                    <w:left w:val="nil"/>
                    <w:bottom w:val="single" w:sz="4" w:space="0" w:color="auto"/>
                    <w:right w:val="single" w:sz="4" w:space="0" w:color="auto"/>
                  </w:tcBorders>
                  <w:shd w:val="clear" w:color="auto" w:fill="auto"/>
                  <w:noWrap/>
                  <w:vAlign w:val="bottom"/>
                  <w:hideMark/>
                </w:tcPr>
                <w:p w14:paraId="7D4855A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5B0A3B1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w:t>
                  </w:r>
                </w:p>
              </w:tc>
              <w:tc>
                <w:tcPr>
                  <w:tcW w:w="572" w:type="dxa"/>
                  <w:tcBorders>
                    <w:top w:val="nil"/>
                    <w:left w:val="nil"/>
                    <w:bottom w:val="single" w:sz="4" w:space="0" w:color="auto"/>
                    <w:right w:val="single" w:sz="4" w:space="0" w:color="auto"/>
                  </w:tcBorders>
                  <w:shd w:val="clear" w:color="auto" w:fill="auto"/>
                  <w:noWrap/>
                  <w:vAlign w:val="bottom"/>
                  <w:hideMark/>
                </w:tcPr>
                <w:p w14:paraId="328991F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2B245F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53</w:t>
                  </w:r>
                </w:p>
              </w:tc>
              <w:tc>
                <w:tcPr>
                  <w:tcW w:w="567" w:type="dxa"/>
                  <w:tcBorders>
                    <w:top w:val="nil"/>
                    <w:left w:val="nil"/>
                    <w:bottom w:val="single" w:sz="4" w:space="0" w:color="auto"/>
                    <w:right w:val="single" w:sz="4" w:space="0" w:color="auto"/>
                  </w:tcBorders>
                  <w:shd w:val="clear" w:color="auto" w:fill="auto"/>
                  <w:noWrap/>
                  <w:vAlign w:val="bottom"/>
                  <w:hideMark/>
                </w:tcPr>
                <w:p w14:paraId="6C32F14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1FD82ABF"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95EA40D" w14:textId="454C6C0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w:t>
                  </w:r>
                </w:p>
              </w:tc>
              <w:tc>
                <w:tcPr>
                  <w:tcW w:w="570" w:type="dxa"/>
                  <w:tcBorders>
                    <w:top w:val="nil"/>
                    <w:left w:val="nil"/>
                    <w:bottom w:val="single" w:sz="4" w:space="0" w:color="auto"/>
                    <w:right w:val="single" w:sz="4" w:space="0" w:color="auto"/>
                  </w:tcBorders>
                  <w:shd w:val="clear" w:color="auto" w:fill="auto"/>
                  <w:noWrap/>
                  <w:vAlign w:val="bottom"/>
                  <w:hideMark/>
                </w:tcPr>
                <w:p w14:paraId="3EC88BB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EA4FB9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41</w:t>
                  </w:r>
                </w:p>
              </w:tc>
              <w:tc>
                <w:tcPr>
                  <w:tcW w:w="600" w:type="dxa"/>
                  <w:tcBorders>
                    <w:top w:val="nil"/>
                    <w:left w:val="nil"/>
                    <w:bottom w:val="single" w:sz="4" w:space="0" w:color="auto"/>
                    <w:right w:val="single" w:sz="4" w:space="0" w:color="auto"/>
                  </w:tcBorders>
                  <w:shd w:val="clear" w:color="auto" w:fill="auto"/>
                  <w:noWrap/>
                  <w:vAlign w:val="bottom"/>
                  <w:hideMark/>
                </w:tcPr>
                <w:p w14:paraId="0A53CED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4C327D1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w:t>
                  </w:r>
                </w:p>
              </w:tc>
              <w:tc>
                <w:tcPr>
                  <w:tcW w:w="570" w:type="dxa"/>
                  <w:tcBorders>
                    <w:top w:val="nil"/>
                    <w:left w:val="nil"/>
                    <w:bottom w:val="single" w:sz="4" w:space="0" w:color="auto"/>
                    <w:right w:val="single" w:sz="4" w:space="0" w:color="auto"/>
                  </w:tcBorders>
                  <w:shd w:val="clear" w:color="auto" w:fill="auto"/>
                  <w:noWrap/>
                  <w:vAlign w:val="bottom"/>
                  <w:hideMark/>
                </w:tcPr>
                <w:p w14:paraId="47F5F90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25E7BC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80" w:type="dxa"/>
                  <w:tcBorders>
                    <w:top w:val="nil"/>
                    <w:left w:val="nil"/>
                    <w:bottom w:val="single" w:sz="4" w:space="0" w:color="auto"/>
                    <w:right w:val="single" w:sz="4" w:space="0" w:color="auto"/>
                  </w:tcBorders>
                  <w:shd w:val="clear" w:color="auto" w:fill="auto"/>
                  <w:noWrap/>
                  <w:vAlign w:val="bottom"/>
                  <w:hideMark/>
                </w:tcPr>
                <w:p w14:paraId="3DC0122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C865D1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40" w:type="dxa"/>
                  <w:tcBorders>
                    <w:top w:val="nil"/>
                    <w:left w:val="nil"/>
                    <w:bottom w:val="single" w:sz="4" w:space="0" w:color="auto"/>
                    <w:right w:val="single" w:sz="4" w:space="0" w:color="auto"/>
                  </w:tcBorders>
                  <w:shd w:val="clear" w:color="auto" w:fill="auto"/>
                  <w:noWrap/>
                  <w:vAlign w:val="bottom"/>
                  <w:hideMark/>
                </w:tcPr>
                <w:p w14:paraId="19ADB77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863F2A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w:t>
                  </w:r>
                </w:p>
              </w:tc>
              <w:tc>
                <w:tcPr>
                  <w:tcW w:w="543" w:type="dxa"/>
                  <w:tcBorders>
                    <w:top w:val="nil"/>
                    <w:left w:val="nil"/>
                    <w:bottom w:val="single" w:sz="4" w:space="0" w:color="auto"/>
                    <w:right w:val="single" w:sz="4" w:space="0" w:color="auto"/>
                  </w:tcBorders>
                  <w:shd w:val="clear" w:color="auto" w:fill="auto"/>
                  <w:noWrap/>
                  <w:vAlign w:val="bottom"/>
                  <w:hideMark/>
                </w:tcPr>
                <w:p w14:paraId="6D5FA5E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96CC7E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D3E47F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r>
            <w:tr w:rsidR="00837BD6" w:rsidRPr="009E5B39" w14:paraId="45048B59"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E522CA"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E74A1E8"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Pretura Centru</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742B4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O7498</w:t>
                  </w:r>
                </w:p>
              </w:tc>
              <w:tc>
                <w:tcPr>
                  <w:tcW w:w="541" w:type="dxa"/>
                  <w:tcBorders>
                    <w:top w:val="nil"/>
                    <w:left w:val="nil"/>
                    <w:bottom w:val="single" w:sz="4" w:space="0" w:color="auto"/>
                    <w:right w:val="single" w:sz="4" w:space="0" w:color="auto"/>
                  </w:tcBorders>
                  <w:shd w:val="clear" w:color="auto" w:fill="auto"/>
                  <w:noWrap/>
                  <w:vAlign w:val="bottom"/>
                  <w:hideMark/>
                </w:tcPr>
                <w:p w14:paraId="12AE2A1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3E90F37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45,5</w:t>
                  </w:r>
                </w:p>
              </w:tc>
              <w:tc>
                <w:tcPr>
                  <w:tcW w:w="516" w:type="dxa"/>
                  <w:tcBorders>
                    <w:top w:val="nil"/>
                    <w:left w:val="nil"/>
                    <w:bottom w:val="single" w:sz="4" w:space="0" w:color="auto"/>
                    <w:right w:val="single" w:sz="4" w:space="0" w:color="auto"/>
                  </w:tcBorders>
                  <w:shd w:val="clear" w:color="auto" w:fill="auto"/>
                  <w:noWrap/>
                  <w:vAlign w:val="bottom"/>
                  <w:hideMark/>
                </w:tcPr>
                <w:p w14:paraId="59D910E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7769F3E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26</w:t>
                  </w:r>
                </w:p>
              </w:tc>
              <w:tc>
                <w:tcPr>
                  <w:tcW w:w="572" w:type="dxa"/>
                  <w:tcBorders>
                    <w:top w:val="nil"/>
                    <w:left w:val="nil"/>
                    <w:bottom w:val="single" w:sz="4" w:space="0" w:color="auto"/>
                    <w:right w:val="single" w:sz="4" w:space="0" w:color="auto"/>
                  </w:tcBorders>
                  <w:shd w:val="clear" w:color="auto" w:fill="auto"/>
                  <w:noWrap/>
                  <w:vAlign w:val="bottom"/>
                  <w:hideMark/>
                </w:tcPr>
                <w:p w14:paraId="36BF1FD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D36429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45,5</w:t>
                  </w:r>
                </w:p>
              </w:tc>
              <w:tc>
                <w:tcPr>
                  <w:tcW w:w="567" w:type="dxa"/>
                  <w:tcBorders>
                    <w:top w:val="nil"/>
                    <w:left w:val="nil"/>
                    <w:bottom w:val="single" w:sz="4" w:space="0" w:color="auto"/>
                    <w:right w:val="single" w:sz="4" w:space="0" w:color="auto"/>
                  </w:tcBorders>
                  <w:shd w:val="clear" w:color="auto" w:fill="auto"/>
                  <w:noWrap/>
                  <w:vAlign w:val="bottom"/>
                  <w:hideMark/>
                </w:tcPr>
                <w:p w14:paraId="05A67F5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80" w:type="dxa"/>
                  <w:tcBorders>
                    <w:top w:val="nil"/>
                    <w:left w:val="nil"/>
                    <w:bottom w:val="single" w:sz="4" w:space="0" w:color="auto"/>
                    <w:right w:val="nil"/>
                  </w:tcBorders>
                </w:tcPr>
                <w:p w14:paraId="0BC3D52E"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F70F610" w14:textId="42ECA6B2"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26</w:t>
                  </w:r>
                </w:p>
              </w:tc>
              <w:tc>
                <w:tcPr>
                  <w:tcW w:w="570" w:type="dxa"/>
                  <w:tcBorders>
                    <w:top w:val="nil"/>
                    <w:left w:val="nil"/>
                    <w:bottom w:val="single" w:sz="4" w:space="0" w:color="auto"/>
                    <w:right w:val="single" w:sz="4" w:space="0" w:color="auto"/>
                  </w:tcBorders>
                  <w:shd w:val="clear" w:color="auto" w:fill="auto"/>
                  <w:noWrap/>
                  <w:vAlign w:val="bottom"/>
                  <w:hideMark/>
                </w:tcPr>
                <w:p w14:paraId="0B9CB78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63894B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600" w:type="dxa"/>
                  <w:tcBorders>
                    <w:top w:val="nil"/>
                    <w:left w:val="nil"/>
                    <w:bottom w:val="single" w:sz="4" w:space="0" w:color="auto"/>
                    <w:right w:val="single" w:sz="4" w:space="0" w:color="auto"/>
                  </w:tcBorders>
                  <w:shd w:val="clear" w:color="auto" w:fill="auto"/>
                  <w:noWrap/>
                  <w:vAlign w:val="bottom"/>
                  <w:hideMark/>
                </w:tcPr>
                <w:p w14:paraId="13AE544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21E3DDD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25</w:t>
                  </w:r>
                </w:p>
              </w:tc>
              <w:tc>
                <w:tcPr>
                  <w:tcW w:w="570" w:type="dxa"/>
                  <w:tcBorders>
                    <w:top w:val="nil"/>
                    <w:left w:val="nil"/>
                    <w:bottom w:val="single" w:sz="4" w:space="0" w:color="auto"/>
                    <w:right w:val="single" w:sz="4" w:space="0" w:color="auto"/>
                  </w:tcBorders>
                  <w:shd w:val="clear" w:color="auto" w:fill="auto"/>
                  <w:noWrap/>
                  <w:vAlign w:val="bottom"/>
                  <w:hideMark/>
                </w:tcPr>
                <w:p w14:paraId="3DC1735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172B75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8F012D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D0FAF9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DCF82B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CD6073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-2,5</w:t>
                  </w:r>
                </w:p>
              </w:tc>
              <w:tc>
                <w:tcPr>
                  <w:tcW w:w="543" w:type="dxa"/>
                  <w:tcBorders>
                    <w:top w:val="nil"/>
                    <w:left w:val="nil"/>
                    <w:bottom w:val="single" w:sz="4" w:space="0" w:color="auto"/>
                    <w:right w:val="single" w:sz="4" w:space="0" w:color="auto"/>
                  </w:tcBorders>
                  <w:shd w:val="clear" w:color="auto" w:fill="auto"/>
                  <w:noWrap/>
                  <w:vAlign w:val="bottom"/>
                  <w:hideMark/>
                </w:tcPr>
                <w:p w14:paraId="19E06C7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1AD67F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479858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r>
            <w:tr w:rsidR="00837BD6" w:rsidRPr="009E5B39" w14:paraId="286A06DD"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5A62A01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14A536A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212E6E6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D4E0EB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0696EC7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45,5</w:t>
                  </w:r>
                </w:p>
              </w:tc>
              <w:tc>
                <w:tcPr>
                  <w:tcW w:w="516" w:type="dxa"/>
                  <w:tcBorders>
                    <w:top w:val="nil"/>
                    <w:left w:val="nil"/>
                    <w:bottom w:val="single" w:sz="4" w:space="0" w:color="auto"/>
                    <w:right w:val="single" w:sz="4" w:space="0" w:color="auto"/>
                  </w:tcBorders>
                  <w:shd w:val="clear" w:color="auto" w:fill="auto"/>
                  <w:noWrap/>
                  <w:vAlign w:val="bottom"/>
                  <w:hideMark/>
                </w:tcPr>
                <w:p w14:paraId="66F9E88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1C5B048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w:t>
                  </w:r>
                </w:p>
              </w:tc>
              <w:tc>
                <w:tcPr>
                  <w:tcW w:w="572" w:type="dxa"/>
                  <w:tcBorders>
                    <w:top w:val="nil"/>
                    <w:left w:val="nil"/>
                    <w:bottom w:val="single" w:sz="4" w:space="0" w:color="auto"/>
                    <w:right w:val="single" w:sz="4" w:space="0" w:color="auto"/>
                  </w:tcBorders>
                  <w:shd w:val="clear" w:color="auto" w:fill="auto"/>
                  <w:noWrap/>
                  <w:vAlign w:val="bottom"/>
                  <w:hideMark/>
                </w:tcPr>
                <w:p w14:paraId="6AC85A7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343A1B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45,5</w:t>
                  </w:r>
                </w:p>
              </w:tc>
              <w:tc>
                <w:tcPr>
                  <w:tcW w:w="567" w:type="dxa"/>
                  <w:tcBorders>
                    <w:top w:val="nil"/>
                    <w:left w:val="nil"/>
                    <w:bottom w:val="single" w:sz="4" w:space="0" w:color="auto"/>
                    <w:right w:val="single" w:sz="4" w:space="0" w:color="auto"/>
                  </w:tcBorders>
                  <w:shd w:val="clear" w:color="auto" w:fill="auto"/>
                  <w:noWrap/>
                  <w:vAlign w:val="bottom"/>
                  <w:hideMark/>
                </w:tcPr>
                <w:p w14:paraId="74A071C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18325C2D"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A38C564" w14:textId="72D6095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w:t>
                  </w:r>
                </w:p>
              </w:tc>
              <w:tc>
                <w:tcPr>
                  <w:tcW w:w="570" w:type="dxa"/>
                  <w:tcBorders>
                    <w:top w:val="nil"/>
                    <w:left w:val="nil"/>
                    <w:bottom w:val="single" w:sz="4" w:space="0" w:color="auto"/>
                    <w:right w:val="single" w:sz="4" w:space="0" w:color="auto"/>
                  </w:tcBorders>
                  <w:shd w:val="clear" w:color="auto" w:fill="auto"/>
                  <w:noWrap/>
                  <w:vAlign w:val="bottom"/>
                  <w:hideMark/>
                </w:tcPr>
                <w:p w14:paraId="7EF963D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07933F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40</w:t>
                  </w:r>
                </w:p>
              </w:tc>
              <w:tc>
                <w:tcPr>
                  <w:tcW w:w="600" w:type="dxa"/>
                  <w:tcBorders>
                    <w:top w:val="nil"/>
                    <w:left w:val="nil"/>
                    <w:bottom w:val="single" w:sz="4" w:space="0" w:color="auto"/>
                    <w:right w:val="single" w:sz="4" w:space="0" w:color="auto"/>
                  </w:tcBorders>
                  <w:shd w:val="clear" w:color="auto" w:fill="auto"/>
                  <w:noWrap/>
                  <w:vAlign w:val="bottom"/>
                  <w:hideMark/>
                </w:tcPr>
                <w:p w14:paraId="04CC199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24FECE4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570" w:type="dxa"/>
                  <w:tcBorders>
                    <w:top w:val="nil"/>
                    <w:left w:val="nil"/>
                    <w:bottom w:val="single" w:sz="4" w:space="0" w:color="auto"/>
                    <w:right w:val="single" w:sz="4" w:space="0" w:color="auto"/>
                  </w:tcBorders>
                  <w:shd w:val="clear" w:color="auto" w:fill="auto"/>
                  <w:noWrap/>
                  <w:vAlign w:val="bottom"/>
                  <w:hideMark/>
                </w:tcPr>
                <w:p w14:paraId="5E3BA55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1432C5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7908B36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DD6B62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115EFD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19E315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-5,5</w:t>
                  </w:r>
                </w:p>
              </w:tc>
              <w:tc>
                <w:tcPr>
                  <w:tcW w:w="543" w:type="dxa"/>
                  <w:tcBorders>
                    <w:top w:val="nil"/>
                    <w:left w:val="nil"/>
                    <w:bottom w:val="single" w:sz="4" w:space="0" w:color="auto"/>
                    <w:right w:val="single" w:sz="4" w:space="0" w:color="auto"/>
                  </w:tcBorders>
                  <w:shd w:val="clear" w:color="auto" w:fill="auto"/>
                  <w:noWrap/>
                  <w:vAlign w:val="bottom"/>
                  <w:hideMark/>
                </w:tcPr>
                <w:p w14:paraId="7CD7BF9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BDD7CF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B0FCE4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r>
            <w:tr w:rsidR="00837BD6" w:rsidRPr="009E5B39" w14:paraId="76941C7D"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6960A4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45141B6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2F6C3CA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66606EC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1C87598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45,5</w:t>
                  </w:r>
                </w:p>
              </w:tc>
              <w:tc>
                <w:tcPr>
                  <w:tcW w:w="516" w:type="dxa"/>
                  <w:tcBorders>
                    <w:top w:val="nil"/>
                    <w:left w:val="nil"/>
                    <w:bottom w:val="single" w:sz="4" w:space="0" w:color="auto"/>
                    <w:right w:val="single" w:sz="4" w:space="0" w:color="auto"/>
                  </w:tcBorders>
                  <w:shd w:val="clear" w:color="auto" w:fill="auto"/>
                  <w:noWrap/>
                  <w:vAlign w:val="bottom"/>
                  <w:hideMark/>
                </w:tcPr>
                <w:p w14:paraId="0F83877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43EF87E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w:t>
                  </w:r>
                </w:p>
              </w:tc>
              <w:tc>
                <w:tcPr>
                  <w:tcW w:w="572" w:type="dxa"/>
                  <w:tcBorders>
                    <w:top w:val="nil"/>
                    <w:left w:val="nil"/>
                    <w:bottom w:val="single" w:sz="4" w:space="0" w:color="auto"/>
                    <w:right w:val="single" w:sz="4" w:space="0" w:color="auto"/>
                  </w:tcBorders>
                  <w:shd w:val="clear" w:color="auto" w:fill="auto"/>
                  <w:noWrap/>
                  <w:vAlign w:val="bottom"/>
                  <w:hideMark/>
                </w:tcPr>
                <w:p w14:paraId="573DE6A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CC5D1C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45,5</w:t>
                  </w:r>
                </w:p>
              </w:tc>
              <w:tc>
                <w:tcPr>
                  <w:tcW w:w="567" w:type="dxa"/>
                  <w:tcBorders>
                    <w:top w:val="nil"/>
                    <w:left w:val="nil"/>
                    <w:bottom w:val="single" w:sz="4" w:space="0" w:color="auto"/>
                    <w:right w:val="single" w:sz="4" w:space="0" w:color="auto"/>
                  </w:tcBorders>
                  <w:shd w:val="clear" w:color="auto" w:fill="auto"/>
                  <w:noWrap/>
                  <w:vAlign w:val="bottom"/>
                  <w:hideMark/>
                </w:tcPr>
                <w:p w14:paraId="4C0CD17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2A020514"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2CBF7D4" w14:textId="5F06FC1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w:t>
                  </w:r>
                </w:p>
              </w:tc>
              <w:tc>
                <w:tcPr>
                  <w:tcW w:w="570" w:type="dxa"/>
                  <w:tcBorders>
                    <w:top w:val="nil"/>
                    <w:left w:val="nil"/>
                    <w:bottom w:val="single" w:sz="4" w:space="0" w:color="auto"/>
                    <w:right w:val="single" w:sz="4" w:space="0" w:color="auto"/>
                  </w:tcBorders>
                  <w:shd w:val="clear" w:color="auto" w:fill="auto"/>
                  <w:noWrap/>
                  <w:vAlign w:val="bottom"/>
                  <w:hideMark/>
                </w:tcPr>
                <w:p w14:paraId="05EF4BB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837B0A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600" w:type="dxa"/>
                  <w:tcBorders>
                    <w:top w:val="nil"/>
                    <w:left w:val="nil"/>
                    <w:bottom w:val="single" w:sz="4" w:space="0" w:color="auto"/>
                    <w:right w:val="single" w:sz="4" w:space="0" w:color="auto"/>
                  </w:tcBorders>
                  <w:shd w:val="clear" w:color="auto" w:fill="auto"/>
                  <w:noWrap/>
                  <w:vAlign w:val="bottom"/>
                  <w:hideMark/>
                </w:tcPr>
                <w:p w14:paraId="1B819B7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5636DE8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w:t>
                  </w:r>
                </w:p>
              </w:tc>
              <w:tc>
                <w:tcPr>
                  <w:tcW w:w="570" w:type="dxa"/>
                  <w:tcBorders>
                    <w:top w:val="nil"/>
                    <w:left w:val="nil"/>
                    <w:bottom w:val="single" w:sz="4" w:space="0" w:color="auto"/>
                    <w:right w:val="single" w:sz="4" w:space="0" w:color="auto"/>
                  </w:tcBorders>
                  <w:shd w:val="clear" w:color="auto" w:fill="auto"/>
                  <w:noWrap/>
                  <w:vAlign w:val="bottom"/>
                  <w:hideMark/>
                </w:tcPr>
                <w:p w14:paraId="1204C6C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C49936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DA9E17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493A76E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62F0675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BBA46C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-7,5</w:t>
                  </w:r>
                </w:p>
              </w:tc>
              <w:tc>
                <w:tcPr>
                  <w:tcW w:w="543" w:type="dxa"/>
                  <w:tcBorders>
                    <w:top w:val="nil"/>
                    <w:left w:val="nil"/>
                    <w:bottom w:val="single" w:sz="4" w:space="0" w:color="auto"/>
                    <w:right w:val="single" w:sz="4" w:space="0" w:color="auto"/>
                  </w:tcBorders>
                  <w:shd w:val="clear" w:color="auto" w:fill="auto"/>
                  <w:noWrap/>
                  <w:vAlign w:val="bottom"/>
                  <w:hideMark/>
                </w:tcPr>
                <w:p w14:paraId="7439507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5D2180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7F113D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r>
            <w:tr w:rsidR="00837BD6" w:rsidRPr="009E5B39" w14:paraId="151AA413"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2B15D68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7FD3E14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7E75E0F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B43657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3398D0C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45,5</w:t>
                  </w:r>
                </w:p>
              </w:tc>
              <w:tc>
                <w:tcPr>
                  <w:tcW w:w="516" w:type="dxa"/>
                  <w:tcBorders>
                    <w:top w:val="nil"/>
                    <w:left w:val="nil"/>
                    <w:bottom w:val="single" w:sz="4" w:space="0" w:color="auto"/>
                    <w:right w:val="single" w:sz="4" w:space="0" w:color="auto"/>
                  </w:tcBorders>
                  <w:shd w:val="clear" w:color="auto" w:fill="auto"/>
                  <w:noWrap/>
                  <w:vAlign w:val="bottom"/>
                  <w:hideMark/>
                </w:tcPr>
                <w:p w14:paraId="088DA1B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3C81609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w:t>
                  </w:r>
                </w:p>
              </w:tc>
              <w:tc>
                <w:tcPr>
                  <w:tcW w:w="572" w:type="dxa"/>
                  <w:tcBorders>
                    <w:top w:val="nil"/>
                    <w:left w:val="nil"/>
                    <w:bottom w:val="single" w:sz="4" w:space="0" w:color="auto"/>
                    <w:right w:val="single" w:sz="4" w:space="0" w:color="auto"/>
                  </w:tcBorders>
                  <w:shd w:val="clear" w:color="auto" w:fill="auto"/>
                  <w:noWrap/>
                  <w:vAlign w:val="bottom"/>
                  <w:hideMark/>
                </w:tcPr>
                <w:p w14:paraId="4A625CE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A93465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49,5</w:t>
                  </w:r>
                </w:p>
              </w:tc>
              <w:tc>
                <w:tcPr>
                  <w:tcW w:w="567" w:type="dxa"/>
                  <w:tcBorders>
                    <w:top w:val="nil"/>
                    <w:left w:val="nil"/>
                    <w:bottom w:val="single" w:sz="4" w:space="0" w:color="auto"/>
                    <w:right w:val="single" w:sz="4" w:space="0" w:color="auto"/>
                  </w:tcBorders>
                  <w:shd w:val="clear" w:color="auto" w:fill="auto"/>
                  <w:noWrap/>
                  <w:vAlign w:val="bottom"/>
                  <w:hideMark/>
                </w:tcPr>
                <w:p w14:paraId="3EFF30F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7BF3FAA3"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F05F24E" w14:textId="2A899A5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w:t>
                  </w:r>
                </w:p>
              </w:tc>
              <w:tc>
                <w:tcPr>
                  <w:tcW w:w="570" w:type="dxa"/>
                  <w:tcBorders>
                    <w:top w:val="nil"/>
                    <w:left w:val="nil"/>
                    <w:bottom w:val="single" w:sz="4" w:space="0" w:color="auto"/>
                    <w:right w:val="single" w:sz="4" w:space="0" w:color="auto"/>
                  </w:tcBorders>
                  <w:shd w:val="clear" w:color="auto" w:fill="auto"/>
                  <w:noWrap/>
                  <w:vAlign w:val="bottom"/>
                  <w:hideMark/>
                </w:tcPr>
                <w:p w14:paraId="022D893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7F66FA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36</w:t>
                  </w:r>
                </w:p>
              </w:tc>
              <w:tc>
                <w:tcPr>
                  <w:tcW w:w="600" w:type="dxa"/>
                  <w:tcBorders>
                    <w:top w:val="nil"/>
                    <w:left w:val="nil"/>
                    <w:bottom w:val="single" w:sz="4" w:space="0" w:color="auto"/>
                    <w:right w:val="single" w:sz="4" w:space="0" w:color="auto"/>
                  </w:tcBorders>
                  <w:shd w:val="clear" w:color="auto" w:fill="auto"/>
                  <w:noWrap/>
                  <w:vAlign w:val="bottom"/>
                  <w:hideMark/>
                </w:tcPr>
                <w:p w14:paraId="3427387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80" w:type="dxa"/>
                  <w:tcBorders>
                    <w:top w:val="nil"/>
                    <w:left w:val="nil"/>
                    <w:bottom w:val="single" w:sz="4" w:space="0" w:color="auto"/>
                    <w:right w:val="single" w:sz="4" w:space="0" w:color="auto"/>
                  </w:tcBorders>
                  <w:shd w:val="clear" w:color="auto" w:fill="auto"/>
                  <w:noWrap/>
                  <w:vAlign w:val="bottom"/>
                  <w:hideMark/>
                </w:tcPr>
                <w:p w14:paraId="5FAEC87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w:t>
                  </w:r>
                </w:p>
              </w:tc>
              <w:tc>
                <w:tcPr>
                  <w:tcW w:w="570" w:type="dxa"/>
                  <w:tcBorders>
                    <w:top w:val="nil"/>
                    <w:left w:val="nil"/>
                    <w:bottom w:val="single" w:sz="4" w:space="0" w:color="auto"/>
                    <w:right w:val="single" w:sz="4" w:space="0" w:color="auto"/>
                  </w:tcBorders>
                  <w:shd w:val="clear" w:color="auto" w:fill="auto"/>
                  <w:noWrap/>
                  <w:vAlign w:val="bottom"/>
                  <w:hideMark/>
                </w:tcPr>
                <w:p w14:paraId="4F4D216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D07FBC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80" w:type="dxa"/>
                  <w:tcBorders>
                    <w:top w:val="nil"/>
                    <w:left w:val="nil"/>
                    <w:bottom w:val="single" w:sz="4" w:space="0" w:color="auto"/>
                    <w:right w:val="single" w:sz="4" w:space="0" w:color="auto"/>
                  </w:tcBorders>
                  <w:shd w:val="clear" w:color="auto" w:fill="auto"/>
                  <w:noWrap/>
                  <w:vAlign w:val="bottom"/>
                  <w:hideMark/>
                </w:tcPr>
                <w:p w14:paraId="16540A4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11BADC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40" w:type="dxa"/>
                  <w:tcBorders>
                    <w:top w:val="nil"/>
                    <w:left w:val="nil"/>
                    <w:bottom w:val="single" w:sz="4" w:space="0" w:color="auto"/>
                    <w:right w:val="single" w:sz="4" w:space="0" w:color="auto"/>
                  </w:tcBorders>
                  <w:shd w:val="clear" w:color="auto" w:fill="auto"/>
                  <w:noWrap/>
                  <w:vAlign w:val="bottom"/>
                  <w:hideMark/>
                </w:tcPr>
                <w:p w14:paraId="0DE6463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61FA7A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-13,5</w:t>
                  </w:r>
                </w:p>
              </w:tc>
              <w:tc>
                <w:tcPr>
                  <w:tcW w:w="543" w:type="dxa"/>
                  <w:tcBorders>
                    <w:top w:val="nil"/>
                    <w:left w:val="nil"/>
                    <w:bottom w:val="single" w:sz="4" w:space="0" w:color="auto"/>
                    <w:right w:val="single" w:sz="4" w:space="0" w:color="auto"/>
                  </w:tcBorders>
                  <w:shd w:val="clear" w:color="auto" w:fill="auto"/>
                  <w:noWrap/>
                  <w:vAlign w:val="bottom"/>
                  <w:hideMark/>
                </w:tcPr>
                <w:p w14:paraId="176FBA6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44F3AF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E94FF7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r>
            <w:tr w:rsidR="00837BD6" w:rsidRPr="009E5B39" w14:paraId="48512D9F"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A1526D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87F2FC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225928A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17896E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1A431EA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49,5</w:t>
                  </w:r>
                </w:p>
              </w:tc>
              <w:tc>
                <w:tcPr>
                  <w:tcW w:w="516" w:type="dxa"/>
                  <w:tcBorders>
                    <w:top w:val="nil"/>
                    <w:left w:val="nil"/>
                    <w:bottom w:val="single" w:sz="4" w:space="0" w:color="auto"/>
                    <w:right w:val="single" w:sz="4" w:space="0" w:color="auto"/>
                  </w:tcBorders>
                  <w:shd w:val="clear" w:color="auto" w:fill="auto"/>
                  <w:noWrap/>
                  <w:vAlign w:val="bottom"/>
                  <w:hideMark/>
                </w:tcPr>
                <w:p w14:paraId="1BFAA4C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798F8F0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w:t>
                  </w:r>
                </w:p>
              </w:tc>
              <w:tc>
                <w:tcPr>
                  <w:tcW w:w="572" w:type="dxa"/>
                  <w:tcBorders>
                    <w:top w:val="nil"/>
                    <w:left w:val="nil"/>
                    <w:bottom w:val="single" w:sz="4" w:space="0" w:color="auto"/>
                    <w:right w:val="single" w:sz="4" w:space="0" w:color="auto"/>
                  </w:tcBorders>
                  <w:shd w:val="clear" w:color="auto" w:fill="auto"/>
                  <w:noWrap/>
                  <w:vAlign w:val="bottom"/>
                  <w:hideMark/>
                </w:tcPr>
                <w:p w14:paraId="136DDBC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8942C3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53,5</w:t>
                  </w:r>
                </w:p>
              </w:tc>
              <w:tc>
                <w:tcPr>
                  <w:tcW w:w="567" w:type="dxa"/>
                  <w:tcBorders>
                    <w:top w:val="nil"/>
                    <w:left w:val="nil"/>
                    <w:bottom w:val="single" w:sz="4" w:space="0" w:color="auto"/>
                    <w:right w:val="single" w:sz="4" w:space="0" w:color="auto"/>
                  </w:tcBorders>
                  <w:shd w:val="clear" w:color="auto" w:fill="auto"/>
                  <w:noWrap/>
                  <w:vAlign w:val="bottom"/>
                  <w:hideMark/>
                </w:tcPr>
                <w:p w14:paraId="67702CA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7B69DB9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56E6014" w14:textId="59E32E0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w:t>
                  </w:r>
                </w:p>
              </w:tc>
              <w:tc>
                <w:tcPr>
                  <w:tcW w:w="570" w:type="dxa"/>
                  <w:tcBorders>
                    <w:top w:val="nil"/>
                    <w:left w:val="nil"/>
                    <w:bottom w:val="single" w:sz="4" w:space="0" w:color="auto"/>
                    <w:right w:val="single" w:sz="4" w:space="0" w:color="auto"/>
                  </w:tcBorders>
                  <w:shd w:val="clear" w:color="auto" w:fill="auto"/>
                  <w:noWrap/>
                  <w:vAlign w:val="bottom"/>
                  <w:hideMark/>
                </w:tcPr>
                <w:p w14:paraId="0668D5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EDF00F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47</w:t>
                  </w:r>
                </w:p>
              </w:tc>
              <w:tc>
                <w:tcPr>
                  <w:tcW w:w="600" w:type="dxa"/>
                  <w:tcBorders>
                    <w:top w:val="nil"/>
                    <w:left w:val="nil"/>
                    <w:bottom w:val="single" w:sz="4" w:space="0" w:color="auto"/>
                    <w:right w:val="single" w:sz="4" w:space="0" w:color="auto"/>
                  </w:tcBorders>
                  <w:shd w:val="clear" w:color="auto" w:fill="auto"/>
                  <w:noWrap/>
                  <w:vAlign w:val="bottom"/>
                  <w:hideMark/>
                </w:tcPr>
                <w:p w14:paraId="4C343E3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0B42EEC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w:t>
                  </w:r>
                </w:p>
              </w:tc>
              <w:tc>
                <w:tcPr>
                  <w:tcW w:w="570" w:type="dxa"/>
                  <w:tcBorders>
                    <w:top w:val="nil"/>
                    <w:left w:val="nil"/>
                    <w:bottom w:val="single" w:sz="4" w:space="0" w:color="auto"/>
                    <w:right w:val="single" w:sz="4" w:space="0" w:color="auto"/>
                  </w:tcBorders>
                  <w:shd w:val="clear" w:color="auto" w:fill="auto"/>
                  <w:noWrap/>
                  <w:vAlign w:val="bottom"/>
                  <w:hideMark/>
                </w:tcPr>
                <w:p w14:paraId="21CF811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097402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80" w:type="dxa"/>
                  <w:tcBorders>
                    <w:top w:val="nil"/>
                    <w:left w:val="nil"/>
                    <w:bottom w:val="single" w:sz="4" w:space="0" w:color="auto"/>
                    <w:right w:val="single" w:sz="4" w:space="0" w:color="auto"/>
                  </w:tcBorders>
                  <w:shd w:val="clear" w:color="auto" w:fill="auto"/>
                  <w:noWrap/>
                  <w:vAlign w:val="bottom"/>
                  <w:hideMark/>
                </w:tcPr>
                <w:p w14:paraId="3585870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E9A672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40" w:type="dxa"/>
                  <w:tcBorders>
                    <w:top w:val="nil"/>
                    <w:left w:val="nil"/>
                    <w:bottom w:val="single" w:sz="4" w:space="0" w:color="auto"/>
                    <w:right w:val="single" w:sz="4" w:space="0" w:color="auto"/>
                  </w:tcBorders>
                  <w:shd w:val="clear" w:color="auto" w:fill="auto"/>
                  <w:noWrap/>
                  <w:vAlign w:val="bottom"/>
                  <w:hideMark/>
                </w:tcPr>
                <w:p w14:paraId="6474C2F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E68A8F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-6,5</w:t>
                  </w:r>
                </w:p>
              </w:tc>
              <w:tc>
                <w:tcPr>
                  <w:tcW w:w="543" w:type="dxa"/>
                  <w:tcBorders>
                    <w:top w:val="nil"/>
                    <w:left w:val="nil"/>
                    <w:bottom w:val="single" w:sz="4" w:space="0" w:color="auto"/>
                    <w:right w:val="single" w:sz="4" w:space="0" w:color="auto"/>
                  </w:tcBorders>
                  <w:shd w:val="clear" w:color="auto" w:fill="auto"/>
                  <w:noWrap/>
                  <w:vAlign w:val="bottom"/>
                  <w:hideMark/>
                </w:tcPr>
                <w:p w14:paraId="4026014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D0B4DC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5B33DA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r>
            <w:tr w:rsidR="00837BD6" w:rsidRPr="009E5B39" w14:paraId="3906DC6B"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50139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40B5D3F"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Pretura Ciocana</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04FCF3"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O7459</w:t>
                  </w:r>
                </w:p>
              </w:tc>
              <w:tc>
                <w:tcPr>
                  <w:tcW w:w="541" w:type="dxa"/>
                  <w:tcBorders>
                    <w:top w:val="nil"/>
                    <w:left w:val="nil"/>
                    <w:bottom w:val="single" w:sz="4" w:space="0" w:color="auto"/>
                    <w:right w:val="single" w:sz="4" w:space="0" w:color="auto"/>
                  </w:tcBorders>
                  <w:shd w:val="clear" w:color="auto" w:fill="auto"/>
                  <w:noWrap/>
                  <w:vAlign w:val="bottom"/>
                  <w:hideMark/>
                </w:tcPr>
                <w:p w14:paraId="6168BF8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0A899D2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516" w:type="dxa"/>
                  <w:tcBorders>
                    <w:top w:val="nil"/>
                    <w:left w:val="nil"/>
                    <w:bottom w:val="single" w:sz="4" w:space="0" w:color="auto"/>
                    <w:right w:val="single" w:sz="4" w:space="0" w:color="auto"/>
                  </w:tcBorders>
                  <w:shd w:val="clear" w:color="auto" w:fill="auto"/>
                  <w:noWrap/>
                  <w:vAlign w:val="bottom"/>
                  <w:hideMark/>
                </w:tcPr>
                <w:p w14:paraId="5C5EB09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37A97F6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25</w:t>
                  </w:r>
                </w:p>
              </w:tc>
              <w:tc>
                <w:tcPr>
                  <w:tcW w:w="572" w:type="dxa"/>
                  <w:tcBorders>
                    <w:top w:val="nil"/>
                    <w:left w:val="nil"/>
                    <w:bottom w:val="single" w:sz="4" w:space="0" w:color="auto"/>
                    <w:right w:val="single" w:sz="4" w:space="0" w:color="auto"/>
                  </w:tcBorders>
                  <w:shd w:val="clear" w:color="auto" w:fill="auto"/>
                  <w:noWrap/>
                  <w:vAlign w:val="bottom"/>
                  <w:hideMark/>
                </w:tcPr>
                <w:p w14:paraId="7C885CA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656E67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567" w:type="dxa"/>
                  <w:tcBorders>
                    <w:top w:val="nil"/>
                    <w:left w:val="nil"/>
                    <w:bottom w:val="single" w:sz="4" w:space="0" w:color="auto"/>
                    <w:right w:val="single" w:sz="4" w:space="0" w:color="auto"/>
                  </w:tcBorders>
                  <w:shd w:val="clear" w:color="auto" w:fill="auto"/>
                  <w:noWrap/>
                  <w:vAlign w:val="bottom"/>
                  <w:hideMark/>
                </w:tcPr>
                <w:p w14:paraId="1ED3D91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80" w:type="dxa"/>
                  <w:tcBorders>
                    <w:top w:val="nil"/>
                    <w:left w:val="nil"/>
                    <w:bottom w:val="single" w:sz="4" w:space="0" w:color="auto"/>
                    <w:right w:val="nil"/>
                  </w:tcBorders>
                </w:tcPr>
                <w:p w14:paraId="5B77CBB0"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03D19BB" w14:textId="271B4020"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25</w:t>
                  </w:r>
                </w:p>
              </w:tc>
              <w:tc>
                <w:tcPr>
                  <w:tcW w:w="570" w:type="dxa"/>
                  <w:tcBorders>
                    <w:top w:val="nil"/>
                    <w:left w:val="nil"/>
                    <w:bottom w:val="single" w:sz="4" w:space="0" w:color="auto"/>
                    <w:right w:val="single" w:sz="4" w:space="0" w:color="auto"/>
                  </w:tcBorders>
                  <w:shd w:val="clear" w:color="auto" w:fill="auto"/>
                  <w:noWrap/>
                  <w:vAlign w:val="bottom"/>
                  <w:hideMark/>
                </w:tcPr>
                <w:p w14:paraId="0310FFD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E348E7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37</w:t>
                  </w:r>
                </w:p>
              </w:tc>
              <w:tc>
                <w:tcPr>
                  <w:tcW w:w="600" w:type="dxa"/>
                  <w:tcBorders>
                    <w:top w:val="nil"/>
                    <w:left w:val="nil"/>
                    <w:bottom w:val="single" w:sz="4" w:space="0" w:color="auto"/>
                    <w:right w:val="single" w:sz="4" w:space="0" w:color="auto"/>
                  </w:tcBorders>
                  <w:shd w:val="clear" w:color="auto" w:fill="auto"/>
                  <w:noWrap/>
                  <w:vAlign w:val="bottom"/>
                  <w:hideMark/>
                </w:tcPr>
                <w:p w14:paraId="014A222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140D287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21</w:t>
                  </w:r>
                </w:p>
              </w:tc>
              <w:tc>
                <w:tcPr>
                  <w:tcW w:w="570" w:type="dxa"/>
                  <w:tcBorders>
                    <w:top w:val="nil"/>
                    <w:left w:val="nil"/>
                    <w:bottom w:val="single" w:sz="4" w:space="0" w:color="auto"/>
                    <w:right w:val="single" w:sz="4" w:space="0" w:color="auto"/>
                  </w:tcBorders>
                  <w:shd w:val="clear" w:color="auto" w:fill="auto"/>
                  <w:noWrap/>
                  <w:vAlign w:val="bottom"/>
                  <w:hideMark/>
                </w:tcPr>
                <w:p w14:paraId="57D6C94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5F3AE6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07650E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60988B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6CE276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DC95A6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w:t>
                  </w:r>
                </w:p>
              </w:tc>
              <w:tc>
                <w:tcPr>
                  <w:tcW w:w="543" w:type="dxa"/>
                  <w:tcBorders>
                    <w:top w:val="nil"/>
                    <w:left w:val="nil"/>
                    <w:bottom w:val="single" w:sz="4" w:space="0" w:color="auto"/>
                    <w:right w:val="single" w:sz="4" w:space="0" w:color="auto"/>
                  </w:tcBorders>
                  <w:shd w:val="clear" w:color="auto" w:fill="auto"/>
                  <w:noWrap/>
                  <w:vAlign w:val="bottom"/>
                  <w:hideMark/>
                </w:tcPr>
                <w:p w14:paraId="309D002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21C760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68E8761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r>
            <w:tr w:rsidR="00837BD6" w:rsidRPr="009E5B39" w14:paraId="7C6955BD"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5742D81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A683DA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4C10EC1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403E9E8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3D53746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516" w:type="dxa"/>
                  <w:tcBorders>
                    <w:top w:val="nil"/>
                    <w:left w:val="nil"/>
                    <w:bottom w:val="single" w:sz="4" w:space="0" w:color="auto"/>
                    <w:right w:val="single" w:sz="4" w:space="0" w:color="auto"/>
                  </w:tcBorders>
                  <w:shd w:val="clear" w:color="auto" w:fill="auto"/>
                  <w:noWrap/>
                  <w:vAlign w:val="bottom"/>
                  <w:hideMark/>
                </w:tcPr>
                <w:p w14:paraId="45A5A6C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7EFCEB5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c>
                <w:tcPr>
                  <w:tcW w:w="572" w:type="dxa"/>
                  <w:tcBorders>
                    <w:top w:val="nil"/>
                    <w:left w:val="nil"/>
                    <w:bottom w:val="single" w:sz="4" w:space="0" w:color="auto"/>
                    <w:right w:val="single" w:sz="4" w:space="0" w:color="auto"/>
                  </w:tcBorders>
                  <w:shd w:val="clear" w:color="auto" w:fill="auto"/>
                  <w:noWrap/>
                  <w:vAlign w:val="bottom"/>
                  <w:hideMark/>
                </w:tcPr>
                <w:p w14:paraId="47DCBBB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A1A89A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567" w:type="dxa"/>
                  <w:tcBorders>
                    <w:top w:val="nil"/>
                    <w:left w:val="nil"/>
                    <w:bottom w:val="single" w:sz="4" w:space="0" w:color="auto"/>
                    <w:right w:val="single" w:sz="4" w:space="0" w:color="auto"/>
                  </w:tcBorders>
                  <w:shd w:val="clear" w:color="auto" w:fill="auto"/>
                  <w:noWrap/>
                  <w:vAlign w:val="bottom"/>
                  <w:hideMark/>
                </w:tcPr>
                <w:p w14:paraId="67210AD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038B47EC"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9A9B524" w14:textId="1DCE046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c>
                <w:tcPr>
                  <w:tcW w:w="570" w:type="dxa"/>
                  <w:tcBorders>
                    <w:top w:val="nil"/>
                    <w:left w:val="nil"/>
                    <w:bottom w:val="single" w:sz="4" w:space="0" w:color="auto"/>
                    <w:right w:val="single" w:sz="4" w:space="0" w:color="auto"/>
                  </w:tcBorders>
                  <w:shd w:val="clear" w:color="auto" w:fill="auto"/>
                  <w:noWrap/>
                  <w:vAlign w:val="bottom"/>
                  <w:hideMark/>
                </w:tcPr>
                <w:p w14:paraId="7E971A8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5E11E4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36</w:t>
                  </w:r>
                </w:p>
              </w:tc>
              <w:tc>
                <w:tcPr>
                  <w:tcW w:w="600" w:type="dxa"/>
                  <w:tcBorders>
                    <w:top w:val="nil"/>
                    <w:left w:val="nil"/>
                    <w:bottom w:val="single" w:sz="4" w:space="0" w:color="auto"/>
                    <w:right w:val="single" w:sz="4" w:space="0" w:color="auto"/>
                  </w:tcBorders>
                  <w:shd w:val="clear" w:color="auto" w:fill="auto"/>
                  <w:noWrap/>
                  <w:vAlign w:val="bottom"/>
                  <w:hideMark/>
                </w:tcPr>
                <w:p w14:paraId="2853926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80" w:type="dxa"/>
                  <w:tcBorders>
                    <w:top w:val="nil"/>
                    <w:left w:val="nil"/>
                    <w:bottom w:val="single" w:sz="4" w:space="0" w:color="auto"/>
                    <w:right w:val="single" w:sz="4" w:space="0" w:color="auto"/>
                  </w:tcBorders>
                  <w:shd w:val="clear" w:color="auto" w:fill="auto"/>
                  <w:noWrap/>
                  <w:vAlign w:val="bottom"/>
                  <w:hideMark/>
                </w:tcPr>
                <w:p w14:paraId="2923BED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w:t>
                  </w:r>
                </w:p>
              </w:tc>
              <w:tc>
                <w:tcPr>
                  <w:tcW w:w="570" w:type="dxa"/>
                  <w:tcBorders>
                    <w:top w:val="nil"/>
                    <w:left w:val="nil"/>
                    <w:bottom w:val="single" w:sz="4" w:space="0" w:color="auto"/>
                    <w:right w:val="single" w:sz="4" w:space="0" w:color="auto"/>
                  </w:tcBorders>
                  <w:shd w:val="clear" w:color="auto" w:fill="auto"/>
                  <w:noWrap/>
                  <w:vAlign w:val="bottom"/>
                  <w:hideMark/>
                </w:tcPr>
                <w:p w14:paraId="5B5C7CD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62E3C4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6CBCA3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43193F9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AA9C37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DBBD7B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w:t>
                  </w:r>
                </w:p>
              </w:tc>
              <w:tc>
                <w:tcPr>
                  <w:tcW w:w="543" w:type="dxa"/>
                  <w:tcBorders>
                    <w:top w:val="nil"/>
                    <w:left w:val="nil"/>
                    <w:bottom w:val="single" w:sz="4" w:space="0" w:color="auto"/>
                    <w:right w:val="single" w:sz="4" w:space="0" w:color="auto"/>
                  </w:tcBorders>
                  <w:shd w:val="clear" w:color="auto" w:fill="auto"/>
                  <w:noWrap/>
                  <w:vAlign w:val="bottom"/>
                  <w:hideMark/>
                </w:tcPr>
                <w:p w14:paraId="4A4F3F2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D36936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1C2E21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31364215"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700B206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75E618A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174CC2C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76D8BC0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73B26F2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516" w:type="dxa"/>
                  <w:tcBorders>
                    <w:top w:val="nil"/>
                    <w:left w:val="nil"/>
                    <w:bottom w:val="single" w:sz="4" w:space="0" w:color="auto"/>
                    <w:right w:val="single" w:sz="4" w:space="0" w:color="auto"/>
                  </w:tcBorders>
                  <w:shd w:val="clear" w:color="auto" w:fill="auto"/>
                  <w:noWrap/>
                  <w:vAlign w:val="bottom"/>
                  <w:hideMark/>
                </w:tcPr>
                <w:p w14:paraId="1F5EE28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1625AAF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c>
                <w:tcPr>
                  <w:tcW w:w="572" w:type="dxa"/>
                  <w:tcBorders>
                    <w:top w:val="nil"/>
                    <w:left w:val="nil"/>
                    <w:bottom w:val="single" w:sz="4" w:space="0" w:color="auto"/>
                    <w:right w:val="single" w:sz="4" w:space="0" w:color="auto"/>
                  </w:tcBorders>
                  <w:shd w:val="clear" w:color="auto" w:fill="auto"/>
                  <w:noWrap/>
                  <w:vAlign w:val="bottom"/>
                  <w:hideMark/>
                </w:tcPr>
                <w:p w14:paraId="3E1C8F9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8BE314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567" w:type="dxa"/>
                  <w:tcBorders>
                    <w:top w:val="nil"/>
                    <w:left w:val="nil"/>
                    <w:bottom w:val="single" w:sz="4" w:space="0" w:color="auto"/>
                    <w:right w:val="single" w:sz="4" w:space="0" w:color="auto"/>
                  </w:tcBorders>
                  <w:shd w:val="clear" w:color="auto" w:fill="auto"/>
                  <w:noWrap/>
                  <w:vAlign w:val="bottom"/>
                  <w:hideMark/>
                </w:tcPr>
                <w:p w14:paraId="637485C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34C81EEB"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83DAE44" w14:textId="1152E92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c>
                <w:tcPr>
                  <w:tcW w:w="570" w:type="dxa"/>
                  <w:tcBorders>
                    <w:top w:val="nil"/>
                    <w:left w:val="nil"/>
                    <w:bottom w:val="single" w:sz="4" w:space="0" w:color="auto"/>
                    <w:right w:val="single" w:sz="4" w:space="0" w:color="auto"/>
                  </w:tcBorders>
                  <w:shd w:val="clear" w:color="auto" w:fill="auto"/>
                  <w:noWrap/>
                  <w:vAlign w:val="bottom"/>
                  <w:hideMark/>
                </w:tcPr>
                <w:p w14:paraId="4153214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D313C1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42</w:t>
                  </w:r>
                </w:p>
              </w:tc>
              <w:tc>
                <w:tcPr>
                  <w:tcW w:w="600" w:type="dxa"/>
                  <w:tcBorders>
                    <w:top w:val="nil"/>
                    <w:left w:val="nil"/>
                    <w:bottom w:val="single" w:sz="4" w:space="0" w:color="auto"/>
                    <w:right w:val="single" w:sz="4" w:space="0" w:color="auto"/>
                  </w:tcBorders>
                  <w:shd w:val="clear" w:color="auto" w:fill="auto"/>
                  <w:noWrap/>
                  <w:vAlign w:val="bottom"/>
                  <w:hideMark/>
                </w:tcPr>
                <w:p w14:paraId="54DB5C9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7E7C71C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c>
                <w:tcPr>
                  <w:tcW w:w="570" w:type="dxa"/>
                  <w:tcBorders>
                    <w:top w:val="nil"/>
                    <w:left w:val="nil"/>
                    <w:bottom w:val="single" w:sz="4" w:space="0" w:color="auto"/>
                    <w:right w:val="single" w:sz="4" w:space="0" w:color="auto"/>
                  </w:tcBorders>
                  <w:shd w:val="clear" w:color="auto" w:fill="auto"/>
                  <w:noWrap/>
                  <w:vAlign w:val="bottom"/>
                  <w:hideMark/>
                </w:tcPr>
                <w:p w14:paraId="07251C5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5BBCDD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0D5052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73384A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5E74F28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78A088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543" w:type="dxa"/>
                  <w:tcBorders>
                    <w:top w:val="nil"/>
                    <w:left w:val="nil"/>
                    <w:bottom w:val="single" w:sz="4" w:space="0" w:color="auto"/>
                    <w:right w:val="single" w:sz="4" w:space="0" w:color="auto"/>
                  </w:tcBorders>
                  <w:shd w:val="clear" w:color="auto" w:fill="auto"/>
                  <w:noWrap/>
                  <w:vAlign w:val="bottom"/>
                  <w:hideMark/>
                </w:tcPr>
                <w:p w14:paraId="15767B4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D64819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3CCC1D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r>
            <w:tr w:rsidR="00837BD6" w:rsidRPr="009E5B39" w14:paraId="5C5A848D"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991F0B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ECBF16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0F89EE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4CF4333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4F5DD37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516" w:type="dxa"/>
                  <w:tcBorders>
                    <w:top w:val="nil"/>
                    <w:left w:val="nil"/>
                    <w:bottom w:val="single" w:sz="4" w:space="0" w:color="auto"/>
                    <w:right w:val="single" w:sz="4" w:space="0" w:color="auto"/>
                  </w:tcBorders>
                  <w:shd w:val="clear" w:color="auto" w:fill="auto"/>
                  <w:noWrap/>
                  <w:vAlign w:val="bottom"/>
                  <w:hideMark/>
                </w:tcPr>
                <w:p w14:paraId="5D87750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30A212E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c>
                <w:tcPr>
                  <w:tcW w:w="572" w:type="dxa"/>
                  <w:tcBorders>
                    <w:top w:val="nil"/>
                    <w:left w:val="nil"/>
                    <w:bottom w:val="single" w:sz="4" w:space="0" w:color="auto"/>
                    <w:right w:val="single" w:sz="4" w:space="0" w:color="auto"/>
                  </w:tcBorders>
                  <w:shd w:val="clear" w:color="auto" w:fill="auto"/>
                  <w:noWrap/>
                  <w:vAlign w:val="bottom"/>
                  <w:hideMark/>
                </w:tcPr>
                <w:p w14:paraId="54BBA43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D98E28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48</w:t>
                  </w:r>
                </w:p>
              </w:tc>
              <w:tc>
                <w:tcPr>
                  <w:tcW w:w="567" w:type="dxa"/>
                  <w:tcBorders>
                    <w:top w:val="nil"/>
                    <w:left w:val="nil"/>
                    <w:bottom w:val="single" w:sz="4" w:space="0" w:color="auto"/>
                    <w:right w:val="single" w:sz="4" w:space="0" w:color="auto"/>
                  </w:tcBorders>
                  <w:shd w:val="clear" w:color="auto" w:fill="auto"/>
                  <w:noWrap/>
                  <w:vAlign w:val="bottom"/>
                  <w:hideMark/>
                </w:tcPr>
                <w:p w14:paraId="2D37F0A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2BE9EBBC"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617D756" w14:textId="7C56E05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w:t>
                  </w:r>
                </w:p>
              </w:tc>
              <w:tc>
                <w:tcPr>
                  <w:tcW w:w="570" w:type="dxa"/>
                  <w:tcBorders>
                    <w:top w:val="nil"/>
                    <w:left w:val="nil"/>
                    <w:bottom w:val="single" w:sz="4" w:space="0" w:color="auto"/>
                    <w:right w:val="single" w:sz="4" w:space="0" w:color="auto"/>
                  </w:tcBorders>
                  <w:shd w:val="clear" w:color="auto" w:fill="auto"/>
                  <w:noWrap/>
                  <w:vAlign w:val="bottom"/>
                  <w:hideMark/>
                </w:tcPr>
                <w:p w14:paraId="6BACDF9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209E25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600" w:type="dxa"/>
                  <w:tcBorders>
                    <w:top w:val="nil"/>
                    <w:left w:val="nil"/>
                    <w:bottom w:val="single" w:sz="4" w:space="0" w:color="auto"/>
                    <w:right w:val="single" w:sz="4" w:space="0" w:color="auto"/>
                  </w:tcBorders>
                  <w:shd w:val="clear" w:color="auto" w:fill="auto"/>
                  <w:noWrap/>
                  <w:vAlign w:val="bottom"/>
                  <w:hideMark/>
                </w:tcPr>
                <w:p w14:paraId="303E139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5881F00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w:t>
                  </w:r>
                </w:p>
              </w:tc>
              <w:tc>
                <w:tcPr>
                  <w:tcW w:w="570" w:type="dxa"/>
                  <w:tcBorders>
                    <w:top w:val="nil"/>
                    <w:left w:val="nil"/>
                    <w:bottom w:val="single" w:sz="4" w:space="0" w:color="auto"/>
                    <w:right w:val="single" w:sz="4" w:space="0" w:color="auto"/>
                  </w:tcBorders>
                  <w:shd w:val="clear" w:color="auto" w:fill="auto"/>
                  <w:noWrap/>
                  <w:vAlign w:val="bottom"/>
                  <w:hideMark/>
                </w:tcPr>
                <w:p w14:paraId="0BE21F8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CE02F7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80" w:type="dxa"/>
                  <w:tcBorders>
                    <w:top w:val="nil"/>
                    <w:left w:val="nil"/>
                    <w:bottom w:val="single" w:sz="4" w:space="0" w:color="auto"/>
                    <w:right w:val="single" w:sz="4" w:space="0" w:color="auto"/>
                  </w:tcBorders>
                  <w:shd w:val="clear" w:color="auto" w:fill="auto"/>
                  <w:noWrap/>
                  <w:vAlign w:val="bottom"/>
                  <w:hideMark/>
                </w:tcPr>
                <w:p w14:paraId="3F8AF07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038745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540" w:type="dxa"/>
                  <w:tcBorders>
                    <w:top w:val="nil"/>
                    <w:left w:val="nil"/>
                    <w:bottom w:val="single" w:sz="4" w:space="0" w:color="auto"/>
                    <w:right w:val="single" w:sz="4" w:space="0" w:color="auto"/>
                  </w:tcBorders>
                  <w:shd w:val="clear" w:color="auto" w:fill="auto"/>
                  <w:noWrap/>
                  <w:vAlign w:val="bottom"/>
                  <w:hideMark/>
                </w:tcPr>
                <w:p w14:paraId="20D3859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DB8F23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6B30BAD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77D816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4DB4E6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1178F403"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79C009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6CFAC3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780EDAD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6CEEB65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1CD6C74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48</w:t>
                  </w:r>
                </w:p>
              </w:tc>
              <w:tc>
                <w:tcPr>
                  <w:tcW w:w="516" w:type="dxa"/>
                  <w:tcBorders>
                    <w:top w:val="nil"/>
                    <w:left w:val="nil"/>
                    <w:bottom w:val="single" w:sz="4" w:space="0" w:color="auto"/>
                    <w:right w:val="single" w:sz="4" w:space="0" w:color="auto"/>
                  </w:tcBorders>
                  <w:shd w:val="clear" w:color="auto" w:fill="auto"/>
                  <w:noWrap/>
                  <w:vAlign w:val="bottom"/>
                  <w:hideMark/>
                </w:tcPr>
                <w:p w14:paraId="76A6EEB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7D21B89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w:t>
                  </w:r>
                </w:p>
              </w:tc>
              <w:tc>
                <w:tcPr>
                  <w:tcW w:w="572" w:type="dxa"/>
                  <w:tcBorders>
                    <w:top w:val="nil"/>
                    <w:left w:val="nil"/>
                    <w:bottom w:val="single" w:sz="4" w:space="0" w:color="auto"/>
                    <w:right w:val="single" w:sz="4" w:space="0" w:color="auto"/>
                  </w:tcBorders>
                  <w:shd w:val="clear" w:color="auto" w:fill="auto"/>
                  <w:noWrap/>
                  <w:vAlign w:val="bottom"/>
                  <w:hideMark/>
                </w:tcPr>
                <w:p w14:paraId="11B3D42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ADF68F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52</w:t>
                  </w:r>
                </w:p>
              </w:tc>
              <w:tc>
                <w:tcPr>
                  <w:tcW w:w="567" w:type="dxa"/>
                  <w:tcBorders>
                    <w:top w:val="nil"/>
                    <w:left w:val="nil"/>
                    <w:bottom w:val="single" w:sz="4" w:space="0" w:color="auto"/>
                    <w:right w:val="single" w:sz="4" w:space="0" w:color="auto"/>
                  </w:tcBorders>
                  <w:shd w:val="clear" w:color="auto" w:fill="auto"/>
                  <w:noWrap/>
                  <w:vAlign w:val="bottom"/>
                  <w:hideMark/>
                </w:tcPr>
                <w:p w14:paraId="27C9879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109B91AF"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962B158" w14:textId="48055BB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w:t>
                  </w:r>
                </w:p>
              </w:tc>
              <w:tc>
                <w:tcPr>
                  <w:tcW w:w="570" w:type="dxa"/>
                  <w:tcBorders>
                    <w:top w:val="nil"/>
                    <w:left w:val="nil"/>
                    <w:bottom w:val="single" w:sz="4" w:space="0" w:color="auto"/>
                    <w:right w:val="single" w:sz="4" w:space="0" w:color="auto"/>
                  </w:tcBorders>
                  <w:shd w:val="clear" w:color="auto" w:fill="auto"/>
                  <w:noWrap/>
                  <w:vAlign w:val="bottom"/>
                  <w:hideMark/>
                </w:tcPr>
                <w:p w14:paraId="5A3A7DD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0FAB17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41</w:t>
                  </w:r>
                </w:p>
              </w:tc>
              <w:tc>
                <w:tcPr>
                  <w:tcW w:w="600" w:type="dxa"/>
                  <w:tcBorders>
                    <w:top w:val="nil"/>
                    <w:left w:val="nil"/>
                    <w:bottom w:val="single" w:sz="4" w:space="0" w:color="auto"/>
                    <w:right w:val="single" w:sz="4" w:space="0" w:color="auto"/>
                  </w:tcBorders>
                  <w:shd w:val="clear" w:color="auto" w:fill="auto"/>
                  <w:noWrap/>
                  <w:vAlign w:val="bottom"/>
                  <w:hideMark/>
                </w:tcPr>
                <w:p w14:paraId="7C78096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240EDF4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w:t>
                  </w:r>
                </w:p>
              </w:tc>
              <w:tc>
                <w:tcPr>
                  <w:tcW w:w="570" w:type="dxa"/>
                  <w:tcBorders>
                    <w:top w:val="nil"/>
                    <w:left w:val="nil"/>
                    <w:bottom w:val="single" w:sz="4" w:space="0" w:color="auto"/>
                    <w:right w:val="single" w:sz="4" w:space="0" w:color="auto"/>
                  </w:tcBorders>
                  <w:shd w:val="clear" w:color="auto" w:fill="auto"/>
                  <w:noWrap/>
                  <w:vAlign w:val="bottom"/>
                  <w:hideMark/>
                </w:tcPr>
                <w:p w14:paraId="6998C60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4F160C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80" w:type="dxa"/>
                  <w:tcBorders>
                    <w:top w:val="nil"/>
                    <w:left w:val="nil"/>
                    <w:bottom w:val="single" w:sz="4" w:space="0" w:color="auto"/>
                    <w:right w:val="single" w:sz="4" w:space="0" w:color="auto"/>
                  </w:tcBorders>
                  <w:shd w:val="clear" w:color="auto" w:fill="auto"/>
                  <w:noWrap/>
                  <w:vAlign w:val="bottom"/>
                  <w:hideMark/>
                </w:tcPr>
                <w:p w14:paraId="5B1A2CD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16366A8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40" w:type="dxa"/>
                  <w:tcBorders>
                    <w:top w:val="nil"/>
                    <w:left w:val="nil"/>
                    <w:bottom w:val="single" w:sz="4" w:space="0" w:color="auto"/>
                    <w:right w:val="single" w:sz="4" w:space="0" w:color="auto"/>
                  </w:tcBorders>
                  <w:shd w:val="clear" w:color="auto" w:fill="auto"/>
                  <w:noWrap/>
                  <w:vAlign w:val="bottom"/>
                  <w:hideMark/>
                </w:tcPr>
                <w:p w14:paraId="40A188A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004065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w:t>
                  </w:r>
                </w:p>
              </w:tc>
              <w:tc>
                <w:tcPr>
                  <w:tcW w:w="543" w:type="dxa"/>
                  <w:tcBorders>
                    <w:top w:val="nil"/>
                    <w:left w:val="nil"/>
                    <w:bottom w:val="single" w:sz="4" w:space="0" w:color="auto"/>
                    <w:right w:val="single" w:sz="4" w:space="0" w:color="auto"/>
                  </w:tcBorders>
                  <w:shd w:val="clear" w:color="auto" w:fill="auto"/>
                  <w:noWrap/>
                  <w:vAlign w:val="bottom"/>
                  <w:hideMark/>
                </w:tcPr>
                <w:p w14:paraId="0574471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8D8377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9D5931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47E2C6D5"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35C6F8"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21EF48D"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Pretura Rîșcani</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98CAF9"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O7355</w:t>
                  </w:r>
                </w:p>
              </w:tc>
              <w:tc>
                <w:tcPr>
                  <w:tcW w:w="541" w:type="dxa"/>
                  <w:tcBorders>
                    <w:top w:val="nil"/>
                    <w:left w:val="nil"/>
                    <w:bottom w:val="single" w:sz="4" w:space="0" w:color="auto"/>
                    <w:right w:val="single" w:sz="4" w:space="0" w:color="auto"/>
                  </w:tcBorders>
                  <w:shd w:val="clear" w:color="auto" w:fill="auto"/>
                  <w:noWrap/>
                  <w:vAlign w:val="bottom"/>
                  <w:hideMark/>
                </w:tcPr>
                <w:p w14:paraId="08AF6EC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4D39843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47</w:t>
                  </w:r>
                </w:p>
              </w:tc>
              <w:tc>
                <w:tcPr>
                  <w:tcW w:w="516" w:type="dxa"/>
                  <w:tcBorders>
                    <w:top w:val="nil"/>
                    <w:left w:val="nil"/>
                    <w:bottom w:val="single" w:sz="4" w:space="0" w:color="auto"/>
                    <w:right w:val="single" w:sz="4" w:space="0" w:color="auto"/>
                  </w:tcBorders>
                  <w:shd w:val="clear" w:color="auto" w:fill="auto"/>
                  <w:noWrap/>
                  <w:vAlign w:val="bottom"/>
                  <w:hideMark/>
                </w:tcPr>
                <w:p w14:paraId="3292D7A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4666E93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28</w:t>
                  </w:r>
                </w:p>
              </w:tc>
              <w:tc>
                <w:tcPr>
                  <w:tcW w:w="572" w:type="dxa"/>
                  <w:tcBorders>
                    <w:top w:val="nil"/>
                    <w:left w:val="nil"/>
                    <w:bottom w:val="single" w:sz="4" w:space="0" w:color="auto"/>
                    <w:right w:val="single" w:sz="4" w:space="0" w:color="auto"/>
                  </w:tcBorders>
                  <w:shd w:val="clear" w:color="auto" w:fill="auto"/>
                  <w:noWrap/>
                  <w:vAlign w:val="bottom"/>
                  <w:hideMark/>
                </w:tcPr>
                <w:p w14:paraId="750CF55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D2DAE3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47</w:t>
                  </w:r>
                </w:p>
              </w:tc>
              <w:tc>
                <w:tcPr>
                  <w:tcW w:w="567" w:type="dxa"/>
                  <w:tcBorders>
                    <w:top w:val="nil"/>
                    <w:left w:val="nil"/>
                    <w:bottom w:val="single" w:sz="4" w:space="0" w:color="auto"/>
                    <w:right w:val="single" w:sz="4" w:space="0" w:color="auto"/>
                  </w:tcBorders>
                  <w:shd w:val="clear" w:color="auto" w:fill="auto"/>
                  <w:noWrap/>
                  <w:vAlign w:val="bottom"/>
                  <w:hideMark/>
                </w:tcPr>
                <w:p w14:paraId="2C81BED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80" w:type="dxa"/>
                  <w:tcBorders>
                    <w:top w:val="nil"/>
                    <w:left w:val="nil"/>
                    <w:bottom w:val="single" w:sz="4" w:space="0" w:color="auto"/>
                    <w:right w:val="nil"/>
                  </w:tcBorders>
                </w:tcPr>
                <w:p w14:paraId="559513BC"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881FFF1" w14:textId="3B30AE22"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28</w:t>
                  </w:r>
                </w:p>
              </w:tc>
              <w:tc>
                <w:tcPr>
                  <w:tcW w:w="570" w:type="dxa"/>
                  <w:tcBorders>
                    <w:top w:val="nil"/>
                    <w:left w:val="nil"/>
                    <w:bottom w:val="single" w:sz="4" w:space="0" w:color="auto"/>
                    <w:right w:val="single" w:sz="4" w:space="0" w:color="auto"/>
                  </w:tcBorders>
                  <w:shd w:val="clear" w:color="auto" w:fill="auto"/>
                  <w:noWrap/>
                  <w:vAlign w:val="bottom"/>
                  <w:hideMark/>
                </w:tcPr>
                <w:p w14:paraId="7E4473E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31E427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39</w:t>
                  </w:r>
                </w:p>
              </w:tc>
              <w:tc>
                <w:tcPr>
                  <w:tcW w:w="600" w:type="dxa"/>
                  <w:tcBorders>
                    <w:top w:val="nil"/>
                    <w:left w:val="nil"/>
                    <w:bottom w:val="single" w:sz="4" w:space="0" w:color="auto"/>
                    <w:right w:val="single" w:sz="4" w:space="0" w:color="auto"/>
                  </w:tcBorders>
                  <w:shd w:val="clear" w:color="auto" w:fill="auto"/>
                  <w:noWrap/>
                  <w:vAlign w:val="bottom"/>
                  <w:hideMark/>
                </w:tcPr>
                <w:p w14:paraId="5AE8FD9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3755575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23</w:t>
                  </w:r>
                </w:p>
              </w:tc>
              <w:tc>
                <w:tcPr>
                  <w:tcW w:w="570" w:type="dxa"/>
                  <w:tcBorders>
                    <w:top w:val="nil"/>
                    <w:left w:val="nil"/>
                    <w:bottom w:val="single" w:sz="4" w:space="0" w:color="auto"/>
                    <w:right w:val="single" w:sz="4" w:space="0" w:color="auto"/>
                  </w:tcBorders>
                  <w:shd w:val="clear" w:color="auto" w:fill="auto"/>
                  <w:noWrap/>
                  <w:vAlign w:val="bottom"/>
                  <w:hideMark/>
                </w:tcPr>
                <w:p w14:paraId="60042AA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AE5FDA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4418CA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1BC812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7B2D93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3448B2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w:t>
                  </w:r>
                </w:p>
              </w:tc>
              <w:tc>
                <w:tcPr>
                  <w:tcW w:w="543" w:type="dxa"/>
                  <w:tcBorders>
                    <w:top w:val="nil"/>
                    <w:left w:val="nil"/>
                    <w:bottom w:val="single" w:sz="4" w:space="0" w:color="auto"/>
                    <w:right w:val="single" w:sz="4" w:space="0" w:color="auto"/>
                  </w:tcBorders>
                  <w:shd w:val="clear" w:color="auto" w:fill="auto"/>
                  <w:noWrap/>
                  <w:vAlign w:val="bottom"/>
                  <w:hideMark/>
                </w:tcPr>
                <w:p w14:paraId="379AD4B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9DE8AB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97CE82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r>
            <w:tr w:rsidR="00837BD6" w:rsidRPr="009E5B39" w14:paraId="599A95AF"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1F2A8B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53FCF1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6BF9B32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655A9F4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609E5FC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47</w:t>
                  </w:r>
                </w:p>
              </w:tc>
              <w:tc>
                <w:tcPr>
                  <w:tcW w:w="516" w:type="dxa"/>
                  <w:tcBorders>
                    <w:top w:val="nil"/>
                    <w:left w:val="nil"/>
                    <w:bottom w:val="single" w:sz="4" w:space="0" w:color="auto"/>
                    <w:right w:val="single" w:sz="4" w:space="0" w:color="auto"/>
                  </w:tcBorders>
                  <w:shd w:val="clear" w:color="auto" w:fill="auto"/>
                  <w:noWrap/>
                  <w:vAlign w:val="bottom"/>
                  <w:hideMark/>
                </w:tcPr>
                <w:p w14:paraId="36CC68F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5AE2F31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w:t>
                  </w:r>
                </w:p>
              </w:tc>
              <w:tc>
                <w:tcPr>
                  <w:tcW w:w="572" w:type="dxa"/>
                  <w:tcBorders>
                    <w:top w:val="nil"/>
                    <w:left w:val="nil"/>
                    <w:bottom w:val="single" w:sz="4" w:space="0" w:color="auto"/>
                    <w:right w:val="single" w:sz="4" w:space="0" w:color="auto"/>
                  </w:tcBorders>
                  <w:shd w:val="clear" w:color="auto" w:fill="auto"/>
                  <w:noWrap/>
                  <w:vAlign w:val="bottom"/>
                  <w:hideMark/>
                </w:tcPr>
                <w:p w14:paraId="4F9497C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28F0EF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47</w:t>
                  </w:r>
                </w:p>
              </w:tc>
              <w:tc>
                <w:tcPr>
                  <w:tcW w:w="567" w:type="dxa"/>
                  <w:tcBorders>
                    <w:top w:val="nil"/>
                    <w:left w:val="nil"/>
                    <w:bottom w:val="single" w:sz="4" w:space="0" w:color="auto"/>
                    <w:right w:val="single" w:sz="4" w:space="0" w:color="auto"/>
                  </w:tcBorders>
                  <w:shd w:val="clear" w:color="auto" w:fill="auto"/>
                  <w:noWrap/>
                  <w:vAlign w:val="bottom"/>
                  <w:hideMark/>
                </w:tcPr>
                <w:p w14:paraId="153D447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7F155C3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A7847F1" w14:textId="5322F4C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w:t>
                  </w:r>
                </w:p>
              </w:tc>
              <w:tc>
                <w:tcPr>
                  <w:tcW w:w="570" w:type="dxa"/>
                  <w:tcBorders>
                    <w:top w:val="nil"/>
                    <w:left w:val="nil"/>
                    <w:bottom w:val="single" w:sz="4" w:space="0" w:color="auto"/>
                    <w:right w:val="single" w:sz="4" w:space="0" w:color="auto"/>
                  </w:tcBorders>
                  <w:shd w:val="clear" w:color="auto" w:fill="auto"/>
                  <w:noWrap/>
                  <w:vAlign w:val="bottom"/>
                  <w:hideMark/>
                </w:tcPr>
                <w:p w14:paraId="236CEA0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45AE39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600" w:type="dxa"/>
                  <w:tcBorders>
                    <w:top w:val="nil"/>
                    <w:left w:val="nil"/>
                    <w:bottom w:val="single" w:sz="4" w:space="0" w:color="auto"/>
                    <w:right w:val="single" w:sz="4" w:space="0" w:color="auto"/>
                  </w:tcBorders>
                  <w:shd w:val="clear" w:color="auto" w:fill="auto"/>
                  <w:noWrap/>
                  <w:vAlign w:val="bottom"/>
                  <w:hideMark/>
                </w:tcPr>
                <w:p w14:paraId="4DD9D18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3848E2D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570" w:type="dxa"/>
                  <w:tcBorders>
                    <w:top w:val="nil"/>
                    <w:left w:val="nil"/>
                    <w:bottom w:val="single" w:sz="4" w:space="0" w:color="auto"/>
                    <w:right w:val="single" w:sz="4" w:space="0" w:color="auto"/>
                  </w:tcBorders>
                  <w:shd w:val="clear" w:color="auto" w:fill="auto"/>
                  <w:noWrap/>
                  <w:vAlign w:val="bottom"/>
                  <w:hideMark/>
                </w:tcPr>
                <w:p w14:paraId="5F32488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7159D1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33855B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33D4FE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230405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0223E0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543" w:type="dxa"/>
                  <w:tcBorders>
                    <w:top w:val="nil"/>
                    <w:left w:val="nil"/>
                    <w:bottom w:val="single" w:sz="4" w:space="0" w:color="auto"/>
                    <w:right w:val="single" w:sz="4" w:space="0" w:color="auto"/>
                  </w:tcBorders>
                  <w:shd w:val="clear" w:color="auto" w:fill="auto"/>
                  <w:noWrap/>
                  <w:vAlign w:val="bottom"/>
                  <w:hideMark/>
                </w:tcPr>
                <w:p w14:paraId="0CB1566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A4C741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20DE1C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r>
            <w:tr w:rsidR="00837BD6" w:rsidRPr="009E5B39" w14:paraId="0A887590"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A6D3BF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6BA2EB1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6422BD0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3BBB64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734D773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47</w:t>
                  </w:r>
                </w:p>
              </w:tc>
              <w:tc>
                <w:tcPr>
                  <w:tcW w:w="516" w:type="dxa"/>
                  <w:tcBorders>
                    <w:top w:val="nil"/>
                    <w:left w:val="nil"/>
                    <w:bottom w:val="single" w:sz="4" w:space="0" w:color="auto"/>
                    <w:right w:val="single" w:sz="4" w:space="0" w:color="auto"/>
                  </w:tcBorders>
                  <w:shd w:val="clear" w:color="auto" w:fill="auto"/>
                  <w:noWrap/>
                  <w:vAlign w:val="bottom"/>
                  <w:hideMark/>
                </w:tcPr>
                <w:p w14:paraId="7DE48C7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43EDB6A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w:t>
                  </w:r>
                </w:p>
              </w:tc>
              <w:tc>
                <w:tcPr>
                  <w:tcW w:w="572" w:type="dxa"/>
                  <w:tcBorders>
                    <w:top w:val="nil"/>
                    <w:left w:val="nil"/>
                    <w:bottom w:val="single" w:sz="4" w:space="0" w:color="auto"/>
                    <w:right w:val="single" w:sz="4" w:space="0" w:color="auto"/>
                  </w:tcBorders>
                  <w:shd w:val="clear" w:color="auto" w:fill="auto"/>
                  <w:noWrap/>
                  <w:vAlign w:val="bottom"/>
                  <w:hideMark/>
                </w:tcPr>
                <w:p w14:paraId="1185F80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B88A43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47</w:t>
                  </w:r>
                </w:p>
              </w:tc>
              <w:tc>
                <w:tcPr>
                  <w:tcW w:w="567" w:type="dxa"/>
                  <w:tcBorders>
                    <w:top w:val="nil"/>
                    <w:left w:val="nil"/>
                    <w:bottom w:val="single" w:sz="4" w:space="0" w:color="auto"/>
                    <w:right w:val="single" w:sz="4" w:space="0" w:color="auto"/>
                  </w:tcBorders>
                  <w:shd w:val="clear" w:color="auto" w:fill="auto"/>
                  <w:noWrap/>
                  <w:vAlign w:val="bottom"/>
                  <w:hideMark/>
                </w:tcPr>
                <w:p w14:paraId="2411C2D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27602A0B"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86D075A" w14:textId="717EC53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w:t>
                  </w:r>
                </w:p>
              </w:tc>
              <w:tc>
                <w:tcPr>
                  <w:tcW w:w="570" w:type="dxa"/>
                  <w:tcBorders>
                    <w:top w:val="nil"/>
                    <w:left w:val="nil"/>
                    <w:bottom w:val="single" w:sz="4" w:space="0" w:color="auto"/>
                    <w:right w:val="single" w:sz="4" w:space="0" w:color="auto"/>
                  </w:tcBorders>
                  <w:shd w:val="clear" w:color="auto" w:fill="auto"/>
                  <w:noWrap/>
                  <w:vAlign w:val="bottom"/>
                  <w:hideMark/>
                </w:tcPr>
                <w:p w14:paraId="69BFDF9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0F159C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35</w:t>
                  </w:r>
                </w:p>
              </w:tc>
              <w:tc>
                <w:tcPr>
                  <w:tcW w:w="600" w:type="dxa"/>
                  <w:tcBorders>
                    <w:top w:val="nil"/>
                    <w:left w:val="nil"/>
                    <w:bottom w:val="single" w:sz="4" w:space="0" w:color="auto"/>
                    <w:right w:val="single" w:sz="4" w:space="0" w:color="auto"/>
                  </w:tcBorders>
                  <w:shd w:val="clear" w:color="auto" w:fill="auto"/>
                  <w:noWrap/>
                  <w:vAlign w:val="bottom"/>
                  <w:hideMark/>
                </w:tcPr>
                <w:p w14:paraId="460F054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80" w:type="dxa"/>
                  <w:tcBorders>
                    <w:top w:val="nil"/>
                    <w:left w:val="nil"/>
                    <w:bottom w:val="single" w:sz="4" w:space="0" w:color="auto"/>
                    <w:right w:val="single" w:sz="4" w:space="0" w:color="auto"/>
                  </w:tcBorders>
                  <w:shd w:val="clear" w:color="auto" w:fill="auto"/>
                  <w:noWrap/>
                  <w:vAlign w:val="bottom"/>
                  <w:hideMark/>
                </w:tcPr>
                <w:p w14:paraId="494A860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w:t>
                  </w:r>
                </w:p>
              </w:tc>
              <w:tc>
                <w:tcPr>
                  <w:tcW w:w="570" w:type="dxa"/>
                  <w:tcBorders>
                    <w:top w:val="nil"/>
                    <w:left w:val="nil"/>
                    <w:bottom w:val="single" w:sz="4" w:space="0" w:color="auto"/>
                    <w:right w:val="single" w:sz="4" w:space="0" w:color="auto"/>
                  </w:tcBorders>
                  <w:shd w:val="clear" w:color="auto" w:fill="auto"/>
                  <w:noWrap/>
                  <w:vAlign w:val="bottom"/>
                  <w:hideMark/>
                </w:tcPr>
                <w:p w14:paraId="4B03BA6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9135D7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26F623E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4BCB53A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5255944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82704E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w:t>
                  </w:r>
                </w:p>
              </w:tc>
              <w:tc>
                <w:tcPr>
                  <w:tcW w:w="543" w:type="dxa"/>
                  <w:tcBorders>
                    <w:top w:val="nil"/>
                    <w:left w:val="nil"/>
                    <w:bottom w:val="single" w:sz="4" w:space="0" w:color="auto"/>
                    <w:right w:val="single" w:sz="4" w:space="0" w:color="auto"/>
                  </w:tcBorders>
                  <w:shd w:val="clear" w:color="auto" w:fill="auto"/>
                  <w:noWrap/>
                  <w:vAlign w:val="bottom"/>
                  <w:hideMark/>
                </w:tcPr>
                <w:p w14:paraId="4BF3A48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CFA9E2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591842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2044B8FA"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012C62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B49239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1FE6DB4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7678007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74B60FB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47</w:t>
                  </w:r>
                </w:p>
              </w:tc>
              <w:tc>
                <w:tcPr>
                  <w:tcW w:w="516" w:type="dxa"/>
                  <w:tcBorders>
                    <w:top w:val="nil"/>
                    <w:left w:val="nil"/>
                    <w:bottom w:val="single" w:sz="4" w:space="0" w:color="auto"/>
                    <w:right w:val="single" w:sz="4" w:space="0" w:color="auto"/>
                  </w:tcBorders>
                  <w:shd w:val="clear" w:color="auto" w:fill="auto"/>
                  <w:noWrap/>
                  <w:vAlign w:val="bottom"/>
                  <w:hideMark/>
                </w:tcPr>
                <w:p w14:paraId="07850A4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15E87EA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w:t>
                  </w:r>
                </w:p>
              </w:tc>
              <w:tc>
                <w:tcPr>
                  <w:tcW w:w="572" w:type="dxa"/>
                  <w:tcBorders>
                    <w:top w:val="nil"/>
                    <w:left w:val="nil"/>
                    <w:bottom w:val="single" w:sz="4" w:space="0" w:color="auto"/>
                    <w:right w:val="single" w:sz="4" w:space="0" w:color="auto"/>
                  </w:tcBorders>
                  <w:shd w:val="clear" w:color="auto" w:fill="auto"/>
                  <w:noWrap/>
                  <w:vAlign w:val="bottom"/>
                  <w:hideMark/>
                </w:tcPr>
                <w:p w14:paraId="134F378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1127A6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51</w:t>
                  </w:r>
                </w:p>
              </w:tc>
              <w:tc>
                <w:tcPr>
                  <w:tcW w:w="567" w:type="dxa"/>
                  <w:tcBorders>
                    <w:top w:val="nil"/>
                    <w:left w:val="nil"/>
                    <w:bottom w:val="single" w:sz="4" w:space="0" w:color="auto"/>
                    <w:right w:val="single" w:sz="4" w:space="0" w:color="auto"/>
                  </w:tcBorders>
                  <w:shd w:val="clear" w:color="auto" w:fill="auto"/>
                  <w:noWrap/>
                  <w:vAlign w:val="bottom"/>
                  <w:hideMark/>
                </w:tcPr>
                <w:p w14:paraId="1CEFAAE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52A924A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17B0FD8" w14:textId="2F39ACD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33</w:t>
                  </w:r>
                </w:p>
              </w:tc>
              <w:tc>
                <w:tcPr>
                  <w:tcW w:w="570" w:type="dxa"/>
                  <w:tcBorders>
                    <w:top w:val="nil"/>
                    <w:left w:val="nil"/>
                    <w:bottom w:val="single" w:sz="4" w:space="0" w:color="auto"/>
                    <w:right w:val="single" w:sz="4" w:space="0" w:color="auto"/>
                  </w:tcBorders>
                  <w:shd w:val="clear" w:color="auto" w:fill="auto"/>
                  <w:noWrap/>
                  <w:vAlign w:val="bottom"/>
                  <w:hideMark/>
                </w:tcPr>
                <w:p w14:paraId="591B9B5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32382E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600" w:type="dxa"/>
                  <w:tcBorders>
                    <w:top w:val="nil"/>
                    <w:left w:val="nil"/>
                    <w:bottom w:val="single" w:sz="4" w:space="0" w:color="auto"/>
                    <w:right w:val="single" w:sz="4" w:space="0" w:color="auto"/>
                  </w:tcBorders>
                  <w:shd w:val="clear" w:color="auto" w:fill="auto"/>
                  <w:noWrap/>
                  <w:vAlign w:val="bottom"/>
                  <w:hideMark/>
                </w:tcPr>
                <w:p w14:paraId="5462463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592B90F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w:t>
                  </w:r>
                </w:p>
              </w:tc>
              <w:tc>
                <w:tcPr>
                  <w:tcW w:w="570" w:type="dxa"/>
                  <w:tcBorders>
                    <w:top w:val="nil"/>
                    <w:left w:val="nil"/>
                    <w:bottom w:val="single" w:sz="4" w:space="0" w:color="auto"/>
                    <w:right w:val="single" w:sz="4" w:space="0" w:color="auto"/>
                  </w:tcBorders>
                  <w:shd w:val="clear" w:color="auto" w:fill="auto"/>
                  <w:noWrap/>
                  <w:vAlign w:val="bottom"/>
                  <w:hideMark/>
                </w:tcPr>
                <w:p w14:paraId="7764C19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F63E61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80" w:type="dxa"/>
                  <w:tcBorders>
                    <w:top w:val="nil"/>
                    <w:left w:val="nil"/>
                    <w:bottom w:val="single" w:sz="4" w:space="0" w:color="auto"/>
                    <w:right w:val="single" w:sz="4" w:space="0" w:color="auto"/>
                  </w:tcBorders>
                  <w:shd w:val="clear" w:color="auto" w:fill="auto"/>
                  <w:noWrap/>
                  <w:vAlign w:val="bottom"/>
                  <w:hideMark/>
                </w:tcPr>
                <w:p w14:paraId="667E122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D8A9B3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40" w:type="dxa"/>
                  <w:tcBorders>
                    <w:top w:val="nil"/>
                    <w:left w:val="nil"/>
                    <w:bottom w:val="single" w:sz="4" w:space="0" w:color="auto"/>
                    <w:right w:val="single" w:sz="4" w:space="0" w:color="auto"/>
                  </w:tcBorders>
                  <w:shd w:val="clear" w:color="auto" w:fill="auto"/>
                  <w:noWrap/>
                  <w:vAlign w:val="bottom"/>
                  <w:hideMark/>
                </w:tcPr>
                <w:p w14:paraId="19713FE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8AE7B1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w:t>
                  </w:r>
                </w:p>
              </w:tc>
              <w:tc>
                <w:tcPr>
                  <w:tcW w:w="543" w:type="dxa"/>
                  <w:tcBorders>
                    <w:top w:val="nil"/>
                    <w:left w:val="nil"/>
                    <w:bottom w:val="single" w:sz="4" w:space="0" w:color="auto"/>
                    <w:right w:val="single" w:sz="4" w:space="0" w:color="auto"/>
                  </w:tcBorders>
                  <w:shd w:val="clear" w:color="auto" w:fill="auto"/>
                  <w:noWrap/>
                  <w:vAlign w:val="bottom"/>
                  <w:hideMark/>
                </w:tcPr>
                <w:p w14:paraId="48B4A48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517B47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9731DA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51297A55"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779229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4D30D78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65C9BD6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774AE7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22565AC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51</w:t>
                  </w:r>
                </w:p>
              </w:tc>
              <w:tc>
                <w:tcPr>
                  <w:tcW w:w="516" w:type="dxa"/>
                  <w:tcBorders>
                    <w:top w:val="nil"/>
                    <w:left w:val="nil"/>
                    <w:bottom w:val="single" w:sz="4" w:space="0" w:color="auto"/>
                    <w:right w:val="single" w:sz="4" w:space="0" w:color="auto"/>
                  </w:tcBorders>
                  <w:shd w:val="clear" w:color="auto" w:fill="auto"/>
                  <w:noWrap/>
                  <w:vAlign w:val="bottom"/>
                  <w:hideMark/>
                </w:tcPr>
                <w:p w14:paraId="65E58A0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20" w:type="dxa"/>
                  <w:tcBorders>
                    <w:top w:val="nil"/>
                    <w:left w:val="nil"/>
                    <w:bottom w:val="single" w:sz="4" w:space="0" w:color="auto"/>
                    <w:right w:val="single" w:sz="4" w:space="0" w:color="auto"/>
                  </w:tcBorders>
                  <w:shd w:val="clear" w:color="auto" w:fill="auto"/>
                  <w:noWrap/>
                  <w:vAlign w:val="bottom"/>
                  <w:hideMark/>
                </w:tcPr>
                <w:p w14:paraId="31ED843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33</w:t>
                  </w:r>
                </w:p>
              </w:tc>
              <w:tc>
                <w:tcPr>
                  <w:tcW w:w="572" w:type="dxa"/>
                  <w:tcBorders>
                    <w:top w:val="nil"/>
                    <w:left w:val="nil"/>
                    <w:bottom w:val="single" w:sz="4" w:space="0" w:color="auto"/>
                    <w:right w:val="single" w:sz="4" w:space="0" w:color="auto"/>
                  </w:tcBorders>
                  <w:shd w:val="clear" w:color="auto" w:fill="auto"/>
                  <w:noWrap/>
                  <w:vAlign w:val="bottom"/>
                  <w:hideMark/>
                </w:tcPr>
                <w:p w14:paraId="7FF6F37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FE8391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54</w:t>
                  </w:r>
                </w:p>
              </w:tc>
              <w:tc>
                <w:tcPr>
                  <w:tcW w:w="567" w:type="dxa"/>
                  <w:tcBorders>
                    <w:top w:val="nil"/>
                    <w:left w:val="nil"/>
                    <w:bottom w:val="single" w:sz="4" w:space="0" w:color="auto"/>
                    <w:right w:val="single" w:sz="4" w:space="0" w:color="auto"/>
                  </w:tcBorders>
                  <w:shd w:val="clear" w:color="auto" w:fill="auto"/>
                  <w:noWrap/>
                  <w:vAlign w:val="bottom"/>
                  <w:hideMark/>
                </w:tcPr>
                <w:p w14:paraId="4AE2D4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nil"/>
                  </w:tcBorders>
                </w:tcPr>
                <w:p w14:paraId="11A77C0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B0BF965" w14:textId="3DEEEA8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w:t>
                  </w:r>
                </w:p>
              </w:tc>
              <w:tc>
                <w:tcPr>
                  <w:tcW w:w="570" w:type="dxa"/>
                  <w:tcBorders>
                    <w:top w:val="nil"/>
                    <w:left w:val="nil"/>
                    <w:bottom w:val="single" w:sz="4" w:space="0" w:color="auto"/>
                    <w:right w:val="single" w:sz="4" w:space="0" w:color="auto"/>
                  </w:tcBorders>
                  <w:shd w:val="clear" w:color="auto" w:fill="auto"/>
                  <w:noWrap/>
                  <w:vAlign w:val="bottom"/>
                  <w:hideMark/>
                </w:tcPr>
                <w:p w14:paraId="156B87D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947D99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44</w:t>
                  </w:r>
                </w:p>
              </w:tc>
              <w:tc>
                <w:tcPr>
                  <w:tcW w:w="600" w:type="dxa"/>
                  <w:tcBorders>
                    <w:top w:val="nil"/>
                    <w:left w:val="nil"/>
                    <w:bottom w:val="single" w:sz="4" w:space="0" w:color="auto"/>
                    <w:right w:val="single" w:sz="4" w:space="0" w:color="auto"/>
                  </w:tcBorders>
                  <w:shd w:val="clear" w:color="auto" w:fill="auto"/>
                  <w:noWrap/>
                  <w:vAlign w:val="bottom"/>
                  <w:hideMark/>
                </w:tcPr>
                <w:p w14:paraId="34743BF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6A2C799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w:t>
                  </w:r>
                </w:p>
              </w:tc>
              <w:tc>
                <w:tcPr>
                  <w:tcW w:w="570" w:type="dxa"/>
                  <w:tcBorders>
                    <w:top w:val="nil"/>
                    <w:left w:val="nil"/>
                    <w:bottom w:val="single" w:sz="4" w:space="0" w:color="auto"/>
                    <w:right w:val="single" w:sz="4" w:space="0" w:color="auto"/>
                  </w:tcBorders>
                  <w:shd w:val="clear" w:color="auto" w:fill="auto"/>
                  <w:noWrap/>
                  <w:vAlign w:val="bottom"/>
                  <w:hideMark/>
                </w:tcPr>
                <w:p w14:paraId="4740BAE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94EA96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80" w:type="dxa"/>
                  <w:tcBorders>
                    <w:top w:val="nil"/>
                    <w:left w:val="nil"/>
                    <w:bottom w:val="single" w:sz="4" w:space="0" w:color="auto"/>
                    <w:right w:val="single" w:sz="4" w:space="0" w:color="auto"/>
                  </w:tcBorders>
                  <w:shd w:val="clear" w:color="auto" w:fill="auto"/>
                  <w:noWrap/>
                  <w:vAlign w:val="bottom"/>
                  <w:hideMark/>
                </w:tcPr>
                <w:p w14:paraId="79C58F7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B1D80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40" w:type="dxa"/>
                  <w:tcBorders>
                    <w:top w:val="nil"/>
                    <w:left w:val="nil"/>
                    <w:bottom w:val="single" w:sz="4" w:space="0" w:color="auto"/>
                    <w:right w:val="single" w:sz="4" w:space="0" w:color="auto"/>
                  </w:tcBorders>
                  <w:shd w:val="clear" w:color="auto" w:fill="auto"/>
                  <w:noWrap/>
                  <w:vAlign w:val="bottom"/>
                  <w:hideMark/>
                </w:tcPr>
                <w:p w14:paraId="25E317B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4114F6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w:t>
                  </w:r>
                </w:p>
              </w:tc>
              <w:tc>
                <w:tcPr>
                  <w:tcW w:w="543" w:type="dxa"/>
                  <w:tcBorders>
                    <w:top w:val="nil"/>
                    <w:left w:val="nil"/>
                    <w:bottom w:val="single" w:sz="4" w:space="0" w:color="auto"/>
                    <w:right w:val="single" w:sz="4" w:space="0" w:color="auto"/>
                  </w:tcBorders>
                  <w:shd w:val="clear" w:color="auto" w:fill="auto"/>
                  <w:noWrap/>
                  <w:vAlign w:val="bottom"/>
                  <w:hideMark/>
                </w:tcPr>
                <w:p w14:paraId="7720C5D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F51A5C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A51049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r>
            <w:tr w:rsidR="00837BD6" w:rsidRPr="009E5B39" w14:paraId="717DCF62"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46DD2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CA0006F"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DGAURF</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3D6A2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O7221</w:t>
                  </w:r>
                </w:p>
              </w:tc>
              <w:tc>
                <w:tcPr>
                  <w:tcW w:w="541" w:type="dxa"/>
                  <w:tcBorders>
                    <w:top w:val="nil"/>
                    <w:left w:val="nil"/>
                    <w:bottom w:val="single" w:sz="4" w:space="0" w:color="auto"/>
                    <w:right w:val="single" w:sz="4" w:space="0" w:color="auto"/>
                  </w:tcBorders>
                  <w:shd w:val="clear" w:color="auto" w:fill="auto"/>
                  <w:noWrap/>
                  <w:vAlign w:val="bottom"/>
                  <w:hideMark/>
                </w:tcPr>
                <w:p w14:paraId="6C1F47F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0718C61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128</w:t>
                  </w:r>
                </w:p>
              </w:tc>
              <w:tc>
                <w:tcPr>
                  <w:tcW w:w="516" w:type="dxa"/>
                  <w:tcBorders>
                    <w:top w:val="nil"/>
                    <w:left w:val="nil"/>
                    <w:bottom w:val="single" w:sz="4" w:space="0" w:color="auto"/>
                    <w:right w:val="single" w:sz="4" w:space="0" w:color="auto"/>
                  </w:tcBorders>
                  <w:shd w:val="clear" w:color="auto" w:fill="auto"/>
                  <w:noWrap/>
                  <w:vAlign w:val="bottom"/>
                  <w:hideMark/>
                </w:tcPr>
                <w:p w14:paraId="5C7447D4" w14:textId="5753DD71"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73F48A4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79</w:t>
                  </w:r>
                </w:p>
              </w:tc>
              <w:tc>
                <w:tcPr>
                  <w:tcW w:w="572" w:type="dxa"/>
                  <w:tcBorders>
                    <w:top w:val="nil"/>
                    <w:left w:val="nil"/>
                    <w:bottom w:val="single" w:sz="4" w:space="0" w:color="auto"/>
                    <w:right w:val="single" w:sz="4" w:space="0" w:color="auto"/>
                  </w:tcBorders>
                  <w:shd w:val="clear" w:color="auto" w:fill="auto"/>
                  <w:noWrap/>
                  <w:vAlign w:val="bottom"/>
                  <w:hideMark/>
                </w:tcPr>
                <w:p w14:paraId="076A703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960738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128</w:t>
                  </w:r>
                </w:p>
              </w:tc>
              <w:tc>
                <w:tcPr>
                  <w:tcW w:w="567" w:type="dxa"/>
                  <w:tcBorders>
                    <w:top w:val="nil"/>
                    <w:left w:val="nil"/>
                    <w:bottom w:val="single" w:sz="4" w:space="0" w:color="auto"/>
                    <w:right w:val="single" w:sz="4" w:space="0" w:color="auto"/>
                  </w:tcBorders>
                  <w:shd w:val="clear" w:color="auto" w:fill="auto"/>
                  <w:noWrap/>
                  <w:vAlign w:val="bottom"/>
                  <w:hideMark/>
                </w:tcPr>
                <w:p w14:paraId="243DEC8C" w14:textId="47632D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65C86251"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6A88827" w14:textId="614D191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79</w:t>
                  </w:r>
                </w:p>
              </w:tc>
              <w:tc>
                <w:tcPr>
                  <w:tcW w:w="570" w:type="dxa"/>
                  <w:tcBorders>
                    <w:top w:val="nil"/>
                    <w:left w:val="nil"/>
                    <w:bottom w:val="single" w:sz="4" w:space="0" w:color="auto"/>
                    <w:right w:val="single" w:sz="4" w:space="0" w:color="auto"/>
                  </w:tcBorders>
                  <w:shd w:val="clear" w:color="auto" w:fill="auto"/>
                  <w:noWrap/>
                  <w:vAlign w:val="bottom"/>
                  <w:hideMark/>
                </w:tcPr>
                <w:p w14:paraId="3A7C437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C3428E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109</w:t>
                  </w:r>
                </w:p>
              </w:tc>
              <w:tc>
                <w:tcPr>
                  <w:tcW w:w="600" w:type="dxa"/>
                  <w:tcBorders>
                    <w:top w:val="nil"/>
                    <w:left w:val="nil"/>
                    <w:bottom w:val="single" w:sz="4" w:space="0" w:color="auto"/>
                    <w:right w:val="single" w:sz="4" w:space="0" w:color="auto"/>
                  </w:tcBorders>
                  <w:shd w:val="clear" w:color="auto" w:fill="auto"/>
                  <w:noWrap/>
                  <w:vAlign w:val="bottom"/>
                  <w:hideMark/>
                </w:tcPr>
                <w:p w14:paraId="08112FFC" w14:textId="42D3F9E8"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66A8DC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64</w:t>
                  </w:r>
                </w:p>
              </w:tc>
              <w:tc>
                <w:tcPr>
                  <w:tcW w:w="570" w:type="dxa"/>
                  <w:tcBorders>
                    <w:top w:val="nil"/>
                    <w:left w:val="nil"/>
                    <w:bottom w:val="single" w:sz="4" w:space="0" w:color="auto"/>
                    <w:right w:val="single" w:sz="4" w:space="0" w:color="auto"/>
                  </w:tcBorders>
                  <w:shd w:val="clear" w:color="auto" w:fill="auto"/>
                  <w:noWrap/>
                  <w:vAlign w:val="bottom"/>
                  <w:hideMark/>
                </w:tcPr>
                <w:p w14:paraId="10CD936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99C081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1F047D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A01780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556735E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38AEA8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-19</w:t>
                  </w:r>
                </w:p>
              </w:tc>
              <w:tc>
                <w:tcPr>
                  <w:tcW w:w="543" w:type="dxa"/>
                  <w:tcBorders>
                    <w:top w:val="nil"/>
                    <w:left w:val="nil"/>
                    <w:bottom w:val="single" w:sz="4" w:space="0" w:color="auto"/>
                    <w:right w:val="single" w:sz="4" w:space="0" w:color="auto"/>
                  </w:tcBorders>
                  <w:shd w:val="clear" w:color="auto" w:fill="auto"/>
                  <w:noWrap/>
                  <w:vAlign w:val="bottom"/>
                  <w:hideMark/>
                </w:tcPr>
                <w:p w14:paraId="3355200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3BB843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BCCF91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6C5F2F0B"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289DA7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7D8FB8D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0DB3CCC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45C2EA3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619F511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128</w:t>
                  </w:r>
                </w:p>
              </w:tc>
              <w:tc>
                <w:tcPr>
                  <w:tcW w:w="516" w:type="dxa"/>
                  <w:tcBorders>
                    <w:top w:val="nil"/>
                    <w:left w:val="nil"/>
                    <w:bottom w:val="single" w:sz="4" w:space="0" w:color="auto"/>
                    <w:right w:val="single" w:sz="4" w:space="0" w:color="auto"/>
                  </w:tcBorders>
                  <w:shd w:val="clear" w:color="auto" w:fill="auto"/>
                  <w:noWrap/>
                  <w:vAlign w:val="bottom"/>
                  <w:hideMark/>
                </w:tcPr>
                <w:p w14:paraId="37F6996D" w14:textId="592724A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0A68BBA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w:t>
                  </w:r>
                </w:p>
              </w:tc>
              <w:tc>
                <w:tcPr>
                  <w:tcW w:w="572" w:type="dxa"/>
                  <w:tcBorders>
                    <w:top w:val="nil"/>
                    <w:left w:val="nil"/>
                    <w:bottom w:val="single" w:sz="4" w:space="0" w:color="auto"/>
                    <w:right w:val="single" w:sz="4" w:space="0" w:color="auto"/>
                  </w:tcBorders>
                  <w:shd w:val="clear" w:color="auto" w:fill="auto"/>
                  <w:noWrap/>
                  <w:vAlign w:val="bottom"/>
                  <w:hideMark/>
                </w:tcPr>
                <w:p w14:paraId="6EF47D7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47F139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128</w:t>
                  </w:r>
                </w:p>
              </w:tc>
              <w:tc>
                <w:tcPr>
                  <w:tcW w:w="567" w:type="dxa"/>
                  <w:tcBorders>
                    <w:top w:val="nil"/>
                    <w:left w:val="nil"/>
                    <w:bottom w:val="single" w:sz="4" w:space="0" w:color="auto"/>
                    <w:right w:val="single" w:sz="4" w:space="0" w:color="auto"/>
                  </w:tcBorders>
                  <w:shd w:val="clear" w:color="auto" w:fill="auto"/>
                  <w:noWrap/>
                  <w:vAlign w:val="bottom"/>
                  <w:hideMark/>
                </w:tcPr>
                <w:p w14:paraId="0A1FEA11" w14:textId="4DB5FFA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2458FB7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5634FF7" w14:textId="5370AAE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w:t>
                  </w:r>
                </w:p>
              </w:tc>
              <w:tc>
                <w:tcPr>
                  <w:tcW w:w="570" w:type="dxa"/>
                  <w:tcBorders>
                    <w:top w:val="nil"/>
                    <w:left w:val="nil"/>
                    <w:bottom w:val="single" w:sz="4" w:space="0" w:color="auto"/>
                    <w:right w:val="single" w:sz="4" w:space="0" w:color="auto"/>
                  </w:tcBorders>
                  <w:shd w:val="clear" w:color="auto" w:fill="auto"/>
                  <w:noWrap/>
                  <w:vAlign w:val="bottom"/>
                  <w:hideMark/>
                </w:tcPr>
                <w:p w14:paraId="4DFF7CA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D5D651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99</w:t>
                  </w:r>
                </w:p>
              </w:tc>
              <w:tc>
                <w:tcPr>
                  <w:tcW w:w="600" w:type="dxa"/>
                  <w:tcBorders>
                    <w:top w:val="nil"/>
                    <w:left w:val="nil"/>
                    <w:bottom w:val="single" w:sz="4" w:space="0" w:color="auto"/>
                    <w:right w:val="single" w:sz="4" w:space="0" w:color="auto"/>
                  </w:tcBorders>
                  <w:shd w:val="clear" w:color="auto" w:fill="auto"/>
                  <w:noWrap/>
                  <w:vAlign w:val="bottom"/>
                  <w:hideMark/>
                </w:tcPr>
                <w:p w14:paraId="62FCD297" w14:textId="5A1E3DA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827C88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60</w:t>
                  </w:r>
                </w:p>
              </w:tc>
              <w:tc>
                <w:tcPr>
                  <w:tcW w:w="570" w:type="dxa"/>
                  <w:tcBorders>
                    <w:top w:val="nil"/>
                    <w:left w:val="nil"/>
                    <w:bottom w:val="single" w:sz="4" w:space="0" w:color="auto"/>
                    <w:right w:val="single" w:sz="4" w:space="0" w:color="auto"/>
                  </w:tcBorders>
                  <w:shd w:val="clear" w:color="auto" w:fill="auto"/>
                  <w:noWrap/>
                  <w:vAlign w:val="bottom"/>
                  <w:hideMark/>
                </w:tcPr>
                <w:p w14:paraId="49444BB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C1A7F0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7F891D6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4A3A69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DFB1A2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527E53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-29</w:t>
                  </w:r>
                </w:p>
              </w:tc>
              <w:tc>
                <w:tcPr>
                  <w:tcW w:w="543" w:type="dxa"/>
                  <w:tcBorders>
                    <w:top w:val="nil"/>
                    <w:left w:val="nil"/>
                    <w:bottom w:val="single" w:sz="4" w:space="0" w:color="auto"/>
                    <w:right w:val="single" w:sz="4" w:space="0" w:color="auto"/>
                  </w:tcBorders>
                  <w:shd w:val="clear" w:color="auto" w:fill="auto"/>
                  <w:noWrap/>
                  <w:vAlign w:val="bottom"/>
                  <w:hideMark/>
                </w:tcPr>
                <w:p w14:paraId="469284D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E00107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63847A9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r>
            <w:tr w:rsidR="00837BD6" w:rsidRPr="009E5B39" w14:paraId="18720A14"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A9CAA7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74364D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F7FE03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7C8CD6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5D7DEB0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128</w:t>
                  </w:r>
                </w:p>
              </w:tc>
              <w:tc>
                <w:tcPr>
                  <w:tcW w:w="516" w:type="dxa"/>
                  <w:tcBorders>
                    <w:top w:val="nil"/>
                    <w:left w:val="nil"/>
                    <w:bottom w:val="single" w:sz="4" w:space="0" w:color="auto"/>
                    <w:right w:val="single" w:sz="4" w:space="0" w:color="auto"/>
                  </w:tcBorders>
                  <w:shd w:val="clear" w:color="auto" w:fill="auto"/>
                  <w:noWrap/>
                  <w:vAlign w:val="bottom"/>
                  <w:hideMark/>
                </w:tcPr>
                <w:p w14:paraId="42AF0F64" w14:textId="552F22A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50EE359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w:t>
                  </w:r>
                </w:p>
              </w:tc>
              <w:tc>
                <w:tcPr>
                  <w:tcW w:w="572" w:type="dxa"/>
                  <w:tcBorders>
                    <w:top w:val="nil"/>
                    <w:left w:val="nil"/>
                    <w:bottom w:val="single" w:sz="4" w:space="0" w:color="auto"/>
                    <w:right w:val="single" w:sz="4" w:space="0" w:color="auto"/>
                  </w:tcBorders>
                  <w:shd w:val="clear" w:color="auto" w:fill="auto"/>
                  <w:noWrap/>
                  <w:vAlign w:val="bottom"/>
                  <w:hideMark/>
                </w:tcPr>
                <w:p w14:paraId="5D8B8A0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D3BC92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128</w:t>
                  </w:r>
                </w:p>
              </w:tc>
              <w:tc>
                <w:tcPr>
                  <w:tcW w:w="567" w:type="dxa"/>
                  <w:tcBorders>
                    <w:top w:val="nil"/>
                    <w:left w:val="nil"/>
                    <w:bottom w:val="single" w:sz="4" w:space="0" w:color="auto"/>
                    <w:right w:val="single" w:sz="4" w:space="0" w:color="auto"/>
                  </w:tcBorders>
                  <w:shd w:val="clear" w:color="auto" w:fill="auto"/>
                  <w:noWrap/>
                  <w:vAlign w:val="bottom"/>
                  <w:hideMark/>
                </w:tcPr>
                <w:p w14:paraId="09A17C86" w14:textId="0C51405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2AB3650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332C480" w14:textId="04B4E49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w:t>
                  </w:r>
                </w:p>
              </w:tc>
              <w:tc>
                <w:tcPr>
                  <w:tcW w:w="570" w:type="dxa"/>
                  <w:tcBorders>
                    <w:top w:val="nil"/>
                    <w:left w:val="nil"/>
                    <w:bottom w:val="single" w:sz="4" w:space="0" w:color="auto"/>
                    <w:right w:val="single" w:sz="4" w:space="0" w:color="auto"/>
                  </w:tcBorders>
                  <w:shd w:val="clear" w:color="auto" w:fill="auto"/>
                  <w:noWrap/>
                  <w:vAlign w:val="bottom"/>
                  <w:hideMark/>
                </w:tcPr>
                <w:p w14:paraId="1DA90F3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9BA352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99</w:t>
                  </w:r>
                </w:p>
              </w:tc>
              <w:tc>
                <w:tcPr>
                  <w:tcW w:w="600" w:type="dxa"/>
                  <w:tcBorders>
                    <w:top w:val="nil"/>
                    <w:left w:val="nil"/>
                    <w:bottom w:val="single" w:sz="4" w:space="0" w:color="auto"/>
                    <w:right w:val="single" w:sz="4" w:space="0" w:color="auto"/>
                  </w:tcBorders>
                  <w:shd w:val="clear" w:color="auto" w:fill="auto"/>
                  <w:noWrap/>
                  <w:vAlign w:val="bottom"/>
                  <w:hideMark/>
                </w:tcPr>
                <w:p w14:paraId="77952600" w14:textId="241E94D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FDFC74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w:t>
                  </w:r>
                </w:p>
              </w:tc>
              <w:tc>
                <w:tcPr>
                  <w:tcW w:w="570" w:type="dxa"/>
                  <w:tcBorders>
                    <w:top w:val="nil"/>
                    <w:left w:val="nil"/>
                    <w:bottom w:val="single" w:sz="4" w:space="0" w:color="auto"/>
                    <w:right w:val="single" w:sz="4" w:space="0" w:color="auto"/>
                  </w:tcBorders>
                  <w:shd w:val="clear" w:color="auto" w:fill="auto"/>
                  <w:noWrap/>
                  <w:vAlign w:val="bottom"/>
                  <w:hideMark/>
                </w:tcPr>
                <w:p w14:paraId="36EDFE8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34AA9A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25A79D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4017D6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6834D71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E2DA00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-29</w:t>
                  </w:r>
                </w:p>
              </w:tc>
              <w:tc>
                <w:tcPr>
                  <w:tcW w:w="543" w:type="dxa"/>
                  <w:tcBorders>
                    <w:top w:val="nil"/>
                    <w:left w:val="nil"/>
                    <w:bottom w:val="single" w:sz="4" w:space="0" w:color="auto"/>
                    <w:right w:val="single" w:sz="4" w:space="0" w:color="auto"/>
                  </w:tcBorders>
                  <w:shd w:val="clear" w:color="auto" w:fill="auto"/>
                  <w:noWrap/>
                  <w:vAlign w:val="bottom"/>
                  <w:hideMark/>
                </w:tcPr>
                <w:p w14:paraId="4760BEE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5886AA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D704E2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r>
            <w:tr w:rsidR="00837BD6" w:rsidRPr="009E5B39" w14:paraId="74E277A9"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9F95CA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1E6580F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712347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07388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7B541CE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128</w:t>
                  </w:r>
                </w:p>
              </w:tc>
              <w:tc>
                <w:tcPr>
                  <w:tcW w:w="516" w:type="dxa"/>
                  <w:tcBorders>
                    <w:top w:val="nil"/>
                    <w:left w:val="nil"/>
                    <w:bottom w:val="single" w:sz="4" w:space="0" w:color="auto"/>
                    <w:right w:val="single" w:sz="4" w:space="0" w:color="auto"/>
                  </w:tcBorders>
                  <w:shd w:val="clear" w:color="auto" w:fill="auto"/>
                  <w:noWrap/>
                  <w:vAlign w:val="bottom"/>
                  <w:hideMark/>
                </w:tcPr>
                <w:p w14:paraId="64E6A4FC" w14:textId="443FBA6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7F543F2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w:t>
                  </w:r>
                </w:p>
              </w:tc>
              <w:tc>
                <w:tcPr>
                  <w:tcW w:w="572" w:type="dxa"/>
                  <w:tcBorders>
                    <w:top w:val="nil"/>
                    <w:left w:val="nil"/>
                    <w:bottom w:val="single" w:sz="4" w:space="0" w:color="auto"/>
                    <w:right w:val="single" w:sz="4" w:space="0" w:color="auto"/>
                  </w:tcBorders>
                  <w:shd w:val="clear" w:color="auto" w:fill="auto"/>
                  <w:noWrap/>
                  <w:vAlign w:val="bottom"/>
                  <w:hideMark/>
                </w:tcPr>
                <w:p w14:paraId="5E085CD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1DE86A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128</w:t>
                  </w:r>
                </w:p>
              </w:tc>
              <w:tc>
                <w:tcPr>
                  <w:tcW w:w="567" w:type="dxa"/>
                  <w:tcBorders>
                    <w:top w:val="nil"/>
                    <w:left w:val="nil"/>
                    <w:bottom w:val="single" w:sz="4" w:space="0" w:color="auto"/>
                    <w:right w:val="single" w:sz="4" w:space="0" w:color="auto"/>
                  </w:tcBorders>
                  <w:shd w:val="clear" w:color="auto" w:fill="auto"/>
                  <w:noWrap/>
                  <w:vAlign w:val="bottom"/>
                  <w:hideMark/>
                </w:tcPr>
                <w:p w14:paraId="50DFEF95" w14:textId="5BDF5FF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788E687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9F71534" w14:textId="3F3893E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w:t>
                  </w:r>
                </w:p>
              </w:tc>
              <w:tc>
                <w:tcPr>
                  <w:tcW w:w="570" w:type="dxa"/>
                  <w:tcBorders>
                    <w:top w:val="nil"/>
                    <w:left w:val="nil"/>
                    <w:bottom w:val="single" w:sz="4" w:space="0" w:color="auto"/>
                    <w:right w:val="single" w:sz="4" w:space="0" w:color="auto"/>
                  </w:tcBorders>
                  <w:shd w:val="clear" w:color="auto" w:fill="auto"/>
                  <w:noWrap/>
                  <w:vAlign w:val="bottom"/>
                  <w:hideMark/>
                </w:tcPr>
                <w:p w14:paraId="56F52FD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7398E5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98</w:t>
                  </w:r>
                </w:p>
              </w:tc>
              <w:tc>
                <w:tcPr>
                  <w:tcW w:w="600" w:type="dxa"/>
                  <w:tcBorders>
                    <w:top w:val="nil"/>
                    <w:left w:val="nil"/>
                    <w:bottom w:val="single" w:sz="4" w:space="0" w:color="auto"/>
                    <w:right w:val="single" w:sz="4" w:space="0" w:color="auto"/>
                  </w:tcBorders>
                  <w:shd w:val="clear" w:color="auto" w:fill="auto"/>
                  <w:noWrap/>
                  <w:vAlign w:val="bottom"/>
                  <w:hideMark/>
                </w:tcPr>
                <w:p w14:paraId="161793A1" w14:textId="2370FF9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187350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60</w:t>
                  </w:r>
                </w:p>
              </w:tc>
              <w:tc>
                <w:tcPr>
                  <w:tcW w:w="570" w:type="dxa"/>
                  <w:tcBorders>
                    <w:top w:val="nil"/>
                    <w:left w:val="nil"/>
                    <w:bottom w:val="single" w:sz="4" w:space="0" w:color="auto"/>
                    <w:right w:val="single" w:sz="4" w:space="0" w:color="auto"/>
                  </w:tcBorders>
                  <w:shd w:val="clear" w:color="auto" w:fill="auto"/>
                  <w:noWrap/>
                  <w:vAlign w:val="bottom"/>
                  <w:hideMark/>
                </w:tcPr>
                <w:p w14:paraId="5B0AD19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918867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CEA9A6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F325D3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A2E4A1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CDC2E2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-30</w:t>
                  </w:r>
                </w:p>
              </w:tc>
              <w:tc>
                <w:tcPr>
                  <w:tcW w:w="543" w:type="dxa"/>
                  <w:tcBorders>
                    <w:top w:val="nil"/>
                    <w:left w:val="nil"/>
                    <w:bottom w:val="single" w:sz="4" w:space="0" w:color="auto"/>
                    <w:right w:val="single" w:sz="4" w:space="0" w:color="auto"/>
                  </w:tcBorders>
                  <w:shd w:val="clear" w:color="auto" w:fill="auto"/>
                  <w:noWrap/>
                  <w:vAlign w:val="bottom"/>
                  <w:hideMark/>
                </w:tcPr>
                <w:p w14:paraId="35E3DFB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20B57B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831ADB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r>
            <w:tr w:rsidR="00837BD6" w:rsidRPr="009E5B39" w14:paraId="273D256A"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2F157CF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666877C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50C8224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8D6CEF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53CF7C4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128</w:t>
                  </w:r>
                </w:p>
              </w:tc>
              <w:tc>
                <w:tcPr>
                  <w:tcW w:w="516" w:type="dxa"/>
                  <w:tcBorders>
                    <w:top w:val="nil"/>
                    <w:left w:val="nil"/>
                    <w:bottom w:val="single" w:sz="4" w:space="0" w:color="auto"/>
                    <w:right w:val="single" w:sz="4" w:space="0" w:color="auto"/>
                  </w:tcBorders>
                  <w:shd w:val="clear" w:color="auto" w:fill="auto"/>
                  <w:noWrap/>
                  <w:vAlign w:val="bottom"/>
                  <w:hideMark/>
                </w:tcPr>
                <w:p w14:paraId="59E07F3F" w14:textId="410AFA0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47E759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w:t>
                  </w:r>
                </w:p>
              </w:tc>
              <w:tc>
                <w:tcPr>
                  <w:tcW w:w="572" w:type="dxa"/>
                  <w:tcBorders>
                    <w:top w:val="nil"/>
                    <w:left w:val="nil"/>
                    <w:bottom w:val="single" w:sz="4" w:space="0" w:color="auto"/>
                    <w:right w:val="single" w:sz="4" w:space="0" w:color="auto"/>
                  </w:tcBorders>
                  <w:shd w:val="clear" w:color="auto" w:fill="auto"/>
                  <w:noWrap/>
                  <w:vAlign w:val="bottom"/>
                  <w:hideMark/>
                </w:tcPr>
                <w:p w14:paraId="52721CA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EC2746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128</w:t>
                  </w:r>
                </w:p>
              </w:tc>
              <w:tc>
                <w:tcPr>
                  <w:tcW w:w="567" w:type="dxa"/>
                  <w:tcBorders>
                    <w:top w:val="nil"/>
                    <w:left w:val="nil"/>
                    <w:bottom w:val="single" w:sz="4" w:space="0" w:color="auto"/>
                    <w:right w:val="single" w:sz="4" w:space="0" w:color="auto"/>
                  </w:tcBorders>
                  <w:shd w:val="clear" w:color="auto" w:fill="auto"/>
                  <w:noWrap/>
                  <w:vAlign w:val="bottom"/>
                  <w:hideMark/>
                </w:tcPr>
                <w:p w14:paraId="04F99587" w14:textId="5D27EAF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8E58BE9"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5EA0F5E" w14:textId="0A49B65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w:t>
                  </w:r>
                </w:p>
              </w:tc>
              <w:tc>
                <w:tcPr>
                  <w:tcW w:w="570" w:type="dxa"/>
                  <w:tcBorders>
                    <w:top w:val="nil"/>
                    <w:left w:val="nil"/>
                    <w:bottom w:val="single" w:sz="4" w:space="0" w:color="auto"/>
                    <w:right w:val="single" w:sz="4" w:space="0" w:color="auto"/>
                  </w:tcBorders>
                  <w:shd w:val="clear" w:color="auto" w:fill="auto"/>
                  <w:noWrap/>
                  <w:vAlign w:val="bottom"/>
                  <w:hideMark/>
                </w:tcPr>
                <w:p w14:paraId="2F5C734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8BE198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97</w:t>
                  </w:r>
                </w:p>
              </w:tc>
              <w:tc>
                <w:tcPr>
                  <w:tcW w:w="600" w:type="dxa"/>
                  <w:tcBorders>
                    <w:top w:val="nil"/>
                    <w:left w:val="nil"/>
                    <w:bottom w:val="single" w:sz="4" w:space="0" w:color="auto"/>
                    <w:right w:val="single" w:sz="4" w:space="0" w:color="auto"/>
                  </w:tcBorders>
                  <w:shd w:val="clear" w:color="auto" w:fill="auto"/>
                  <w:noWrap/>
                  <w:vAlign w:val="bottom"/>
                  <w:hideMark/>
                </w:tcPr>
                <w:p w14:paraId="7FE5D0CA" w14:textId="5F6EC81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E87CE8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55</w:t>
                  </w:r>
                </w:p>
              </w:tc>
              <w:tc>
                <w:tcPr>
                  <w:tcW w:w="570" w:type="dxa"/>
                  <w:tcBorders>
                    <w:top w:val="nil"/>
                    <w:left w:val="nil"/>
                    <w:bottom w:val="single" w:sz="4" w:space="0" w:color="auto"/>
                    <w:right w:val="single" w:sz="4" w:space="0" w:color="auto"/>
                  </w:tcBorders>
                  <w:shd w:val="clear" w:color="auto" w:fill="auto"/>
                  <w:noWrap/>
                  <w:vAlign w:val="bottom"/>
                  <w:hideMark/>
                </w:tcPr>
                <w:p w14:paraId="2B0B796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23CFBC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28948E5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62643C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6501FEE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89CE22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-31</w:t>
                  </w:r>
                </w:p>
              </w:tc>
              <w:tc>
                <w:tcPr>
                  <w:tcW w:w="543" w:type="dxa"/>
                  <w:tcBorders>
                    <w:top w:val="nil"/>
                    <w:left w:val="nil"/>
                    <w:bottom w:val="single" w:sz="4" w:space="0" w:color="auto"/>
                    <w:right w:val="single" w:sz="4" w:space="0" w:color="auto"/>
                  </w:tcBorders>
                  <w:shd w:val="clear" w:color="auto" w:fill="auto"/>
                  <w:noWrap/>
                  <w:vAlign w:val="bottom"/>
                  <w:hideMark/>
                </w:tcPr>
                <w:p w14:paraId="559D8E4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868CB0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742C2F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r>
            <w:tr w:rsidR="00837BD6" w:rsidRPr="009E5B39" w14:paraId="0EA03F9A"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D11E2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47DFB4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DGERR</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1CE506"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O7223</w:t>
                  </w:r>
                </w:p>
              </w:tc>
              <w:tc>
                <w:tcPr>
                  <w:tcW w:w="541" w:type="dxa"/>
                  <w:tcBorders>
                    <w:top w:val="nil"/>
                    <w:left w:val="nil"/>
                    <w:bottom w:val="single" w:sz="4" w:space="0" w:color="auto"/>
                    <w:right w:val="single" w:sz="4" w:space="0" w:color="auto"/>
                  </w:tcBorders>
                  <w:shd w:val="clear" w:color="auto" w:fill="auto"/>
                  <w:noWrap/>
                  <w:vAlign w:val="bottom"/>
                  <w:hideMark/>
                </w:tcPr>
                <w:p w14:paraId="5F8AED0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6FB4C55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59</w:t>
                  </w:r>
                </w:p>
              </w:tc>
              <w:tc>
                <w:tcPr>
                  <w:tcW w:w="516" w:type="dxa"/>
                  <w:tcBorders>
                    <w:top w:val="nil"/>
                    <w:left w:val="nil"/>
                    <w:bottom w:val="single" w:sz="4" w:space="0" w:color="auto"/>
                    <w:right w:val="single" w:sz="4" w:space="0" w:color="auto"/>
                  </w:tcBorders>
                  <w:shd w:val="clear" w:color="auto" w:fill="auto"/>
                  <w:noWrap/>
                  <w:vAlign w:val="bottom"/>
                  <w:hideMark/>
                </w:tcPr>
                <w:p w14:paraId="05038E99" w14:textId="37FE446A"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74823DF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48</w:t>
                  </w:r>
                </w:p>
              </w:tc>
              <w:tc>
                <w:tcPr>
                  <w:tcW w:w="572" w:type="dxa"/>
                  <w:tcBorders>
                    <w:top w:val="nil"/>
                    <w:left w:val="nil"/>
                    <w:bottom w:val="single" w:sz="4" w:space="0" w:color="auto"/>
                    <w:right w:val="single" w:sz="4" w:space="0" w:color="auto"/>
                  </w:tcBorders>
                  <w:shd w:val="clear" w:color="auto" w:fill="auto"/>
                  <w:noWrap/>
                  <w:vAlign w:val="bottom"/>
                  <w:hideMark/>
                </w:tcPr>
                <w:p w14:paraId="438F803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336E8B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59</w:t>
                  </w:r>
                </w:p>
              </w:tc>
              <w:tc>
                <w:tcPr>
                  <w:tcW w:w="567" w:type="dxa"/>
                  <w:tcBorders>
                    <w:top w:val="nil"/>
                    <w:left w:val="nil"/>
                    <w:bottom w:val="single" w:sz="4" w:space="0" w:color="auto"/>
                    <w:right w:val="single" w:sz="4" w:space="0" w:color="auto"/>
                  </w:tcBorders>
                  <w:shd w:val="clear" w:color="auto" w:fill="auto"/>
                  <w:noWrap/>
                  <w:vAlign w:val="bottom"/>
                  <w:hideMark/>
                </w:tcPr>
                <w:p w14:paraId="1C8B994B" w14:textId="3093633C"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7E0E3F53"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28484D3" w14:textId="29355518"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48</w:t>
                  </w:r>
                </w:p>
              </w:tc>
              <w:tc>
                <w:tcPr>
                  <w:tcW w:w="570" w:type="dxa"/>
                  <w:tcBorders>
                    <w:top w:val="nil"/>
                    <w:left w:val="nil"/>
                    <w:bottom w:val="single" w:sz="4" w:space="0" w:color="auto"/>
                    <w:right w:val="single" w:sz="4" w:space="0" w:color="auto"/>
                  </w:tcBorders>
                  <w:shd w:val="clear" w:color="auto" w:fill="auto"/>
                  <w:noWrap/>
                  <w:vAlign w:val="bottom"/>
                  <w:hideMark/>
                </w:tcPr>
                <w:p w14:paraId="20E85D6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D55297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49</w:t>
                  </w:r>
                </w:p>
              </w:tc>
              <w:tc>
                <w:tcPr>
                  <w:tcW w:w="600" w:type="dxa"/>
                  <w:tcBorders>
                    <w:top w:val="nil"/>
                    <w:left w:val="nil"/>
                    <w:bottom w:val="single" w:sz="4" w:space="0" w:color="auto"/>
                    <w:right w:val="single" w:sz="4" w:space="0" w:color="auto"/>
                  </w:tcBorders>
                  <w:shd w:val="clear" w:color="auto" w:fill="auto"/>
                  <w:noWrap/>
                  <w:vAlign w:val="bottom"/>
                  <w:hideMark/>
                </w:tcPr>
                <w:p w14:paraId="17239DC8" w14:textId="2152CEA3"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C68D14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70" w:type="dxa"/>
                  <w:tcBorders>
                    <w:top w:val="nil"/>
                    <w:left w:val="nil"/>
                    <w:bottom w:val="single" w:sz="4" w:space="0" w:color="auto"/>
                    <w:right w:val="single" w:sz="4" w:space="0" w:color="auto"/>
                  </w:tcBorders>
                  <w:shd w:val="clear" w:color="auto" w:fill="auto"/>
                  <w:noWrap/>
                  <w:vAlign w:val="bottom"/>
                  <w:hideMark/>
                </w:tcPr>
                <w:p w14:paraId="6C327A6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78E657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CD7219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4430101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2E54C3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1A8E2D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w:t>
                  </w:r>
                </w:p>
              </w:tc>
              <w:tc>
                <w:tcPr>
                  <w:tcW w:w="543" w:type="dxa"/>
                  <w:tcBorders>
                    <w:top w:val="nil"/>
                    <w:left w:val="nil"/>
                    <w:bottom w:val="single" w:sz="4" w:space="0" w:color="auto"/>
                    <w:right w:val="single" w:sz="4" w:space="0" w:color="auto"/>
                  </w:tcBorders>
                  <w:shd w:val="clear" w:color="auto" w:fill="auto"/>
                  <w:noWrap/>
                  <w:vAlign w:val="bottom"/>
                  <w:hideMark/>
                </w:tcPr>
                <w:p w14:paraId="371359A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C633CB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61C817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693CED95"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4B4AA5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11F7E30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6DCDADC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6909F8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75440D9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59</w:t>
                  </w:r>
                </w:p>
              </w:tc>
              <w:tc>
                <w:tcPr>
                  <w:tcW w:w="516" w:type="dxa"/>
                  <w:tcBorders>
                    <w:top w:val="nil"/>
                    <w:left w:val="nil"/>
                    <w:bottom w:val="single" w:sz="4" w:space="0" w:color="auto"/>
                    <w:right w:val="single" w:sz="4" w:space="0" w:color="auto"/>
                  </w:tcBorders>
                  <w:shd w:val="clear" w:color="auto" w:fill="auto"/>
                  <w:noWrap/>
                  <w:vAlign w:val="bottom"/>
                  <w:hideMark/>
                </w:tcPr>
                <w:p w14:paraId="4EC9A7F4" w14:textId="00CE14E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293D16A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48</w:t>
                  </w:r>
                </w:p>
              </w:tc>
              <w:tc>
                <w:tcPr>
                  <w:tcW w:w="572" w:type="dxa"/>
                  <w:tcBorders>
                    <w:top w:val="nil"/>
                    <w:left w:val="nil"/>
                    <w:bottom w:val="single" w:sz="4" w:space="0" w:color="auto"/>
                    <w:right w:val="single" w:sz="4" w:space="0" w:color="auto"/>
                  </w:tcBorders>
                  <w:shd w:val="clear" w:color="auto" w:fill="auto"/>
                  <w:noWrap/>
                  <w:vAlign w:val="bottom"/>
                  <w:hideMark/>
                </w:tcPr>
                <w:p w14:paraId="279BDF4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1D1D7B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61</w:t>
                  </w:r>
                </w:p>
              </w:tc>
              <w:tc>
                <w:tcPr>
                  <w:tcW w:w="567" w:type="dxa"/>
                  <w:tcBorders>
                    <w:top w:val="nil"/>
                    <w:left w:val="nil"/>
                    <w:bottom w:val="single" w:sz="4" w:space="0" w:color="auto"/>
                    <w:right w:val="single" w:sz="4" w:space="0" w:color="auto"/>
                  </w:tcBorders>
                  <w:shd w:val="clear" w:color="auto" w:fill="auto"/>
                  <w:noWrap/>
                  <w:vAlign w:val="bottom"/>
                  <w:hideMark/>
                </w:tcPr>
                <w:p w14:paraId="0A4CC240" w14:textId="7D0421D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37320CAC"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DC4CB05" w14:textId="03A0498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w:t>
                  </w:r>
                </w:p>
              </w:tc>
              <w:tc>
                <w:tcPr>
                  <w:tcW w:w="570" w:type="dxa"/>
                  <w:tcBorders>
                    <w:top w:val="nil"/>
                    <w:left w:val="nil"/>
                    <w:bottom w:val="single" w:sz="4" w:space="0" w:color="auto"/>
                    <w:right w:val="single" w:sz="4" w:space="0" w:color="auto"/>
                  </w:tcBorders>
                  <w:shd w:val="clear" w:color="auto" w:fill="auto"/>
                  <w:noWrap/>
                  <w:vAlign w:val="bottom"/>
                  <w:hideMark/>
                </w:tcPr>
                <w:p w14:paraId="41AD5A6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27113B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46</w:t>
                  </w:r>
                </w:p>
              </w:tc>
              <w:tc>
                <w:tcPr>
                  <w:tcW w:w="600" w:type="dxa"/>
                  <w:tcBorders>
                    <w:top w:val="nil"/>
                    <w:left w:val="nil"/>
                    <w:bottom w:val="single" w:sz="4" w:space="0" w:color="auto"/>
                    <w:right w:val="single" w:sz="4" w:space="0" w:color="auto"/>
                  </w:tcBorders>
                  <w:shd w:val="clear" w:color="auto" w:fill="auto"/>
                  <w:noWrap/>
                  <w:vAlign w:val="bottom"/>
                  <w:hideMark/>
                </w:tcPr>
                <w:p w14:paraId="370EB444" w14:textId="22939CC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A266B8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36</w:t>
                  </w:r>
                </w:p>
              </w:tc>
              <w:tc>
                <w:tcPr>
                  <w:tcW w:w="570" w:type="dxa"/>
                  <w:tcBorders>
                    <w:top w:val="nil"/>
                    <w:left w:val="nil"/>
                    <w:bottom w:val="single" w:sz="4" w:space="0" w:color="auto"/>
                    <w:right w:val="single" w:sz="4" w:space="0" w:color="auto"/>
                  </w:tcBorders>
                  <w:shd w:val="clear" w:color="auto" w:fill="auto"/>
                  <w:noWrap/>
                  <w:vAlign w:val="bottom"/>
                  <w:hideMark/>
                </w:tcPr>
                <w:p w14:paraId="3EF8A15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3526B6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580" w:type="dxa"/>
                  <w:tcBorders>
                    <w:top w:val="nil"/>
                    <w:left w:val="nil"/>
                    <w:bottom w:val="single" w:sz="4" w:space="0" w:color="auto"/>
                    <w:right w:val="single" w:sz="4" w:space="0" w:color="auto"/>
                  </w:tcBorders>
                  <w:shd w:val="clear" w:color="auto" w:fill="auto"/>
                  <w:noWrap/>
                  <w:vAlign w:val="bottom"/>
                  <w:hideMark/>
                </w:tcPr>
                <w:p w14:paraId="6BEE743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5ECD46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40" w:type="dxa"/>
                  <w:tcBorders>
                    <w:top w:val="nil"/>
                    <w:left w:val="nil"/>
                    <w:bottom w:val="single" w:sz="4" w:space="0" w:color="auto"/>
                    <w:right w:val="single" w:sz="4" w:space="0" w:color="auto"/>
                  </w:tcBorders>
                  <w:shd w:val="clear" w:color="auto" w:fill="auto"/>
                  <w:noWrap/>
                  <w:vAlign w:val="bottom"/>
                  <w:hideMark/>
                </w:tcPr>
                <w:p w14:paraId="599DEB8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A609D8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-15</w:t>
                  </w:r>
                </w:p>
              </w:tc>
              <w:tc>
                <w:tcPr>
                  <w:tcW w:w="543" w:type="dxa"/>
                  <w:tcBorders>
                    <w:top w:val="nil"/>
                    <w:left w:val="nil"/>
                    <w:bottom w:val="single" w:sz="4" w:space="0" w:color="auto"/>
                    <w:right w:val="single" w:sz="4" w:space="0" w:color="auto"/>
                  </w:tcBorders>
                  <w:shd w:val="clear" w:color="auto" w:fill="auto"/>
                  <w:noWrap/>
                  <w:vAlign w:val="bottom"/>
                  <w:hideMark/>
                </w:tcPr>
                <w:p w14:paraId="078788C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596FA2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C06BAE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r>
            <w:tr w:rsidR="00837BD6" w:rsidRPr="009E5B39" w14:paraId="2F9F6A2D"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17359C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2147E94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5ECE302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71A015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2BB230C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61</w:t>
                  </w:r>
                </w:p>
              </w:tc>
              <w:tc>
                <w:tcPr>
                  <w:tcW w:w="516" w:type="dxa"/>
                  <w:tcBorders>
                    <w:top w:val="nil"/>
                    <w:left w:val="nil"/>
                    <w:bottom w:val="single" w:sz="4" w:space="0" w:color="auto"/>
                    <w:right w:val="single" w:sz="4" w:space="0" w:color="auto"/>
                  </w:tcBorders>
                  <w:shd w:val="clear" w:color="auto" w:fill="auto"/>
                  <w:noWrap/>
                  <w:vAlign w:val="bottom"/>
                  <w:hideMark/>
                </w:tcPr>
                <w:p w14:paraId="6E06621D" w14:textId="13F2A25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05EEDD3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w:t>
                  </w:r>
                </w:p>
              </w:tc>
              <w:tc>
                <w:tcPr>
                  <w:tcW w:w="572" w:type="dxa"/>
                  <w:tcBorders>
                    <w:top w:val="nil"/>
                    <w:left w:val="nil"/>
                    <w:bottom w:val="single" w:sz="4" w:space="0" w:color="auto"/>
                    <w:right w:val="single" w:sz="4" w:space="0" w:color="auto"/>
                  </w:tcBorders>
                  <w:shd w:val="clear" w:color="auto" w:fill="auto"/>
                  <w:noWrap/>
                  <w:vAlign w:val="bottom"/>
                  <w:hideMark/>
                </w:tcPr>
                <w:p w14:paraId="37AA137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2B8F5A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61</w:t>
                  </w:r>
                </w:p>
              </w:tc>
              <w:tc>
                <w:tcPr>
                  <w:tcW w:w="567" w:type="dxa"/>
                  <w:tcBorders>
                    <w:top w:val="nil"/>
                    <w:left w:val="nil"/>
                    <w:bottom w:val="single" w:sz="4" w:space="0" w:color="auto"/>
                    <w:right w:val="single" w:sz="4" w:space="0" w:color="auto"/>
                  </w:tcBorders>
                  <w:shd w:val="clear" w:color="auto" w:fill="auto"/>
                  <w:noWrap/>
                  <w:vAlign w:val="bottom"/>
                  <w:hideMark/>
                </w:tcPr>
                <w:p w14:paraId="5CB4B719" w14:textId="5E49A1F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7161E9D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BE11319" w14:textId="161CFEA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w:t>
                  </w:r>
                </w:p>
              </w:tc>
              <w:tc>
                <w:tcPr>
                  <w:tcW w:w="570" w:type="dxa"/>
                  <w:tcBorders>
                    <w:top w:val="nil"/>
                    <w:left w:val="nil"/>
                    <w:bottom w:val="single" w:sz="4" w:space="0" w:color="auto"/>
                    <w:right w:val="single" w:sz="4" w:space="0" w:color="auto"/>
                  </w:tcBorders>
                  <w:shd w:val="clear" w:color="auto" w:fill="auto"/>
                  <w:noWrap/>
                  <w:vAlign w:val="bottom"/>
                  <w:hideMark/>
                </w:tcPr>
                <w:p w14:paraId="24A677D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14FE06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46</w:t>
                  </w:r>
                </w:p>
              </w:tc>
              <w:tc>
                <w:tcPr>
                  <w:tcW w:w="600" w:type="dxa"/>
                  <w:tcBorders>
                    <w:top w:val="nil"/>
                    <w:left w:val="nil"/>
                    <w:bottom w:val="single" w:sz="4" w:space="0" w:color="auto"/>
                    <w:right w:val="single" w:sz="4" w:space="0" w:color="auto"/>
                  </w:tcBorders>
                  <w:shd w:val="clear" w:color="auto" w:fill="auto"/>
                  <w:noWrap/>
                  <w:vAlign w:val="bottom"/>
                  <w:hideMark/>
                </w:tcPr>
                <w:p w14:paraId="105F8CFB" w14:textId="49D8595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CB0455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w:t>
                  </w:r>
                </w:p>
              </w:tc>
              <w:tc>
                <w:tcPr>
                  <w:tcW w:w="570" w:type="dxa"/>
                  <w:tcBorders>
                    <w:top w:val="nil"/>
                    <w:left w:val="nil"/>
                    <w:bottom w:val="single" w:sz="4" w:space="0" w:color="auto"/>
                    <w:right w:val="single" w:sz="4" w:space="0" w:color="auto"/>
                  </w:tcBorders>
                  <w:shd w:val="clear" w:color="auto" w:fill="auto"/>
                  <w:noWrap/>
                  <w:vAlign w:val="bottom"/>
                  <w:hideMark/>
                </w:tcPr>
                <w:p w14:paraId="515FD68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4B5789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20E0359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4758C1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C8B65A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AC8A79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-15</w:t>
                  </w:r>
                </w:p>
              </w:tc>
              <w:tc>
                <w:tcPr>
                  <w:tcW w:w="543" w:type="dxa"/>
                  <w:tcBorders>
                    <w:top w:val="nil"/>
                    <w:left w:val="nil"/>
                    <w:bottom w:val="single" w:sz="4" w:space="0" w:color="auto"/>
                    <w:right w:val="single" w:sz="4" w:space="0" w:color="auto"/>
                  </w:tcBorders>
                  <w:shd w:val="clear" w:color="auto" w:fill="auto"/>
                  <w:noWrap/>
                  <w:vAlign w:val="bottom"/>
                  <w:hideMark/>
                </w:tcPr>
                <w:p w14:paraId="0ED139F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BA9C63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B25439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r>
            <w:tr w:rsidR="00837BD6" w:rsidRPr="009E5B39" w14:paraId="6C169D0B"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1B9042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1E15B2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D71F0B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72C22E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5344C06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61</w:t>
                  </w:r>
                </w:p>
              </w:tc>
              <w:tc>
                <w:tcPr>
                  <w:tcW w:w="516" w:type="dxa"/>
                  <w:tcBorders>
                    <w:top w:val="nil"/>
                    <w:left w:val="nil"/>
                    <w:bottom w:val="single" w:sz="4" w:space="0" w:color="auto"/>
                    <w:right w:val="single" w:sz="4" w:space="0" w:color="auto"/>
                  </w:tcBorders>
                  <w:shd w:val="clear" w:color="auto" w:fill="auto"/>
                  <w:noWrap/>
                  <w:vAlign w:val="bottom"/>
                  <w:hideMark/>
                </w:tcPr>
                <w:p w14:paraId="0F961540" w14:textId="0BE7AD0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0BB9E5F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w:t>
                  </w:r>
                </w:p>
              </w:tc>
              <w:tc>
                <w:tcPr>
                  <w:tcW w:w="572" w:type="dxa"/>
                  <w:tcBorders>
                    <w:top w:val="nil"/>
                    <w:left w:val="nil"/>
                    <w:bottom w:val="single" w:sz="4" w:space="0" w:color="auto"/>
                    <w:right w:val="single" w:sz="4" w:space="0" w:color="auto"/>
                  </w:tcBorders>
                  <w:shd w:val="clear" w:color="auto" w:fill="auto"/>
                  <w:noWrap/>
                  <w:vAlign w:val="bottom"/>
                  <w:hideMark/>
                </w:tcPr>
                <w:p w14:paraId="75B7BA3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46F1A5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61</w:t>
                  </w:r>
                </w:p>
              </w:tc>
              <w:tc>
                <w:tcPr>
                  <w:tcW w:w="567" w:type="dxa"/>
                  <w:tcBorders>
                    <w:top w:val="nil"/>
                    <w:left w:val="nil"/>
                    <w:bottom w:val="single" w:sz="4" w:space="0" w:color="auto"/>
                    <w:right w:val="single" w:sz="4" w:space="0" w:color="auto"/>
                  </w:tcBorders>
                  <w:shd w:val="clear" w:color="auto" w:fill="auto"/>
                  <w:noWrap/>
                  <w:vAlign w:val="bottom"/>
                  <w:hideMark/>
                </w:tcPr>
                <w:p w14:paraId="5552069E" w14:textId="51E4CFC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2C85B78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6D4D023" w14:textId="5453C3A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w:t>
                  </w:r>
                </w:p>
              </w:tc>
              <w:tc>
                <w:tcPr>
                  <w:tcW w:w="570" w:type="dxa"/>
                  <w:tcBorders>
                    <w:top w:val="nil"/>
                    <w:left w:val="nil"/>
                    <w:bottom w:val="single" w:sz="4" w:space="0" w:color="auto"/>
                    <w:right w:val="single" w:sz="4" w:space="0" w:color="auto"/>
                  </w:tcBorders>
                  <w:shd w:val="clear" w:color="auto" w:fill="auto"/>
                  <w:noWrap/>
                  <w:vAlign w:val="bottom"/>
                  <w:hideMark/>
                </w:tcPr>
                <w:p w14:paraId="6D41A86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AE6618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46</w:t>
                  </w:r>
                </w:p>
              </w:tc>
              <w:tc>
                <w:tcPr>
                  <w:tcW w:w="600" w:type="dxa"/>
                  <w:tcBorders>
                    <w:top w:val="nil"/>
                    <w:left w:val="nil"/>
                    <w:bottom w:val="single" w:sz="4" w:space="0" w:color="auto"/>
                    <w:right w:val="single" w:sz="4" w:space="0" w:color="auto"/>
                  </w:tcBorders>
                  <w:shd w:val="clear" w:color="auto" w:fill="auto"/>
                  <w:noWrap/>
                  <w:vAlign w:val="bottom"/>
                  <w:hideMark/>
                </w:tcPr>
                <w:p w14:paraId="4337E696" w14:textId="520341D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295D5F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w:t>
                  </w:r>
                </w:p>
              </w:tc>
              <w:tc>
                <w:tcPr>
                  <w:tcW w:w="570" w:type="dxa"/>
                  <w:tcBorders>
                    <w:top w:val="nil"/>
                    <w:left w:val="nil"/>
                    <w:bottom w:val="single" w:sz="4" w:space="0" w:color="auto"/>
                    <w:right w:val="single" w:sz="4" w:space="0" w:color="auto"/>
                  </w:tcBorders>
                  <w:shd w:val="clear" w:color="auto" w:fill="auto"/>
                  <w:noWrap/>
                  <w:vAlign w:val="bottom"/>
                  <w:hideMark/>
                </w:tcPr>
                <w:p w14:paraId="593E5DE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8A4C2A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73CC5DC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237793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531CA4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22A18C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-15</w:t>
                  </w:r>
                </w:p>
              </w:tc>
              <w:tc>
                <w:tcPr>
                  <w:tcW w:w="543" w:type="dxa"/>
                  <w:tcBorders>
                    <w:top w:val="nil"/>
                    <w:left w:val="nil"/>
                    <w:bottom w:val="single" w:sz="4" w:space="0" w:color="auto"/>
                    <w:right w:val="single" w:sz="4" w:space="0" w:color="auto"/>
                  </w:tcBorders>
                  <w:shd w:val="clear" w:color="auto" w:fill="auto"/>
                  <w:noWrap/>
                  <w:vAlign w:val="bottom"/>
                  <w:hideMark/>
                </w:tcPr>
                <w:p w14:paraId="24066FD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5FDCFF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51F47E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r>
            <w:tr w:rsidR="00837BD6" w:rsidRPr="009E5B39" w14:paraId="585972C0"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A93A25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4CC69F8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7AE27D9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DF9069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357F792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76575E8C" w14:textId="62025C7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0D32676" w14:textId="0FA2A01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0F772B40" w14:textId="6CE38DA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9C2FA6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780E5966" w14:textId="70BE4BE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774A9BF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9889F88" w14:textId="20DDC7E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695CF973" w14:textId="2D05EE7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EDA90D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11F33657" w14:textId="5799037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A785DDB" w14:textId="2427090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36B56184" w14:textId="08933E9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76ADF5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A06028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39B3E7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5B95EF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37DC30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0AAF1F4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B4FFB2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4662D38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547D3814"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941CF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F293609"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DGLCA</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0AB13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O7284</w:t>
                  </w:r>
                </w:p>
              </w:tc>
              <w:tc>
                <w:tcPr>
                  <w:tcW w:w="541" w:type="dxa"/>
                  <w:tcBorders>
                    <w:top w:val="nil"/>
                    <w:left w:val="nil"/>
                    <w:bottom w:val="single" w:sz="4" w:space="0" w:color="auto"/>
                    <w:right w:val="single" w:sz="4" w:space="0" w:color="auto"/>
                  </w:tcBorders>
                  <w:shd w:val="clear" w:color="auto" w:fill="auto"/>
                  <w:noWrap/>
                  <w:vAlign w:val="bottom"/>
                  <w:hideMark/>
                </w:tcPr>
                <w:p w14:paraId="343C67F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0C6C327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81</w:t>
                  </w:r>
                </w:p>
              </w:tc>
              <w:tc>
                <w:tcPr>
                  <w:tcW w:w="516" w:type="dxa"/>
                  <w:tcBorders>
                    <w:top w:val="nil"/>
                    <w:left w:val="nil"/>
                    <w:bottom w:val="single" w:sz="4" w:space="0" w:color="auto"/>
                    <w:right w:val="single" w:sz="4" w:space="0" w:color="auto"/>
                  </w:tcBorders>
                  <w:shd w:val="clear" w:color="auto" w:fill="auto"/>
                  <w:noWrap/>
                  <w:vAlign w:val="bottom"/>
                  <w:hideMark/>
                </w:tcPr>
                <w:p w14:paraId="2DD7BAC5" w14:textId="13D52543"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824E75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72" w:type="dxa"/>
                  <w:tcBorders>
                    <w:top w:val="nil"/>
                    <w:left w:val="nil"/>
                    <w:bottom w:val="single" w:sz="4" w:space="0" w:color="auto"/>
                    <w:right w:val="single" w:sz="4" w:space="0" w:color="auto"/>
                  </w:tcBorders>
                  <w:shd w:val="clear" w:color="auto" w:fill="auto"/>
                  <w:noWrap/>
                  <w:vAlign w:val="bottom"/>
                  <w:hideMark/>
                </w:tcPr>
                <w:p w14:paraId="4ACCC5C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CCC722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81</w:t>
                  </w:r>
                </w:p>
              </w:tc>
              <w:tc>
                <w:tcPr>
                  <w:tcW w:w="567" w:type="dxa"/>
                  <w:tcBorders>
                    <w:top w:val="nil"/>
                    <w:left w:val="nil"/>
                    <w:bottom w:val="single" w:sz="4" w:space="0" w:color="auto"/>
                    <w:right w:val="single" w:sz="4" w:space="0" w:color="auto"/>
                  </w:tcBorders>
                  <w:shd w:val="clear" w:color="auto" w:fill="auto"/>
                  <w:noWrap/>
                  <w:vAlign w:val="bottom"/>
                  <w:hideMark/>
                </w:tcPr>
                <w:p w14:paraId="3A453776" w14:textId="73033F39"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27946DD5"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C6D812A" w14:textId="044D6125"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70" w:type="dxa"/>
                  <w:tcBorders>
                    <w:top w:val="nil"/>
                    <w:left w:val="nil"/>
                    <w:bottom w:val="single" w:sz="4" w:space="0" w:color="auto"/>
                    <w:right w:val="single" w:sz="4" w:space="0" w:color="auto"/>
                  </w:tcBorders>
                  <w:shd w:val="clear" w:color="auto" w:fill="auto"/>
                  <w:noWrap/>
                  <w:vAlign w:val="bottom"/>
                  <w:hideMark/>
                </w:tcPr>
                <w:p w14:paraId="6000CCD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9BE86B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65</w:t>
                  </w:r>
                </w:p>
              </w:tc>
              <w:tc>
                <w:tcPr>
                  <w:tcW w:w="600" w:type="dxa"/>
                  <w:tcBorders>
                    <w:top w:val="nil"/>
                    <w:left w:val="nil"/>
                    <w:bottom w:val="single" w:sz="4" w:space="0" w:color="auto"/>
                    <w:right w:val="single" w:sz="4" w:space="0" w:color="auto"/>
                  </w:tcBorders>
                  <w:shd w:val="clear" w:color="auto" w:fill="auto"/>
                  <w:noWrap/>
                  <w:vAlign w:val="bottom"/>
                  <w:hideMark/>
                </w:tcPr>
                <w:p w14:paraId="3D428F3E" w14:textId="5E9D5D46"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D7E0DE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30</w:t>
                  </w:r>
                </w:p>
              </w:tc>
              <w:tc>
                <w:tcPr>
                  <w:tcW w:w="570" w:type="dxa"/>
                  <w:tcBorders>
                    <w:top w:val="nil"/>
                    <w:left w:val="nil"/>
                    <w:bottom w:val="single" w:sz="4" w:space="0" w:color="auto"/>
                    <w:right w:val="single" w:sz="4" w:space="0" w:color="auto"/>
                  </w:tcBorders>
                  <w:shd w:val="clear" w:color="auto" w:fill="auto"/>
                  <w:noWrap/>
                  <w:vAlign w:val="bottom"/>
                  <w:hideMark/>
                </w:tcPr>
                <w:p w14:paraId="27E8ECC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DCF6FA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9FBDED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1EA1CC2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4020F3E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B394CD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w:t>
                  </w:r>
                </w:p>
              </w:tc>
              <w:tc>
                <w:tcPr>
                  <w:tcW w:w="543" w:type="dxa"/>
                  <w:tcBorders>
                    <w:top w:val="nil"/>
                    <w:left w:val="nil"/>
                    <w:bottom w:val="single" w:sz="4" w:space="0" w:color="auto"/>
                    <w:right w:val="single" w:sz="4" w:space="0" w:color="auto"/>
                  </w:tcBorders>
                  <w:shd w:val="clear" w:color="auto" w:fill="auto"/>
                  <w:noWrap/>
                  <w:vAlign w:val="bottom"/>
                  <w:hideMark/>
                </w:tcPr>
                <w:p w14:paraId="7046AEB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2A9D36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81F514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w:t>
                  </w:r>
                </w:p>
              </w:tc>
            </w:tr>
            <w:tr w:rsidR="00837BD6" w:rsidRPr="009E5B39" w14:paraId="44DCBF9B"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2DD2EB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A55AE9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2418CD9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669342A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3A7056E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80</w:t>
                  </w:r>
                </w:p>
              </w:tc>
              <w:tc>
                <w:tcPr>
                  <w:tcW w:w="516" w:type="dxa"/>
                  <w:tcBorders>
                    <w:top w:val="nil"/>
                    <w:left w:val="nil"/>
                    <w:bottom w:val="single" w:sz="4" w:space="0" w:color="auto"/>
                    <w:right w:val="single" w:sz="4" w:space="0" w:color="auto"/>
                  </w:tcBorders>
                  <w:shd w:val="clear" w:color="auto" w:fill="auto"/>
                  <w:noWrap/>
                  <w:vAlign w:val="bottom"/>
                  <w:hideMark/>
                </w:tcPr>
                <w:p w14:paraId="02C3E200" w14:textId="5610321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2FC1BEF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w:t>
                  </w:r>
                </w:p>
              </w:tc>
              <w:tc>
                <w:tcPr>
                  <w:tcW w:w="572" w:type="dxa"/>
                  <w:tcBorders>
                    <w:top w:val="nil"/>
                    <w:left w:val="nil"/>
                    <w:bottom w:val="single" w:sz="4" w:space="0" w:color="auto"/>
                    <w:right w:val="single" w:sz="4" w:space="0" w:color="auto"/>
                  </w:tcBorders>
                  <w:shd w:val="clear" w:color="auto" w:fill="auto"/>
                  <w:noWrap/>
                  <w:vAlign w:val="bottom"/>
                  <w:hideMark/>
                </w:tcPr>
                <w:p w14:paraId="36C6EC1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85BCBE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80</w:t>
                  </w:r>
                </w:p>
              </w:tc>
              <w:tc>
                <w:tcPr>
                  <w:tcW w:w="567" w:type="dxa"/>
                  <w:tcBorders>
                    <w:top w:val="nil"/>
                    <w:left w:val="nil"/>
                    <w:bottom w:val="single" w:sz="4" w:space="0" w:color="auto"/>
                    <w:right w:val="single" w:sz="4" w:space="0" w:color="auto"/>
                  </w:tcBorders>
                  <w:shd w:val="clear" w:color="auto" w:fill="auto"/>
                  <w:noWrap/>
                  <w:vAlign w:val="bottom"/>
                  <w:hideMark/>
                </w:tcPr>
                <w:p w14:paraId="44A93FF1" w14:textId="465EE9F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188593F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C06EC26" w14:textId="0446505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w:t>
                  </w:r>
                </w:p>
              </w:tc>
              <w:tc>
                <w:tcPr>
                  <w:tcW w:w="570" w:type="dxa"/>
                  <w:tcBorders>
                    <w:top w:val="nil"/>
                    <w:left w:val="nil"/>
                    <w:bottom w:val="single" w:sz="4" w:space="0" w:color="auto"/>
                    <w:right w:val="single" w:sz="4" w:space="0" w:color="auto"/>
                  </w:tcBorders>
                  <w:shd w:val="clear" w:color="auto" w:fill="auto"/>
                  <w:noWrap/>
                  <w:vAlign w:val="bottom"/>
                  <w:hideMark/>
                </w:tcPr>
                <w:p w14:paraId="209E415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23DE17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59</w:t>
                  </w:r>
                </w:p>
              </w:tc>
              <w:tc>
                <w:tcPr>
                  <w:tcW w:w="600" w:type="dxa"/>
                  <w:tcBorders>
                    <w:top w:val="nil"/>
                    <w:left w:val="nil"/>
                    <w:bottom w:val="single" w:sz="4" w:space="0" w:color="auto"/>
                    <w:right w:val="single" w:sz="4" w:space="0" w:color="auto"/>
                  </w:tcBorders>
                  <w:shd w:val="clear" w:color="auto" w:fill="auto"/>
                  <w:noWrap/>
                  <w:vAlign w:val="bottom"/>
                  <w:hideMark/>
                </w:tcPr>
                <w:p w14:paraId="4AFFDF9C" w14:textId="4242460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53238D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w:t>
                  </w:r>
                </w:p>
              </w:tc>
              <w:tc>
                <w:tcPr>
                  <w:tcW w:w="570" w:type="dxa"/>
                  <w:tcBorders>
                    <w:top w:val="nil"/>
                    <w:left w:val="nil"/>
                    <w:bottom w:val="single" w:sz="4" w:space="0" w:color="auto"/>
                    <w:right w:val="single" w:sz="4" w:space="0" w:color="auto"/>
                  </w:tcBorders>
                  <w:shd w:val="clear" w:color="auto" w:fill="auto"/>
                  <w:noWrap/>
                  <w:vAlign w:val="bottom"/>
                  <w:hideMark/>
                </w:tcPr>
                <w:p w14:paraId="02BC644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05FEA8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AB45A9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40429C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EC35F6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82EECE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-21</w:t>
                  </w:r>
                </w:p>
              </w:tc>
              <w:tc>
                <w:tcPr>
                  <w:tcW w:w="543" w:type="dxa"/>
                  <w:tcBorders>
                    <w:top w:val="nil"/>
                    <w:left w:val="nil"/>
                    <w:bottom w:val="single" w:sz="4" w:space="0" w:color="auto"/>
                    <w:right w:val="single" w:sz="4" w:space="0" w:color="auto"/>
                  </w:tcBorders>
                  <w:shd w:val="clear" w:color="auto" w:fill="auto"/>
                  <w:noWrap/>
                  <w:vAlign w:val="bottom"/>
                  <w:hideMark/>
                </w:tcPr>
                <w:p w14:paraId="5B42F32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2779AA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173DC7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r>
            <w:tr w:rsidR="00837BD6" w:rsidRPr="009E5B39" w14:paraId="0208607C"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3AF6E0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C1C0E4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B5BB10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47A4069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7A9E3BB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80</w:t>
                  </w:r>
                </w:p>
              </w:tc>
              <w:tc>
                <w:tcPr>
                  <w:tcW w:w="516" w:type="dxa"/>
                  <w:tcBorders>
                    <w:top w:val="nil"/>
                    <w:left w:val="nil"/>
                    <w:bottom w:val="single" w:sz="4" w:space="0" w:color="auto"/>
                    <w:right w:val="single" w:sz="4" w:space="0" w:color="auto"/>
                  </w:tcBorders>
                  <w:shd w:val="clear" w:color="auto" w:fill="auto"/>
                  <w:noWrap/>
                  <w:vAlign w:val="bottom"/>
                  <w:hideMark/>
                </w:tcPr>
                <w:p w14:paraId="2365489A" w14:textId="0385553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7F9EF81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w:t>
                  </w:r>
                </w:p>
              </w:tc>
              <w:tc>
                <w:tcPr>
                  <w:tcW w:w="572" w:type="dxa"/>
                  <w:tcBorders>
                    <w:top w:val="nil"/>
                    <w:left w:val="nil"/>
                    <w:bottom w:val="single" w:sz="4" w:space="0" w:color="auto"/>
                    <w:right w:val="single" w:sz="4" w:space="0" w:color="auto"/>
                  </w:tcBorders>
                  <w:shd w:val="clear" w:color="auto" w:fill="auto"/>
                  <w:noWrap/>
                  <w:vAlign w:val="bottom"/>
                  <w:hideMark/>
                </w:tcPr>
                <w:p w14:paraId="10A144E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5DD402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80</w:t>
                  </w:r>
                </w:p>
              </w:tc>
              <w:tc>
                <w:tcPr>
                  <w:tcW w:w="567" w:type="dxa"/>
                  <w:tcBorders>
                    <w:top w:val="nil"/>
                    <w:left w:val="nil"/>
                    <w:bottom w:val="single" w:sz="4" w:space="0" w:color="auto"/>
                    <w:right w:val="single" w:sz="4" w:space="0" w:color="auto"/>
                  </w:tcBorders>
                  <w:shd w:val="clear" w:color="auto" w:fill="auto"/>
                  <w:noWrap/>
                  <w:vAlign w:val="bottom"/>
                  <w:hideMark/>
                </w:tcPr>
                <w:p w14:paraId="63F25FF8" w14:textId="2D22A3D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B2ADD2F"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458A474" w14:textId="5789591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w:t>
                  </w:r>
                </w:p>
              </w:tc>
              <w:tc>
                <w:tcPr>
                  <w:tcW w:w="570" w:type="dxa"/>
                  <w:tcBorders>
                    <w:top w:val="nil"/>
                    <w:left w:val="nil"/>
                    <w:bottom w:val="single" w:sz="4" w:space="0" w:color="auto"/>
                    <w:right w:val="single" w:sz="4" w:space="0" w:color="auto"/>
                  </w:tcBorders>
                  <w:shd w:val="clear" w:color="auto" w:fill="auto"/>
                  <w:noWrap/>
                  <w:vAlign w:val="bottom"/>
                  <w:hideMark/>
                </w:tcPr>
                <w:p w14:paraId="37A9DD8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AA4EA7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63</w:t>
                  </w:r>
                </w:p>
              </w:tc>
              <w:tc>
                <w:tcPr>
                  <w:tcW w:w="600" w:type="dxa"/>
                  <w:tcBorders>
                    <w:top w:val="nil"/>
                    <w:left w:val="nil"/>
                    <w:bottom w:val="single" w:sz="4" w:space="0" w:color="auto"/>
                    <w:right w:val="single" w:sz="4" w:space="0" w:color="auto"/>
                  </w:tcBorders>
                  <w:shd w:val="clear" w:color="auto" w:fill="auto"/>
                  <w:noWrap/>
                  <w:vAlign w:val="bottom"/>
                  <w:hideMark/>
                </w:tcPr>
                <w:p w14:paraId="73C30628" w14:textId="24F4B49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BD0183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w:t>
                  </w:r>
                </w:p>
              </w:tc>
              <w:tc>
                <w:tcPr>
                  <w:tcW w:w="570" w:type="dxa"/>
                  <w:tcBorders>
                    <w:top w:val="nil"/>
                    <w:left w:val="nil"/>
                    <w:bottom w:val="single" w:sz="4" w:space="0" w:color="auto"/>
                    <w:right w:val="single" w:sz="4" w:space="0" w:color="auto"/>
                  </w:tcBorders>
                  <w:shd w:val="clear" w:color="auto" w:fill="auto"/>
                  <w:noWrap/>
                  <w:vAlign w:val="bottom"/>
                  <w:hideMark/>
                </w:tcPr>
                <w:p w14:paraId="193D5D7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238024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19BD8D9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17EE454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AE4AA0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15CBF3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-17</w:t>
                  </w:r>
                </w:p>
              </w:tc>
              <w:tc>
                <w:tcPr>
                  <w:tcW w:w="543" w:type="dxa"/>
                  <w:tcBorders>
                    <w:top w:val="nil"/>
                    <w:left w:val="nil"/>
                    <w:bottom w:val="single" w:sz="4" w:space="0" w:color="auto"/>
                    <w:right w:val="single" w:sz="4" w:space="0" w:color="auto"/>
                  </w:tcBorders>
                  <w:shd w:val="clear" w:color="auto" w:fill="auto"/>
                  <w:noWrap/>
                  <w:vAlign w:val="bottom"/>
                  <w:hideMark/>
                </w:tcPr>
                <w:p w14:paraId="7E1F880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AB33EF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6983D82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r>
            <w:tr w:rsidR="00837BD6" w:rsidRPr="009E5B39" w14:paraId="2FBE39CB"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66A226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0B5B8F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5685780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95B7DE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25F959B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80</w:t>
                  </w:r>
                </w:p>
              </w:tc>
              <w:tc>
                <w:tcPr>
                  <w:tcW w:w="516" w:type="dxa"/>
                  <w:tcBorders>
                    <w:top w:val="nil"/>
                    <w:left w:val="nil"/>
                    <w:bottom w:val="single" w:sz="4" w:space="0" w:color="auto"/>
                    <w:right w:val="single" w:sz="4" w:space="0" w:color="auto"/>
                  </w:tcBorders>
                  <w:shd w:val="clear" w:color="auto" w:fill="auto"/>
                  <w:noWrap/>
                  <w:vAlign w:val="bottom"/>
                  <w:hideMark/>
                </w:tcPr>
                <w:p w14:paraId="69F46D31" w14:textId="5AC1E3B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610DE03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w:t>
                  </w:r>
                </w:p>
              </w:tc>
              <w:tc>
                <w:tcPr>
                  <w:tcW w:w="572" w:type="dxa"/>
                  <w:tcBorders>
                    <w:top w:val="nil"/>
                    <w:left w:val="nil"/>
                    <w:bottom w:val="single" w:sz="4" w:space="0" w:color="auto"/>
                    <w:right w:val="single" w:sz="4" w:space="0" w:color="auto"/>
                  </w:tcBorders>
                  <w:shd w:val="clear" w:color="auto" w:fill="auto"/>
                  <w:noWrap/>
                  <w:vAlign w:val="bottom"/>
                  <w:hideMark/>
                </w:tcPr>
                <w:p w14:paraId="6C5FA20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BD6DC2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80</w:t>
                  </w:r>
                </w:p>
              </w:tc>
              <w:tc>
                <w:tcPr>
                  <w:tcW w:w="567" w:type="dxa"/>
                  <w:tcBorders>
                    <w:top w:val="nil"/>
                    <w:left w:val="nil"/>
                    <w:bottom w:val="single" w:sz="4" w:space="0" w:color="auto"/>
                    <w:right w:val="single" w:sz="4" w:space="0" w:color="auto"/>
                  </w:tcBorders>
                  <w:shd w:val="clear" w:color="auto" w:fill="auto"/>
                  <w:noWrap/>
                  <w:vAlign w:val="bottom"/>
                  <w:hideMark/>
                </w:tcPr>
                <w:p w14:paraId="6CC88B46" w14:textId="5B4AE1C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6FDBF52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493E4BA" w14:textId="46741F2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w:t>
                  </w:r>
                </w:p>
              </w:tc>
              <w:tc>
                <w:tcPr>
                  <w:tcW w:w="570" w:type="dxa"/>
                  <w:tcBorders>
                    <w:top w:val="nil"/>
                    <w:left w:val="nil"/>
                    <w:bottom w:val="single" w:sz="4" w:space="0" w:color="auto"/>
                    <w:right w:val="single" w:sz="4" w:space="0" w:color="auto"/>
                  </w:tcBorders>
                  <w:shd w:val="clear" w:color="auto" w:fill="auto"/>
                  <w:noWrap/>
                  <w:vAlign w:val="bottom"/>
                  <w:hideMark/>
                </w:tcPr>
                <w:p w14:paraId="18BAADC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CA98EF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66</w:t>
                  </w:r>
                </w:p>
              </w:tc>
              <w:tc>
                <w:tcPr>
                  <w:tcW w:w="600" w:type="dxa"/>
                  <w:tcBorders>
                    <w:top w:val="nil"/>
                    <w:left w:val="nil"/>
                    <w:bottom w:val="single" w:sz="4" w:space="0" w:color="auto"/>
                    <w:right w:val="single" w:sz="4" w:space="0" w:color="auto"/>
                  </w:tcBorders>
                  <w:shd w:val="clear" w:color="auto" w:fill="auto"/>
                  <w:noWrap/>
                  <w:vAlign w:val="bottom"/>
                  <w:hideMark/>
                </w:tcPr>
                <w:p w14:paraId="1FDDCA16" w14:textId="62C3EBB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A9E5E4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47</w:t>
                  </w:r>
                </w:p>
              </w:tc>
              <w:tc>
                <w:tcPr>
                  <w:tcW w:w="570" w:type="dxa"/>
                  <w:tcBorders>
                    <w:top w:val="nil"/>
                    <w:left w:val="nil"/>
                    <w:bottom w:val="single" w:sz="4" w:space="0" w:color="auto"/>
                    <w:right w:val="single" w:sz="4" w:space="0" w:color="auto"/>
                  </w:tcBorders>
                  <w:shd w:val="clear" w:color="auto" w:fill="auto"/>
                  <w:noWrap/>
                  <w:vAlign w:val="bottom"/>
                  <w:hideMark/>
                </w:tcPr>
                <w:p w14:paraId="48926FD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4D8E2C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7F816A3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2D4FCC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5FF3141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B57C65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-14</w:t>
                  </w:r>
                </w:p>
              </w:tc>
              <w:tc>
                <w:tcPr>
                  <w:tcW w:w="543" w:type="dxa"/>
                  <w:tcBorders>
                    <w:top w:val="nil"/>
                    <w:left w:val="nil"/>
                    <w:bottom w:val="single" w:sz="4" w:space="0" w:color="auto"/>
                    <w:right w:val="single" w:sz="4" w:space="0" w:color="auto"/>
                  </w:tcBorders>
                  <w:shd w:val="clear" w:color="auto" w:fill="auto"/>
                  <w:noWrap/>
                  <w:vAlign w:val="bottom"/>
                  <w:hideMark/>
                </w:tcPr>
                <w:p w14:paraId="4160288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100B79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38FD3D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7CB2846C"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2FBBE90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6E87C6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2FFA403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E7F011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595960D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88</w:t>
                  </w:r>
                </w:p>
              </w:tc>
              <w:tc>
                <w:tcPr>
                  <w:tcW w:w="516" w:type="dxa"/>
                  <w:tcBorders>
                    <w:top w:val="nil"/>
                    <w:left w:val="nil"/>
                    <w:bottom w:val="single" w:sz="4" w:space="0" w:color="auto"/>
                    <w:right w:val="single" w:sz="4" w:space="0" w:color="auto"/>
                  </w:tcBorders>
                  <w:shd w:val="clear" w:color="auto" w:fill="auto"/>
                  <w:noWrap/>
                  <w:vAlign w:val="bottom"/>
                  <w:hideMark/>
                </w:tcPr>
                <w:p w14:paraId="54E3F1C4" w14:textId="1136278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7BEBCC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69</w:t>
                  </w:r>
                </w:p>
              </w:tc>
              <w:tc>
                <w:tcPr>
                  <w:tcW w:w="572" w:type="dxa"/>
                  <w:tcBorders>
                    <w:top w:val="nil"/>
                    <w:left w:val="nil"/>
                    <w:bottom w:val="single" w:sz="4" w:space="0" w:color="auto"/>
                    <w:right w:val="single" w:sz="4" w:space="0" w:color="auto"/>
                  </w:tcBorders>
                  <w:shd w:val="clear" w:color="auto" w:fill="auto"/>
                  <w:noWrap/>
                  <w:vAlign w:val="bottom"/>
                  <w:hideMark/>
                </w:tcPr>
                <w:p w14:paraId="7B5BF5B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1EDE01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88</w:t>
                  </w:r>
                </w:p>
              </w:tc>
              <w:tc>
                <w:tcPr>
                  <w:tcW w:w="567" w:type="dxa"/>
                  <w:tcBorders>
                    <w:top w:val="nil"/>
                    <w:left w:val="nil"/>
                    <w:bottom w:val="single" w:sz="4" w:space="0" w:color="auto"/>
                    <w:right w:val="single" w:sz="4" w:space="0" w:color="auto"/>
                  </w:tcBorders>
                  <w:shd w:val="clear" w:color="auto" w:fill="auto"/>
                  <w:noWrap/>
                  <w:vAlign w:val="bottom"/>
                  <w:hideMark/>
                </w:tcPr>
                <w:p w14:paraId="6DB9D8BF" w14:textId="6596C59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075393A"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DBCF8CC" w14:textId="6458DF2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69</w:t>
                  </w:r>
                </w:p>
              </w:tc>
              <w:tc>
                <w:tcPr>
                  <w:tcW w:w="570" w:type="dxa"/>
                  <w:tcBorders>
                    <w:top w:val="nil"/>
                    <w:left w:val="nil"/>
                    <w:bottom w:val="single" w:sz="4" w:space="0" w:color="auto"/>
                    <w:right w:val="single" w:sz="4" w:space="0" w:color="auto"/>
                  </w:tcBorders>
                  <w:shd w:val="clear" w:color="auto" w:fill="auto"/>
                  <w:noWrap/>
                  <w:vAlign w:val="bottom"/>
                  <w:hideMark/>
                </w:tcPr>
                <w:p w14:paraId="25A162A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B538C5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63</w:t>
                  </w:r>
                </w:p>
              </w:tc>
              <w:tc>
                <w:tcPr>
                  <w:tcW w:w="600" w:type="dxa"/>
                  <w:tcBorders>
                    <w:top w:val="nil"/>
                    <w:left w:val="nil"/>
                    <w:bottom w:val="single" w:sz="4" w:space="0" w:color="auto"/>
                    <w:right w:val="single" w:sz="4" w:space="0" w:color="auto"/>
                  </w:tcBorders>
                  <w:shd w:val="clear" w:color="auto" w:fill="auto"/>
                  <w:noWrap/>
                  <w:vAlign w:val="bottom"/>
                  <w:hideMark/>
                </w:tcPr>
                <w:p w14:paraId="0F3CE637" w14:textId="642765D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E588D5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51</w:t>
                  </w:r>
                </w:p>
              </w:tc>
              <w:tc>
                <w:tcPr>
                  <w:tcW w:w="570" w:type="dxa"/>
                  <w:tcBorders>
                    <w:top w:val="nil"/>
                    <w:left w:val="nil"/>
                    <w:bottom w:val="single" w:sz="4" w:space="0" w:color="auto"/>
                    <w:right w:val="single" w:sz="4" w:space="0" w:color="auto"/>
                  </w:tcBorders>
                  <w:shd w:val="clear" w:color="auto" w:fill="auto"/>
                  <w:noWrap/>
                  <w:vAlign w:val="bottom"/>
                  <w:hideMark/>
                </w:tcPr>
                <w:p w14:paraId="1632454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197868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D10166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7D38137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6B503A0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FCE675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-25</w:t>
                  </w:r>
                </w:p>
              </w:tc>
              <w:tc>
                <w:tcPr>
                  <w:tcW w:w="543" w:type="dxa"/>
                  <w:tcBorders>
                    <w:top w:val="nil"/>
                    <w:left w:val="nil"/>
                    <w:bottom w:val="single" w:sz="4" w:space="0" w:color="auto"/>
                    <w:right w:val="single" w:sz="4" w:space="0" w:color="auto"/>
                  </w:tcBorders>
                  <w:shd w:val="clear" w:color="auto" w:fill="auto"/>
                  <w:noWrap/>
                  <w:vAlign w:val="bottom"/>
                  <w:hideMark/>
                </w:tcPr>
                <w:p w14:paraId="2C5E93B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355FF7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53566B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r>
            <w:tr w:rsidR="00837BD6" w:rsidRPr="009E5B39" w14:paraId="5B93FC80"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8F0C6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5DCD90F"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DGTPCC</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80136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O9746</w:t>
                  </w:r>
                </w:p>
              </w:tc>
              <w:tc>
                <w:tcPr>
                  <w:tcW w:w="541" w:type="dxa"/>
                  <w:tcBorders>
                    <w:top w:val="nil"/>
                    <w:left w:val="nil"/>
                    <w:bottom w:val="single" w:sz="4" w:space="0" w:color="auto"/>
                    <w:right w:val="single" w:sz="4" w:space="0" w:color="auto"/>
                  </w:tcBorders>
                  <w:shd w:val="clear" w:color="auto" w:fill="auto"/>
                  <w:noWrap/>
                  <w:vAlign w:val="bottom"/>
                  <w:hideMark/>
                </w:tcPr>
                <w:p w14:paraId="30743EB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7695C69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57</w:t>
                  </w:r>
                </w:p>
              </w:tc>
              <w:tc>
                <w:tcPr>
                  <w:tcW w:w="516" w:type="dxa"/>
                  <w:tcBorders>
                    <w:top w:val="nil"/>
                    <w:left w:val="nil"/>
                    <w:bottom w:val="single" w:sz="4" w:space="0" w:color="auto"/>
                    <w:right w:val="single" w:sz="4" w:space="0" w:color="auto"/>
                  </w:tcBorders>
                  <w:shd w:val="clear" w:color="auto" w:fill="auto"/>
                  <w:noWrap/>
                  <w:vAlign w:val="bottom"/>
                  <w:hideMark/>
                </w:tcPr>
                <w:p w14:paraId="6AF09B32" w14:textId="567A81C1"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2B7EAF3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572" w:type="dxa"/>
                  <w:tcBorders>
                    <w:top w:val="nil"/>
                    <w:left w:val="nil"/>
                    <w:bottom w:val="single" w:sz="4" w:space="0" w:color="auto"/>
                    <w:right w:val="single" w:sz="4" w:space="0" w:color="auto"/>
                  </w:tcBorders>
                  <w:shd w:val="clear" w:color="auto" w:fill="auto"/>
                  <w:noWrap/>
                  <w:vAlign w:val="bottom"/>
                  <w:hideMark/>
                </w:tcPr>
                <w:p w14:paraId="3615D4E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E94C98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57</w:t>
                  </w:r>
                </w:p>
              </w:tc>
              <w:tc>
                <w:tcPr>
                  <w:tcW w:w="567" w:type="dxa"/>
                  <w:tcBorders>
                    <w:top w:val="nil"/>
                    <w:left w:val="nil"/>
                    <w:bottom w:val="single" w:sz="4" w:space="0" w:color="auto"/>
                    <w:right w:val="single" w:sz="4" w:space="0" w:color="auto"/>
                  </w:tcBorders>
                  <w:shd w:val="clear" w:color="auto" w:fill="auto"/>
                  <w:noWrap/>
                  <w:vAlign w:val="bottom"/>
                  <w:hideMark/>
                </w:tcPr>
                <w:p w14:paraId="2D0326D1" w14:textId="34D0C01A"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50FCD211"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CF4E861" w14:textId="6C21350B"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570" w:type="dxa"/>
                  <w:tcBorders>
                    <w:top w:val="nil"/>
                    <w:left w:val="nil"/>
                    <w:bottom w:val="single" w:sz="4" w:space="0" w:color="auto"/>
                    <w:right w:val="single" w:sz="4" w:space="0" w:color="auto"/>
                  </w:tcBorders>
                  <w:shd w:val="clear" w:color="auto" w:fill="auto"/>
                  <w:noWrap/>
                  <w:vAlign w:val="bottom"/>
                  <w:hideMark/>
                </w:tcPr>
                <w:p w14:paraId="0A83C3E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BFE654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46</w:t>
                  </w:r>
                </w:p>
              </w:tc>
              <w:tc>
                <w:tcPr>
                  <w:tcW w:w="600" w:type="dxa"/>
                  <w:tcBorders>
                    <w:top w:val="nil"/>
                    <w:left w:val="nil"/>
                    <w:bottom w:val="single" w:sz="4" w:space="0" w:color="auto"/>
                    <w:right w:val="single" w:sz="4" w:space="0" w:color="auto"/>
                  </w:tcBorders>
                  <w:shd w:val="clear" w:color="auto" w:fill="auto"/>
                  <w:noWrap/>
                  <w:vAlign w:val="bottom"/>
                  <w:hideMark/>
                </w:tcPr>
                <w:p w14:paraId="69804D20" w14:textId="47666A01"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A1BBA0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36</w:t>
                  </w:r>
                </w:p>
              </w:tc>
              <w:tc>
                <w:tcPr>
                  <w:tcW w:w="570" w:type="dxa"/>
                  <w:tcBorders>
                    <w:top w:val="nil"/>
                    <w:left w:val="nil"/>
                    <w:bottom w:val="single" w:sz="4" w:space="0" w:color="auto"/>
                    <w:right w:val="single" w:sz="4" w:space="0" w:color="auto"/>
                  </w:tcBorders>
                  <w:shd w:val="clear" w:color="auto" w:fill="auto"/>
                  <w:noWrap/>
                  <w:vAlign w:val="bottom"/>
                  <w:hideMark/>
                </w:tcPr>
                <w:p w14:paraId="14BCDD5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C830B3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A52564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3C4FA6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6C7DB2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C2F197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w:t>
                  </w:r>
                </w:p>
              </w:tc>
              <w:tc>
                <w:tcPr>
                  <w:tcW w:w="543" w:type="dxa"/>
                  <w:tcBorders>
                    <w:top w:val="nil"/>
                    <w:left w:val="nil"/>
                    <w:bottom w:val="single" w:sz="4" w:space="0" w:color="auto"/>
                    <w:right w:val="single" w:sz="4" w:space="0" w:color="auto"/>
                  </w:tcBorders>
                  <w:shd w:val="clear" w:color="auto" w:fill="auto"/>
                  <w:noWrap/>
                  <w:vAlign w:val="bottom"/>
                  <w:hideMark/>
                </w:tcPr>
                <w:p w14:paraId="25EFFFA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330AB2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D23A59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r>
            <w:tr w:rsidR="00837BD6" w:rsidRPr="009E5B39" w14:paraId="4FF7F525"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574AB44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67F2282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4FFC759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3388FA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4BECCDE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57</w:t>
                  </w:r>
                </w:p>
              </w:tc>
              <w:tc>
                <w:tcPr>
                  <w:tcW w:w="516" w:type="dxa"/>
                  <w:tcBorders>
                    <w:top w:val="nil"/>
                    <w:left w:val="nil"/>
                    <w:bottom w:val="single" w:sz="4" w:space="0" w:color="auto"/>
                    <w:right w:val="single" w:sz="4" w:space="0" w:color="auto"/>
                  </w:tcBorders>
                  <w:shd w:val="clear" w:color="auto" w:fill="auto"/>
                  <w:noWrap/>
                  <w:vAlign w:val="bottom"/>
                  <w:hideMark/>
                </w:tcPr>
                <w:p w14:paraId="56A483B1" w14:textId="3EFD89E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005CF68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w:t>
                  </w:r>
                </w:p>
              </w:tc>
              <w:tc>
                <w:tcPr>
                  <w:tcW w:w="572" w:type="dxa"/>
                  <w:tcBorders>
                    <w:top w:val="nil"/>
                    <w:left w:val="nil"/>
                    <w:bottom w:val="single" w:sz="4" w:space="0" w:color="auto"/>
                    <w:right w:val="single" w:sz="4" w:space="0" w:color="auto"/>
                  </w:tcBorders>
                  <w:shd w:val="clear" w:color="auto" w:fill="auto"/>
                  <w:noWrap/>
                  <w:vAlign w:val="bottom"/>
                  <w:hideMark/>
                </w:tcPr>
                <w:p w14:paraId="096AF2C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6F0DD0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57</w:t>
                  </w:r>
                </w:p>
              </w:tc>
              <w:tc>
                <w:tcPr>
                  <w:tcW w:w="567" w:type="dxa"/>
                  <w:tcBorders>
                    <w:top w:val="nil"/>
                    <w:left w:val="nil"/>
                    <w:bottom w:val="single" w:sz="4" w:space="0" w:color="auto"/>
                    <w:right w:val="single" w:sz="4" w:space="0" w:color="auto"/>
                  </w:tcBorders>
                  <w:shd w:val="clear" w:color="auto" w:fill="auto"/>
                  <w:noWrap/>
                  <w:vAlign w:val="bottom"/>
                  <w:hideMark/>
                </w:tcPr>
                <w:p w14:paraId="415BBC0F" w14:textId="1FA0E93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2795F59F"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74A5F4A" w14:textId="0E13C5B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w:t>
                  </w:r>
                </w:p>
              </w:tc>
              <w:tc>
                <w:tcPr>
                  <w:tcW w:w="570" w:type="dxa"/>
                  <w:tcBorders>
                    <w:top w:val="nil"/>
                    <w:left w:val="nil"/>
                    <w:bottom w:val="single" w:sz="4" w:space="0" w:color="auto"/>
                    <w:right w:val="single" w:sz="4" w:space="0" w:color="auto"/>
                  </w:tcBorders>
                  <w:shd w:val="clear" w:color="auto" w:fill="auto"/>
                  <w:noWrap/>
                  <w:vAlign w:val="bottom"/>
                  <w:hideMark/>
                </w:tcPr>
                <w:p w14:paraId="7B36A3E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A3A9ED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40</w:t>
                  </w:r>
                </w:p>
              </w:tc>
              <w:tc>
                <w:tcPr>
                  <w:tcW w:w="600" w:type="dxa"/>
                  <w:tcBorders>
                    <w:top w:val="nil"/>
                    <w:left w:val="nil"/>
                    <w:bottom w:val="single" w:sz="4" w:space="0" w:color="auto"/>
                    <w:right w:val="single" w:sz="4" w:space="0" w:color="auto"/>
                  </w:tcBorders>
                  <w:shd w:val="clear" w:color="auto" w:fill="auto"/>
                  <w:noWrap/>
                  <w:vAlign w:val="bottom"/>
                  <w:hideMark/>
                </w:tcPr>
                <w:p w14:paraId="35EDB5A4" w14:textId="7B20C67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B5E2C5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33</w:t>
                  </w:r>
                </w:p>
              </w:tc>
              <w:tc>
                <w:tcPr>
                  <w:tcW w:w="570" w:type="dxa"/>
                  <w:tcBorders>
                    <w:top w:val="nil"/>
                    <w:left w:val="nil"/>
                    <w:bottom w:val="single" w:sz="4" w:space="0" w:color="auto"/>
                    <w:right w:val="single" w:sz="4" w:space="0" w:color="auto"/>
                  </w:tcBorders>
                  <w:shd w:val="clear" w:color="auto" w:fill="auto"/>
                  <w:noWrap/>
                  <w:vAlign w:val="bottom"/>
                  <w:hideMark/>
                </w:tcPr>
                <w:p w14:paraId="66D7142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42D691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D25B5C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ABA868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0C6D11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6502B1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-17</w:t>
                  </w:r>
                </w:p>
              </w:tc>
              <w:tc>
                <w:tcPr>
                  <w:tcW w:w="543" w:type="dxa"/>
                  <w:tcBorders>
                    <w:top w:val="nil"/>
                    <w:left w:val="nil"/>
                    <w:bottom w:val="single" w:sz="4" w:space="0" w:color="auto"/>
                    <w:right w:val="single" w:sz="4" w:space="0" w:color="auto"/>
                  </w:tcBorders>
                  <w:shd w:val="clear" w:color="auto" w:fill="auto"/>
                  <w:noWrap/>
                  <w:vAlign w:val="bottom"/>
                  <w:hideMark/>
                </w:tcPr>
                <w:p w14:paraId="3C929D2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FA39BA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298837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r>
            <w:tr w:rsidR="00837BD6" w:rsidRPr="009E5B39" w14:paraId="434B28E7"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76847DE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3DE211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0BA84F0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2ED0AB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6AC2329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57</w:t>
                  </w:r>
                </w:p>
              </w:tc>
              <w:tc>
                <w:tcPr>
                  <w:tcW w:w="516" w:type="dxa"/>
                  <w:tcBorders>
                    <w:top w:val="nil"/>
                    <w:left w:val="nil"/>
                    <w:bottom w:val="single" w:sz="4" w:space="0" w:color="auto"/>
                    <w:right w:val="single" w:sz="4" w:space="0" w:color="auto"/>
                  </w:tcBorders>
                  <w:shd w:val="clear" w:color="auto" w:fill="auto"/>
                  <w:noWrap/>
                  <w:vAlign w:val="bottom"/>
                  <w:hideMark/>
                </w:tcPr>
                <w:p w14:paraId="371C2965" w14:textId="3369AB8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E6CCD4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w:t>
                  </w:r>
                </w:p>
              </w:tc>
              <w:tc>
                <w:tcPr>
                  <w:tcW w:w="572" w:type="dxa"/>
                  <w:tcBorders>
                    <w:top w:val="nil"/>
                    <w:left w:val="nil"/>
                    <w:bottom w:val="single" w:sz="4" w:space="0" w:color="auto"/>
                    <w:right w:val="single" w:sz="4" w:space="0" w:color="auto"/>
                  </w:tcBorders>
                  <w:shd w:val="clear" w:color="auto" w:fill="auto"/>
                  <w:noWrap/>
                  <w:vAlign w:val="bottom"/>
                  <w:hideMark/>
                </w:tcPr>
                <w:p w14:paraId="3F0CD2F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A075A2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57</w:t>
                  </w:r>
                </w:p>
              </w:tc>
              <w:tc>
                <w:tcPr>
                  <w:tcW w:w="567" w:type="dxa"/>
                  <w:tcBorders>
                    <w:top w:val="nil"/>
                    <w:left w:val="nil"/>
                    <w:bottom w:val="single" w:sz="4" w:space="0" w:color="auto"/>
                    <w:right w:val="single" w:sz="4" w:space="0" w:color="auto"/>
                  </w:tcBorders>
                  <w:shd w:val="clear" w:color="auto" w:fill="auto"/>
                  <w:noWrap/>
                  <w:vAlign w:val="bottom"/>
                  <w:hideMark/>
                </w:tcPr>
                <w:p w14:paraId="371B4C83" w14:textId="77E52E3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7DD1A67A"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D53011A" w14:textId="3EFCA84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w:t>
                  </w:r>
                </w:p>
              </w:tc>
              <w:tc>
                <w:tcPr>
                  <w:tcW w:w="570" w:type="dxa"/>
                  <w:tcBorders>
                    <w:top w:val="nil"/>
                    <w:left w:val="nil"/>
                    <w:bottom w:val="single" w:sz="4" w:space="0" w:color="auto"/>
                    <w:right w:val="single" w:sz="4" w:space="0" w:color="auto"/>
                  </w:tcBorders>
                  <w:shd w:val="clear" w:color="auto" w:fill="auto"/>
                  <w:noWrap/>
                  <w:vAlign w:val="bottom"/>
                  <w:hideMark/>
                </w:tcPr>
                <w:p w14:paraId="645E0F2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778E4D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41</w:t>
                  </w:r>
                </w:p>
              </w:tc>
              <w:tc>
                <w:tcPr>
                  <w:tcW w:w="600" w:type="dxa"/>
                  <w:tcBorders>
                    <w:top w:val="nil"/>
                    <w:left w:val="nil"/>
                    <w:bottom w:val="single" w:sz="4" w:space="0" w:color="auto"/>
                    <w:right w:val="single" w:sz="4" w:space="0" w:color="auto"/>
                  </w:tcBorders>
                  <w:shd w:val="clear" w:color="auto" w:fill="auto"/>
                  <w:noWrap/>
                  <w:vAlign w:val="bottom"/>
                  <w:hideMark/>
                </w:tcPr>
                <w:p w14:paraId="43EF4453" w14:textId="2E2B7A6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D1CFD8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w:t>
                  </w:r>
                </w:p>
              </w:tc>
              <w:tc>
                <w:tcPr>
                  <w:tcW w:w="570" w:type="dxa"/>
                  <w:tcBorders>
                    <w:top w:val="nil"/>
                    <w:left w:val="nil"/>
                    <w:bottom w:val="single" w:sz="4" w:space="0" w:color="auto"/>
                    <w:right w:val="single" w:sz="4" w:space="0" w:color="auto"/>
                  </w:tcBorders>
                  <w:shd w:val="clear" w:color="auto" w:fill="auto"/>
                  <w:noWrap/>
                  <w:vAlign w:val="bottom"/>
                  <w:hideMark/>
                </w:tcPr>
                <w:p w14:paraId="6C378BB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9F803F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2ABCC06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62EB0B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683E799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FCC055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w:t>
                  </w:r>
                </w:p>
              </w:tc>
              <w:tc>
                <w:tcPr>
                  <w:tcW w:w="543" w:type="dxa"/>
                  <w:tcBorders>
                    <w:top w:val="nil"/>
                    <w:left w:val="nil"/>
                    <w:bottom w:val="single" w:sz="4" w:space="0" w:color="auto"/>
                    <w:right w:val="single" w:sz="4" w:space="0" w:color="auto"/>
                  </w:tcBorders>
                  <w:shd w:val="clear" w:color="auto" w:fill="auto"/>
                  <w:noWrap/>
                  <w:vAlign w:val="bottom"/>
                  <w:hideMark/>
                </w:tcPr>
                <w:p w14:paraId="10F52F1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91BB14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66D1F0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r>
            <w:tr w:rsidR="00837BD6" w:rsidRPr="009E5B39" w14:paraId="41AF7450"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56D00F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1CA851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4160347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2C8CDA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0C859FF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57</w:t>
                  </w:r>
                </w:p>
              </w:tc>
              <w:tc>
                <w:tcPr>
                  <w:tcW w:w="516" w:type="dxa"/>
                  <w:tcBorders>
                    <w:top w:val="nil"/>
                    <w:left w:val="nil"/>
                    <w:bottom w:val="single" w:sz="4" w:space="0" w:color="auto"/>
                    <w:right w:val="single" w:sz="4" w:space="0" w:color="auto"/>
                  </w:tcBorders>
                  <w:shd w:val="clear" w:color="auto" w:fill="auto"/>
                  <w:noWrap/>
                  <w:vAlign w:val="bottom"/>
                  <w:hideMark/>
                </w:tcPr>
                <w:p w14:paraId="7D57621B" w14:textId="5502B94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C5BA4A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w:t>
                  </w:r>
                </w:p>
              </w:tc>
              <w:tc>
                <w:tcPr>
                  <w:tcW w:w="572" w:type="dxa"/>
                  <w:tcBorders>
                    <w:top w:val="nil"/>
                    <w:left w:val="nil"/>
                    <w:bottom w:val="single" w:sz="4" w:space="0" w:color="auto"/>
                    <w:right w:val="single" w:sz="4" w:space="0" w:color="auto"/>
                  </w:tcBorders>
                  <w:shd w:val="clear" w:color="auto" w:fill="auto"/>
                  <w:noWrap/>
                  <w:vAlign w:val="bottom"/>
                  <w:hideMark/>
                </w:tcPr>
                <w:p w14:paraId="02C8D52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DA68A1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57</w:t>
                  </w:r>
                </w:p>
              </w:tc>
              <w:tc>
                <w:tcPr>
                  <w:tcW w:w="567" w:type="dxa"/>
                  <w:tcBorders>
                    <w:top w:val="nil"/>
                    <w:left w:val="nil"/>
                    <w:bottom w:val="single" w:sz="4" w:space="0" w:color="auto"/>
                    <w:right w:val="single" w:sz="4" w:space="0" w:color="auto"/>
                  </w:tcBorders>
                  <w:shd w:val="clear" w:color="auto" w:fill="auto"/>
                  <w:noWrap/>
                  <w:vAlign w:val="bottom"/>
                  <w:hideMark/>
                </w:tcPr>
                <w:p w14:paraId="290B97E7" w14:textId="648A8AB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0568A3A8"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CCF4EB6" w14:textId="6EEC96F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w:t>
                  </w:r>
                </w:p>
              </w:tc>
              <w:tc>
                <w:tcPr>
                  <w:tcW w:w="570" w:type="dxa"/>
                  <w:tcBorders>
                    <w:top w:val="nil"/>
                    <w:left w:val="nil"/>
                    <w:bottom w:val="single" w:sz="4" w:space="0" w:color="auto"/>
                    <w:right w:val="single" w:sz="4" w:space="0" w:color="auto"/>
                  </w:tcBorders>
                  <w:shd w:val="clear" w:color="auto" w:fill="auto"/>
                  <w:noWrap/>
                  <w:vAlign w:val="bottom"/>
                  <w:hideMark/>
                </w:tcPr>
                <w:p w14:paraId="780B752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A996B1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600" w:type="dxa"/>
                  <w:tcBorders>
                    <w:top w:val="nil"/>
                    <w:left w:val="nil"/>
                    <w:bottom w:val="single" w:sz="4" w:space="0" w:color="auto"/>
                    <w:right w:val="single" w:sz="4" w:space="0" w:color="auto"/>
                  </w:tcBorders>
                  <w:shd w:val="clear" w:color="auto" w:fill="auto"/>
                  <w:noWrap/>
                  <w:vAlign w:val="bottom"/>
                  <w:hideMark/>
                </w:tcPr>
                <w:p w14:paraId="1AAE7E84" w14:textId="31F7A77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3385F0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w:t>
                  </w:r>
                </w:p>
              </w:tc>
              <w:tc>
                <w:tcPr>
                  <w:tcW w:w="570" w:type="dxa"/>
                  <w:tcBorders>
                    <w:top w:val="nil"/>
                    <w:left w:val="nil"/>
                    <w:bottom w:val="single" w:sz="4" w:space="0" w:color="auto"/>
                    <w:right w:val="single" w:sz="4" w:space="0" w:color="auto"/>
                  </w:tcBorders>
                  <w:shd w:val="clear" w:color="auto" w:fill="auto"/>
                  <w:noWrap/>
                  <w:vAlign w:val="bottom"/>
                  <w:hideMark/>
                </w:tcPr>
                <w:p w14:paraId="14A2578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305850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75CE32D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2814A4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50A8C0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0AB08B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-19</w:t>
                  </w:r>
                </w:p>
              </w:tc>
              <w:tc>
                <w:tcPr>
                  <w:tcW w:w="543" w:type="dxa"/>
                  <w:tcBorders>
                    <w:top w:val="nil"/>
                    <w:left w:val="nil"/>
                    <w:bottom w:val="single" w:sz="4" w:space="0" w:color="auto"/>
                    <w:right w:val="single" w:sz="4" w:space="0" w:color="auto"/>
                  </w:tcBorders>
                  <w:shd w:val="clear" w:color="auto" w:fill="auto"/>
                  <w:noWrap/>
                  <w:vAlign w:val="bottom"/>
                  <w:hideMark/>
                </w:tcPr>
                <w:p w14:paraId="6C7B38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E40657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780C26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3FD68F3C"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30DFB0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4A65015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1FF0EB0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7875518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47C53D5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57</w:t>
                  </w:r>
                </w:p>
              </w:tc>
              <w:tc>
                <w:tcPr>
                  <w:tcW w:w="516" w:type="dxa"/>
                  <w:tcBorders>
                    <w:top w:val="nil"/>
                    <w:left w:val="nil"/>
                    <w:bottom w:val="single" w:sz="4" w:space="0" w:color="auto"/>
                    <w:right w:val="single" w:sz="4" w:space="0" w:color="auto"/>
                  </w:tcBorders>
                  <w:shd w:val="clear" w:color="auto" w:fill="auto"/>
                  <w:noWrap/>
                  <w:vAlign w:val="bottom"/>
                  <w:hideMark/>
                </w:tcPr>
                <w:p w14:paraId="74CE631B" w14:textId="04DFF05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2CBCE75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w:t>
                  </w:r>
                </w:p>
              </w:tc>
              <w:tc>
                <w:tcPr>
                  <w:tcW w:w="572" w:type="dxa"/>
                  <w:tcBorders>
                    <w:top w:val="nil"/>
                    <w:left w:val="nil"/>
                    <w:bottom w:val="single" w:sz="4" w:space="0" w:color="auto"/>
                    <w:right w:val="single" w:sz="4" w:space="0" w:color="auto"/>
                  </w:tcBorders>
                  <w:shd w:val="clear" w:color="auto" w:fill="auto"/>
                  <w:noWrap/>
                  <w:vAlign w:val="bottom"/>
                  <w:hideMark/>
                </w:tcPr>
                <w:p w14:paraId="6604ABA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C393F5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57</w:t>
                  </w:r>
                </w:p>
              </w:tc>
              <w:tc>
                <w:tcPr>
                  <w:tcW w:w="567" w:type="dxa"/>
                  <w:tcBorders>
                    <w:top w:val="nil"/>
                    <w:left w:val="nil"/>
                    <w:bottom w:val="single" w:sz="4" w:space="0" w:color="auto"/>
                    <w:right w:val="single" w:sz="4" w:space="0" w:color="auto"/>
                  </w:tcBorders>
                  <w:shd w:val="clear" w:color="auto" w:fill="auto"/>
                  <w:noWrap/>
                  <w:vAlign w:val="bottom"/>
                  <w:hideMark/>
                </w:tcPr>
                <w:p w14:paraId="1B3EDB9F" w14:textId="1E144CB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30EA073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57C2A64" w14:textId="1A5B056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w:t>
                  </w:r>
                </w:p>
              </w:tc>
              <w:tc>
                <w:tcPr>
                  <w:tcW w:w="570" w:type="dxa"/>
                  <w:tcBorders>
                    <w:top w:val="nil"/>
                    <w:left w:val="nil"/>
                    <w:bottom w:val="single" w:sz="4" w:space="0" w:color="auto"/>
                    <w:right w:val="single" w:sz="4" w:space="0" w:color="auto"/>
                  </w:tcBorders>
                  <w:shd w:val="clear" w:color="auto" w:fill="auto"/>
                  <w:noWrap/>
                  <w:vAlign w:val="bottom"/>
                  <w:hideMark/>
                </w:tcPr>
                <w:p w14:paraId="1773310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92D505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39</w:t>
                  </w:r>
                </w:p>
              </w:tc>
              <w:tc>
                <w:tcPr>
                  <w:tcW w:w="600" w:type="dxa"/>
                  <w:tcBorders>
                    <w:top w:val="nil"/>
                    <w:left w:val="nil"/>
                    <w:bottom w:val="single" w:sz="4" w:space="0" w:color="auto"/>
                    <w:right w:val="single" w:sz="4" w:space="0" w:color="auto"/>
                  </w:tcBorders>
                  <w:shd w:val="clear" w:color="auto" w:fill="auto"/>
                  <w:noWrap/>
                  <w:vAlign w:val="bottom"/>
                  <w:hideMark/>
                </w:tcPr>
                <w:p w14:paraId="1A709957" w14:textId="0BCEEB4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CB74FC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w:t>
                  </w:r>
                </w:p>
              </w:tc>
              <w:tc>
                <w:tcPr>
                  <w:tcW w:w="570" w:type="dxa"/>
                  <w:tcBorders>
                    <w:top w:val="nil"/>
                    <w:left w:val="nil"/>
                    <w:bottom w:val="single" w:sz="4" w:space="0" w:color="auto"/>
                    <w:right w:val="single" w:sz="4" w:space="0" w:color="auto"/>
                  </w:tcBorders>
                  <w:shd w:val="clear" w:color="auto" w:fill="auto"/>
                  <w:noWrap/>
                  <w:vAlign w:val="bottom"/>
                  <w:hideMark/>
                </w:tcPr>
                <w:p w14:paraId="4F7BA54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581ADD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AF6679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9F11A4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18A94A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C748EC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-18</w:t>
                  </w:r>
                </w:p>
              </w:tc>
              <w:tc>
                <w:tcPr>
                  <w:tcW w:w="543" w:type="dxa"/>
                  <w:tcBorders>
                    <w:top w:val="nil"/>
                    <w:left w:val="nil"/>
                    <w:bottom w:val="single" w:sz="4" w:space="0" w:color="auto"/>
                    <w:right w:val="single" w:sz="4" w:space="0" w:color="auto"/>
                  </w:tcBorders>
                  <w:shd w:val="clear" w:color="auto" w:fill="auto"/>
                  <w:noWrap/>
                  <w:vAlign w:val="bottom"/>
                  <w:hideMark/>
                </w:tcPr>
                <w:p w14:paraId="5E95204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A0563B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BCF6EB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306332E0"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41D235"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929F3D3"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DGF</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7BC4D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14269</w:t>
                  </w:r>
                </w:p>
              </w:tc>
              <w:tc>
                <w:tcPr>
                  <w:tcW w:w="541" w:type="dxa"/>
                  <w:tcBorders>
                    <w:top w:val="nil"/>
                    <w:left w:val="nil"/>
                    <w:bottom w:val="single" w:sz="4" w:space="0" w:color="auto"/>
                    <w:right w:val="single" w:sz="4" w:space="0" w:color="auto"/>
                  </w:tcBorders>
                  <w:shd w:val="clear" w:color="auto" w:fill="auto"/>
                  <w:noWrap/>
                  <w:vAlign w:val="bottom"/>
                  <w:hideMark/>
                </w:tcPr>
                <w:p w14:paraId="6C3A2D4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0EE74B0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82</w:t>
                  </w:r>
                </w:p>
              </w:tc>
              <w:tc>
                <w:tcPr>
                  <w:tcW w:w="516" w:type="dxa"/>
                  <w:tcBorders>
                    <w:top w:val="nil"/>
                    <w:left w:val="nil"/>
                    <w:bottom w:val="single" w:sz="4" w:space="0" w:color="auto"/>
                    <w:right w:val="single" w:sz="4" w:space="0" w:color="auto"/>
                  </w:tcBorders>
                  <w:shd w:val="clear" w:color="auto" w:fill="auto"/>
                  <w:noWrap/>
                  <w:vAlign w:val="bottom"/>
                  <w:hideMark/>
                </w:tcPr>
                <w:p w14:paraId="5A36A775" w14:textId="1C24FFD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7DC311C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70</w:t>
                  </w:r>
                </w:p>
              </w:tc>
              <w:tc>
                <w:tcPr>
                  <w:tcW w:w="572" w:type="dxa"/>
                  <w:tcBorders>
                    <w:top w:val="nil"/>
                    <w:left w:val="nil"/>
                    <w:bottom w:val="single" w:sz="4" w:space="0" w:color="auto"/>
                    <w:right w:val="single" w:sz="4" w:space="0" w:color="auto"/>
                  </w:tcBorders>
                  <w:shd w:val="clear" w:color="auto" w:fill="auto"/>
                  <w:noWrap/>
                  <w:vAlign w:val="bottom"/>
                  <w:hideMark/>
                </w:tcPr>
                <w:p w14:paraId="3F8D530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BB6669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82</w:t>
                  </w:r>
                </w:p>
              </w:tc>
              <w:tc>
                <w:tcPr>
                  <w:tcW w:w="567" w:type="dxa"/>
                  <w:tcBorders>
                    <w:top w:val="nil"/>
                    <w:left w:val="nil"/>
                    <w:bottom w:val="single" w:sz="4" w:space="0" w:color="auto"/>
                    <w:right w:val="single" w:sz="4" w:space="0" w:color="auto"/>
                  </w:tcBorders>
                  <w:shd w:val="clear" w:color="auto" w:fill="auto"/>
                  <w:noWrap/>
                  <w:vAlign w:val="bottom"/>
                  <w:hideMark/>
                </w:tcPr>
                <w:p w14:paraId="0F8A9A28" w14:textId="527807B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5E54701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348A834" w14:textId="1D22E26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70</w:t>
                  </w:r>
                </w:p>
              </w:tc>
              <w:tc>
                <w:tcPr>
                  <w:tcW w:w="570" w:type="dxa"/>
                  <w:tcBorders>
                    <w:top w:val="nil"/>
                    <w:left w:val="nil"/>
                    <w:bottom w:val="single" w:sz="4" w:space="0" w:color="auto"/>
                    <w:right w:val="single" w:sz="4" w:space="0" w:color="auto"/>
                  </w:tcBorders>
                  <w:shd w:val="clear" w:color="auto" w:fill="auto"/>
                  <w:noWrap/>
                  <w:vAlign w:val="bottom"/>
                  <w:hideMark/>
                </w:tcPr>
                <w:p w14:paraId="2569AB2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1D7F65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66</w:t>
                  </w:r>
                </w:p>
              </w:tc>
              <w:tc>
                <w:tcPr>
                  <w:tcW w:w="600" w:type="dxa"/>
                  <w:tcBorders>
                    <w:top w:val="nil"/>
                    <w:left w:val="nil"/>
                    <w:bottom w:val="single" w:sz="4" w:space="0" w:color="auto"/>
                    <w:right w:val="single" w:sz="4" w:space="0" w:color="auto"/>
                  </w:tcBorders>
                  <w:shd w:val="clear" w:color="auto" w:fill="auto"/>
                  <w:noWrap/>
                  <w:vAlign w:val="bottom"/>
                  <w:hideMark/>
                </w:tcPr>
                <w:p w14:paraId="35118AFF" w14:textId="61CDCAA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D0E1EF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58</w:t>
                  </w:r>
                </w:p>
              </w:tc>
              <w:tc>
                <w:tcPr>
                  <w:tcW w:w="570" w:type="dxa"/>
                  <w:tcBorders>
                    <w:top w:val="nil"/>
                    <w:left w:val="nil"/>
                    <w:bottom w:val="single" w:sz="4" w:space="0" w:color="auto"/>
                    <w:right w:val="single" w:sz="4" w:space="0" w:color="auto"/>
                  </w:tcBorders>
                  <w:shd w:val="clear" w:color="auto" w:fill="auto"/>
                  <w:noWrap/>
                  <w:vAlign w:val="bottom"/>
                  <w:hideMark/>
                </w:tcPr>
                <w:p w14:paraId="21C7E59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CC0B53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7F5D30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CACB22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583AF4A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8C99CB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w:t>
                  </w:r>
                </w:p>
              </w:tc>
              <w:tc>
                <w:tcPr>
                  <w:tcW w:w="543" w:type="dxa"/>
                  <w:tcBorders>
                    <w:top w:val="nil"/>
                    <w:left w:val="nil"/>
                    <w:bottom w:val="single" w:sz="4" w:space="0" w:color="auto"/>
                    <w:right w:val="single" w:sz="4" w:space="0" w:color="auto"/>
                  </w:tcBorders>
                  <w:shd w:val="clear" w:color="auto" w:fill="auto"/>
                  <w:noWrap/>
                  <w:vAlign w:val="bottom"/>
                  <w:hideMark/>
                </w:tcPr>
                <w:p w14:paraId="198EDD3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8C9900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7A7187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3FD495A8"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8A38F7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65C2DA9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7F49767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4052FE1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4AE97A4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82</w:t>
                  </w:r>
                </w:p>
              </w:tc>
              <w:tc>
                <w:tcPr>
                  <w:tcW w:w="516" w:type="dxa"/>
                  <w:tcBorders>
                    <w:top w:val="nil"/>
                    <w:left w:val="nil"/>
                    <w:bottom w:val="single" w:sz="4" w:space="0" w:color="auto"/>
                    <w:right w:val="single" w:sz="4" w:space="0" w:color="auto"/>
                  </w:tcBorders>
                  <w:shd w:val="clear" w:color="auto" w:fill="auto"/>
                  <w:noWrap/>
                  <w:vAlign w:val="bottom"/>
                  <w:hideMark/>
                </w:tcPr>
                <w:p w14:paraId="7A043CFE" w14:textId="2EE55A1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0FA4E89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70</w:t>
                  </w:r>
                </w:p>
              </w:tc>
              <w:tc>
                <w:tcPr>
                  <w:tcW w:w="572" w:type="dxa"/>
                  <w:tcBorders>
                    <w:top w:val="nil"/>
                    <w:left w:val="nil"/>
                    <w:bottom w:val="single" w:sz="4" w:space="0" w:color="auto"/>
                    <w:right w:val="single" w:sz="4" w:space="0" w:color="auto"/>
                  </w:tcBorders>
                  <w:shd w:val="clear" w:color="auto" w:fill="auto"/>
                  <w:noWrap/>
                  <w:vAlign w:val="bottom"/>
                  <w:hideMark/>
                </w:tcPr>
                <w:p w14:paraId="447CB11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EA39CD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82</w:t>
                  </w:r>
                </w:p>
              </w:tc>
              <w:tc>
                <w:tcPr>
                  <w:tcW w:w="567" w:type="dxa"/>
                  <w:tcBorders>
                    <w:top w:val="nil"/>
                    <w:left w:val="nil"/>
                    <w:bottom w:val="single" w:sz="4" w:space="0" w:color="auto"/>
                    <w:right w:val="single" w:sz="4" w:space="0" w:color="auto"/>
                  </w:tcBorders>
                  <w:shd w:val="clear" w:color="auto" w:fill="auto"/>
                  <w:noWrap/>
                  <w:vAlign w:val="bottom"/>
                  <w:hideMark/>
                </w:tcPr>
                <w:p w14:paraId="65C404B8" w14:textId="2FBD046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34A4F10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BF5FE5B" w14:textId="685C368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70</w:t>
                  </w:r>
                </w:p>
              </w:tc>
              <w:tc>
                <w:tcPr>
                  <w:tcW w:w="570" w:type="dxa"/>
                  <w:tcBorders>
                    <w:top w:val="nil"/>
                    <w:left w:val="nil"/>
                    <w:bottom w:val="single" w:sz="4" w:space="0" w:color="auto"/>
                    <w:right w:val="single" w:sz="4" w:space="0" w:color="auto"/>
                  </w:tcBorders>
                  <w:shd w:val="clear" w:color="auto" w:fill="auto"/>
                  <w:noWrap/>
                  <w:vAlign w:val="bottom"/>
                  <w:hideMark/>
                </w:tcPr>
                <w:p w14:paraId="172BB80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33FF5F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54</w:t>
                  </w:r>
                </w:p>
              </w:tc>
              <w:tc>
                <w:tcPr>
                  <w:tcW w:w="600" w:type="dxa"/>
                  <w:tcBorders>
                    <w:top w:val="nil"/>
                    <w:left w:val="nil"/>
                    <w:bottom w:val="single" w:sz="4" w:space="0" w:color="auto"/>
                    <w:right w:val="single" w:sz="4" w:space="0" w:color="auto"/>
                  </w:tcBorders>
                  <w:shd w:val="clear" w:color="auto" w:fill="auto"/>
                  <w:noWrap/>
                  <w:vAlign w:val="bottom"/>
                  <w:hideMark/>
                </w:tcPr>
                <w:p w14:paraId="47CC6750" w14:textId="015E050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7A44CB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47</w:t>
                  </w:r>
                </w:p>
              </w:tc>
              <w:tc>
                <w:tcPr>
                  <w:tcW w:w="570" w:type="dxa"/>
                  <w:tcBorders>
                    <w:top w:val="nil"/>
                    <w:left w:val="nil"/>
                    <w:bottom w:val="single" w:sz="4" w:space="0" w:color="auto"/>
                    <w:right w:val="single" w:sz="4" w:space="0" w:color="auto"/>
                  </w:tcBorders>
                  <w:shd w:val="clear" w:color="auto" w:fill="auto"/>
                  <w:noWrap/>
                  <w:vAlign w:val="bottom"/>
                  <w:hideMark/>
                </w:tcPr>
                <w:p w14:paraId="451F10F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3DADEC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EA216B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7B4F60A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F3C84A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FBA7A6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-28</w:t>
                  </w:r>
                </w:p>
              </w:tc>
              <w:tc>
                <w:tcPr>
                  <w:tcW w:w="543" w:type="dxa"/>
                  <w:tcBorders>
                    <w:top w:val="nil"/>
                    <w:left w:val="nil"/>
                    <w:bottom w:val="single" w:sz="4" w:space="0" w:color="auto"/>
                    <w:right w:val="single" w:sz="4" w:space="0" w:color="auto"/>
                  </w:tcBorders>
                  <w:shd w:val="clear" w:color="auto" w:fill="auto"/>
                  <w:noWrap/>
                  <w:vAlign w:val="bottom"/>
                  <w:hideMark/>
                </w:tcPr>
                <w:p w14:paraId="6FF6729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C962AD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7F7932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r>
            <w:tr w:rsidR="00837BD6" w:rsidRPr="009E5B39" w14:paraId="532DFE4E"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597E361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9EE8F1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2FF5153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683AC17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311D6CD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82</w:t>
                  </w:r>
                </w:p>
              </w:tc>
              <w:tc>
                <w:tcPr>
                  <w:tcW w:w="516" w:type="dxa"/>
                  <w:tcBorders>
                    <w:top w:val="nil"/>
                    <w:left w:val="nil"/>
                    <w:bottom w:val="single" w:sz="4" w:space="0" w:color="auto"/>
                    <w:right w:val="single" w:sz="4" w:space="0" w:color="auto"/>
                  </w:tcBorders>
                  <w:shd w:val="clear" w:color="auto" w:fill="auto"/>
                  <w:noWrap/>
                  <w:vAlign w:val="bottom"/>
                  <w:hideMark/>
                </w:tcPr>
                <w:p w14:paraId="50E64AAD" w14:textId="0EF2FCA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2DCBBA5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70</w:t>
                  </w:r>
                </w:p>
              </w:tc>
              <w:tc>
                <w:tcPr>
                  <w:tcW w:w="572" w:type="dxa"/>
                  <w:tcBorders>
                    <w:top w:val="nil"/>
                    <w:left w:val="nil"/>
                    <w:bottom w:val="single" w:sz="4" w:space="0" w:color="auto"/>
                    <w:right w:val="single" w:sz="4" w:space="0" w:color="auto"/>
                  </w:tcBorders>
                  <w:shd w:val="clear" w:color="auto" w:fill="auto"/>
                  <w:noWrap/>
                  <w:vAlign w:val="bottom"/>
                  <w:hideMark/>
                </w:tcPr>
                <w:p w14:paraId="7BB99B1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A7F8D4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82</w:t>
                  </w:r>
                </w:p>
              </w:tc>
              <w:tc>
                <w:tcPr>
                  <w:tcW w:w="567" w:type="dxa"/>
                  <w:tcBorders>
                    <w:top w:val="nil"/>
                    <w:left w:val="nil"/>
                    <w:bottom w:val="single" w:sz="4" w:space="0" w:color="auto"/>
                    <w:right w:val="single" w:sz="4" w:space="0" w:color="auto"/>
                  </w:tcBorders>
                  <w:shd w:val="clear" w:color="auto" w:fill="auto"/>
                  <w:noWrap/>
                  <w:vAlign w:val="bottom"/>
                  <w:hideMark/>
                </w:tcPr>
                <w:p w14:paraId="2A5AF6F8" w14:textId="1AD3BE8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3DD8C1A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EC14156" w14:textId="36BE4E9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71</w:t>
                  </w:r>
                </w:p>
              </w:tc>
              <w:tc>
                <w:tcPr>
                  <w:tcW w:w="570" w:type="dxa"/>
                  <w:tcBorders>
                    <w:top w:val="nil"/>
                    <w:left w:val="nil"/>
                    <w:bottom w:val="single" w:sz="4" w:space="0" w:color="auto"/>
                    <w:right w:val="single" w:sz="4" w:space="0" w:color="auto"/>
                  </w:tcBorders>
                  <w:shd w:val="clear" w:color="auto" w:fill="auto"/>
                  <w:noWrap/>
                  <w:vAlign w:val="bottom"/>
                  <w:hideMark/>
                </w:tcPr>
                <w:p w14:paraId="56F477C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BA2F62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53</w:t>
                  </w:r>
                </w:p>
              </w:tc>
              <w:tc>
                <w:tcPr>
                  <w:tcW w:w="600" w:type="dxa"/>
                  <w:tcBorders>
                    <w:top w:val="nil"/>
                    <w:left w:val="nil"/>
                    <w:bottom w:val="single" w:sz="4" w:space="0" w:color="auto"/>
                    <w:right w:val="single" w:sz="4" w:space="0" w:color="auto"/>
                  </w:tcBorders>
                  <w:shd w:val="clear" w:color="auto" w:fill="auto"/>
                  <w:noWrap/>
                  <w:vAlign w:val="bottom"/>
                  <w:hideMark/>
                </w:tcPr>
                <w:p w14:paraId="35CA74F0" w14:textId="484226C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2F4E05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w:t>
                  </w:r>
                </w:p>
              </w:tc>
              <w:tc>
                <w:tcPr>
                  <w:tcW w:w="570" w:type="dxa"/>
                  <w:tcBorders>
                    <w:top w:val="nil"/>
                    <w:left w:val="nil"/>
                    <w:bottom w:val="single" w:sz="4" w:space="0" w:color="auto"/>
                    <w:right w:val="single" w:sz="4" w:space="0" w:color="auto"/>
                  </w:tcBorders>
                  <w:shd w:val="clear" w:color="auto" w:fill="auto"/>
                  <w:noWrap/>
                  <w:vAlign w:val="bottom"/>
                  <w:hideMark/>
                </w:tcPr>
                <w:p w14:paraId="774F82E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05DF08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EE204D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FE0D87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40" w:type="dxa"/>
                  <w:tcBorders>
                    <w:top w:val="nil"/>
                    <w:left w:val="nil"/>
                    <w:bottom w:val="single" w:sz="4" w:space="0" w:color="auto"/>
                    <w:right w:val="single" w:sz="4" w:space="0" w:color="auto"/>
                  </w:tcBorders>
                  <w:shd w:val="clear" w:color="auto" w:fill="auto"/>
                  <w:noWrap/>
                  <w:vAlign w:val="bottom"/>
                  <w:hideMark/>
                </w:tcPr>
                <w:p w14:paraId="1FDC383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E64CB9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-29</w:t>
                  </w:r>
                </w:p>
              </w:tc>
              <w:tc>
                <w:tcPr>
                  <w:tcW w:w="543" w:type="dxa"/>
                  <w:tcBorders>
                    <w:top w:val="nil"/>
                    <w:left w:val="nil"/>
                    <w:bottom w:val="single" w:sz="4" w:space="0" w:color="auto"/>
                    <w:right w:val="single" w:sz="4" w:space="0" w:color="auto"/>
                  </w:tcBorders>
                  <w:shd w:val="clear" w:color="auto" w:fill="auto"/>
                  <w:noWrap/>
                  <w:vAlign w:val="bottom"/>
                  <w:hideMark/>
                </w:tcPr>
                <w:p w14:paraId="5BE2B87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3CAB26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22BBE3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25AD4824"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2681CF8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D02412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A8B803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14C1A2A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6389CC1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82</w:t>
                  </w:r>
                </w:p>
              </w:tc>
              <w:tc>
                <w:tcPr>
                  <w:tcW w:w="516" w:type="dxa"/>
                  <w:tcBorders>
                    <w:top w:val="nil"/>
                    <w:left w:val="nil"/>
                    <w:bottom w:val="single" w:sz="4" w:space="0" w:color="auto"/>
                    <w:right w:val="single" w:sz="4" w:space="0" w:color="auto"/>
                  </w:tcBorders>
                  <w:shd w:val="clear" w:color="auto" w:fill="auto"/>
                  <w:noWrap/>
                  <w:vAlign w:val="bottom"/>
                  <w:hideMark/>
                </w:tcPr>
                <w:p w14:paraId="38686082" w14:textId="2CD6E35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74B2B4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71</w:t>
                  </w:r>
                </w:p>
              </w:tc>
              <w:tc>
                <w:tcPr>
                  <w:tcW w:w="572" w:type="dxa"/>
                  <w:tcBorders>
                    <w:top w:val="nil"/>
                    <w:left w:val="nil"/>
                    <w:bottom w:val="single" w:sz="4" w:space="0" w:color="auto"/>
                    <w:right w:val="single" w:sz="4" w:space="0" w:color="auto"/>
                  </w:tcBorders>
                  <w:shd w:val="clear" w:color="auto" w:fill="auto"/>
                  <w:noWrap/>
                  <w:vAlign w:val="bottom"/>
                  <w:hideMark/>
                </w:tcPr>
                <w:p w14:paraId="39C70FC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4B5948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68</w:t>
                  </w:r>
                </w:p>
              </w:tc>
              <w:tc>
                <w:tcPr>
                  <w:tcW w:w="567" w:type="dxa"/>
                  <w:tcBorders>
                    <w:top w:val="nil"/>
                    <w:left w:val="nil"/>
                    <w:bottom w:val="single" w:sz="4" w:space="0" w:color="auto"/>
                    <w:right w:val="single" w:sz="4" w:space="0" w:color="auto"/>
                  </w:tcBorders>
                  <w:shd w:val="clear" w:color="auto" w:fill="auto"/>
                  <w:noWrap/>
                  <w:vAlign w:val="bottom"/>
                  <w:hideMark/>
                </w:tcPr>
                <w:p w14:paraId="6510825E" w14:textId="4ADD765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52DCB41A"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566433D" w14:textId="3F8B021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w:t>
                  </w:r>
                </w:p>
              </w:tc>
              <w:tc>
                <w:tcPr>
                  <w:tcW w:w="570" w:type="dxa"/>
                  <w:tcBorders>
                    <w:top w:val="nil"/>
                    <w:left w:val="nil"/>
                    <w:bottom w:val="single" w:sz="4" w:space="0" w:color="auto"/>
                    <w:right w:val="single" w:sz="4" w:space="0" w:color="auto"/>
                  </w:tcBorders>
                  <w:shd w:val="clear" w:color="auto" w:fill="auto"/>
                  <w:noWrap/>
                  <w:vAlign w:val="bottom"/>
                  <w:hideMark/>
                </w:tcPr>
                <w:p w14:paraId="7F2E54F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F7FB2A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48</w:t>
                  </w:r>
                </w:p>
              </w:tc>
              <w:tc>
                <w:tcPr>
                  <w:tcW w:w="600" w:type="dxa"/>
                  <w:tcBorders>
                    <w:top w:val="nil"/>
                    <w:left w:val="nil"/>
                    <w:bottom w:val="single" w:sz="4" w:space="0" w:color="auto"/>
                    <w:right w:val="single" w:sz="4" w:space="0" w:color="auto"/>
                  </w:tcBorders>
                  <w:shd w:val="clear" w:color="auto" w:fill="auto"/>
                  <w:noWrap/>
                  <w:vAlign w:val="bottom"/>
                  <w:hideMark/>
                </w:tcPr>
                <w:p w14:paraId="50F64A06" w14:textId="2D120F1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382A45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w:t>
                  </w:r>
                </w:p>
              </w:tc>
              <w:tc>
                <w:tcPr>
                  <w:tcW w:w="570" w:type="dxa"/>
                  <w:tcBorders>
                    <w:top w:val="nil"/>
                    <w:left w:val="nil"/>
                    <w:bottom w:val="single" w:sz="4" w:space="0" w:color="auto"/>
                    <w:right w:val="single" w:sz="4" w:space="0" w:color="auto"/>
                  </w:tcBorders>
                  <w:shd w:val="clear" w:color="auto" w:fill="auto"/>
                  <w:noWrap/>
                  <w:vAlign w:val="bottom"/>
                  <w:hideMark/>
                </w:tcPr>
                <w:p w14:paraId="15E7877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E45466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-14</w:t>
                  </w:r>
                </w:p>
              </w:tc>
              <w:tc>
                <w:tcPr>
                  <w:tcW w:w="580" w:type="dxa"/>
                  <w:tcBorders>
                    <w:top w:val="nil"/>
                    <w:left w:val="nil"/>
                    <w:bottom w:val="single" w:sz="4" w:space="0" w:color="auto"/>
                    <w:right w:val="single" w:sz="4" w:space="0" w:color="auto"/>
                  </w:tcBorders>
                  <w:shd w:val="clear" w:color="auto" w:fill="auto"/>
                  <w:noWrap/>
                  <w:vAlign w:val="bottom"/>
                  <w:hideMark/>
                </w:tcPr>
                <w:p w14:paraId="72AB03F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5C4AC4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540" w:type="dxa"/>
                  <w:tcBorders>
                    <w:top w:val="nil"/>
                    <w:left w:val="nil"/>
                    <w:bottom w:val="single" w:sz="4" w:space="0" w:color="auto"/>
                    <w:right w:val="single" w:sz="4" w:space="0" w:color="auto"/>
                  </w:tcBorders>
                  <w:shd w:val="clear" w:color="auto" w:fill="auto"/>
                  <w:noWrap/>
                  <w:vAlign w:val="bottom"/>
                  <w:hideMark/>
                </w:tcPr>
                <w:p w14:paraId="051299A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59E794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w:t>
                  </w:r>
                </w:p>
              </w:tc>
              <w:tc>
                <w:tcPr>
                  <w:tcW w:w="543" w:type="dxa"/>
                  <w:tcBorders>
                    <w:top w:val="nil"/>
                    <w:left w:val="nil"/>
                    <w:bottom w:val="single" w:sz="4" w:space="0" w:color="auto"/>
                    <w:right w:val="single" w:sz="4" w:space="0" w:color="auto"/>
                  </w:tcBorders>
                  <w:shd w:val="clear" w:color="auto" w:fill="auto"/>
                  <w:noWrap/>
                  <w:vAlign w:val="bottom"/>
                  <w:hideMark/>
                </w:tcPr>
                <w:p w14:paraId="1B9FAD8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7D0DCD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2B6462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r>
            <w:tr w:rsidR="00837BD6" w:rsidRPr="009E5B39" w14:paraId="521F3B63"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3B552F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E3D907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7ADB4BC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49F67CB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101A47B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68</w:t>
                  </w:r>
                </w:p>
              </w:tc>
              <w:tc>
                <w:tcPr>
                  <w:tcW w:w="516" w:type="dxa"/>
                  <w:tcBorders>
                    <w:top w:val="nil"/>
                    <w:left w:val="nil"/>
                    <w:bottom w:val="single" w:sz="4" w:space="0" w:color="auto"/>
                    <w:right w:val="single" w:sz="4" w:space="0" w:color="auto"/>
                  </w:tcBorders>
                  <w:shd w:val="clear" w:color="auto" w:fill="auto"/>
                  <w:noWrap/>
                  <w:vAlign w:val="bottom"/>
                  <w:hideMark/>
                </w:tcPr>
                <w:p w14:paraId="5B3E719A" w14:textId="28D8FE1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0599024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w:t>
                  </w:r>
                </w:p>
              </w:tc>
              <w:tc>
                <w:tcPr>
                  <w:tcW w:w="572" w:type="dxa"/>
                  <w:tcBorders>
                    <w:top w:val="nil"/>
                    <w:left w:val="nil"/>
                    <w:bottom w:val="single" w:sz="4" w:space="0" w:color="auto"/>
                    <w:right w:val="single" w:sz="4" w:space="0" w:color="auto"/>
                  </w:tcBorders>
                  <w:shd w:val="clear" w:color="auto" w:fill="auto"/>
                  <w:noWrap/>
                  <w:vAlign w:val="bottom"/>
                  <w:hideMark/>
                </w:tcPr>
                <w:p w14:paraId="59F935C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89036C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68</w:t>
                  </w:r>
                </w:p>
              </w:tc>
              <w:tc>
                <w:tcPr>
                  <w:tcW w:w="567" w:type="dxa"/>
                  <w:tcBorders>
                    <w:top w:val="nil"/>
                    <w:left w:val="nil"/>
                    <w:bottom w:val="single" w:sz="4" w:space="0" w:color="auto"/>
                    <w:right w:val="single" w:sz="4" w:space="0" w:color="auto"/>
                  </w:tcBorders>
                  <w:shd w:val="clear" w:color="auto" w:fill="auto"/>
                  <w:noWrap/>
                  <w:vAlign w:val="bottom"/>
                  <w:hideMark/>
                </w:tcPr>
                <w:p w14:paraId="5F917DCD" w14:textId="2799201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3ADC605D"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B940CB1" w14:textId="77F631A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w:t>
                  </w:r>
                </w:p>
              </w:tc>
              <w:tc>
                <w:tcPr>
                  <w:tcW w:w="570" w:type="dxa"/>
                  <w:tcBorders>
                    <w:top w:val="nil"/>
                    <w:left w:val="nil"/>
                    <w:bottom w:val="single" w:sz="4" w:space="0" w:color="auto"/>
                    <w:right w:val="single" w:sz="4" w:space="0" w:color="auto"/>
                  </w:tcBorders>
                  <w:shd w:val="clear" w:color="auto" w:fill="auto"/>
                  <w:noWrap/>
                  <w:vAlign w:val="bottom"/>
                  <w:hideMark/>
                </w:tcPr>
                <w:p w14:paraId="29B7DFB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E0EE57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600" w:type="dxa"/>
                  <w:tcBorders>
                    <w:top w:val="nil"/>
                    <w:left w:val="nil"/>
                    <w:bottom w:val="single" w:sz="4" w:space="0" w:color="auto"/>
                    <w:right w:val="single" w:sz="4" w:space="0" w:color="auto"/>
                  </w:tcBorders>
                  <w:shd w:val="clear" w:color="auto" w:fill="auto"/>
                  <w:noWrap/>
                  <w:vAlign w:val="bottom"/>
                  <w:hideMark/>
                </w:tcPr>
                <w:p w14:paraId="6C8612F2" w14:textId="3871A4E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E91AC6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w:t>
                  </w:r>
                </w:p>
              </w:tc>
              <w:tc>
                <w:tcPr>
                  <w:tcW w:w="570" w:type="dxa"/>
                  <w:tcBorders>
                    <w:top w:val="nil"/>
                    <w:left w:val="nil"/>
                    <w:bottom w:val="single" w:sz="4" w:space="0" w:color="auto"/>
                    <w:right w:val="single" w:sz="4" w:space="0" w:color="auto"/>
                  </w:tcBorders>
                  <w:shd w:val="clear" w:color="auto" w:fill="auto"/>
                  <w:noWrap/>
                  <w:vAlign w:val="bottom"/>
                  <w:hideMark/>
                </w:tcPr>
                <w:p w14:paraId="658FA0D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21A459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4EC00B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7CE3CD3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4A455A7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1ABDE1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-23</w:t>
                  </w:r>
                </w:p>
              </w:tc>
              <w:tc>
                <w:tcPr>
                  <w:tcW w:w="543" w:type="dxa"/>
                  <w:tcBorders>
                    <w:top w:val="nil"/>
                    <w:left w:val="nil"/>
                    <w:bottom w:val="single" w:sz="4" w:space="0" w:color="auto"/>
                    <w:right w:val="single" w:sz="4" w:space="0" w:color="auto"/>
                  </w:tcBorders>
                  <w:shd w:val="clear" w:color="auto" w:fill="auto"/>
                  <w:noWrap/>
                  <w:vAlign w:val="bottom"/>
                  <w:hideMark/>
                </w:tcPr>
                <w:p w14:paraId="1974234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77A052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F238E8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r>
            <w:tr w:rsidR="00837BD6" w:rsidRPr="009E5B39" w14:paraId="5450146E"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36323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1311504"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DGCAPPS</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FFF44C"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14271</w:t>
                  </w:r>
                </w:p>
              </w:tc>
              <w:tc>
                <w:tcPr>
                  <w:tcW w:w="541" w:type="dxa"/>
                  <w:tcBorders>
                    <w:top w:val="nil"/>
                    <w:left w:val="nil"/>
                    <w:bottom w:val="single" w:sz="4" w:space="0" w:color="auto"/>
                    <w:right w:val="single" w:sz="4" w:space="0" w:color="auto"/>
                  </w:tcBorders>
                  <w:shd w:val="clear" w:color="auto" w:fill="auto"/>
                  <w:noWrap/>
                  <w:vAlign w:val="bottom"/>
                  <w:hideMark/>
                </w:tcPr>
                <w:p w14:paraId="604BEA2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5B623B8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39,5</w:t>
                  </w:r>
                </w:p>
              </w:tc>
              <w:tc>
                <w:tcPr>
                  <w:tcW w:w="516" w:type="dxa"/>
                  <w:tcBorders>
                    <w:top w:val="nil"/>
                    <w:left w:val="nil"/>
                    <w:bottom w:val="single" w:sz="4" w:space="0" w:color="auto"/>
                    <w:right w:val="single" w:sz="4" w:space="0" w:color="auto"/>
                  </w:tcBorders>
                  <w:shd w:val="clear" w:color="auto" w:fill="auto"/>
                  <w:noWrap/>
                  <w:vAlign w:val="bottom"/>
                  <w:hideMark/>
                </w:tcPr>
                <w:p w14:paraId="6292525A" w14:textId="7ACFAD0B"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226E3C4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22</w:t>
                  </w:r>
                </w:p>
              </w:tc>
              <w:tc>
                <w:tcPr>
                  <w:tcW w:w="572" w:type="dxa"/>
                  <w:tcBorders>
                    <w:top w:val="nil"/>
                    <w:left w:val="nil"/>
                    <w:bottom w:val="single" w:sz="4" w:space="0" w:color="auto"/>
                    <w:right w:val="single" w:sz="4" w:space="0" w:color="auto"/>
                  </w:tcBorders>
                  <w:shd w:val="clear" w:color="auto" w:fill="auto"/>
                  <w:noWrap/>
                  <w:vAlign w:val="bottom"/>
                  <w:hideMark/>
                </w:tcPr>
                <w:p w14:paraId="7A0A899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14D48F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39,5</w:t>
                  </w:r>
                </w:p>
              </w:tc>
              <w:tc>
                <w:tcPr>
                  <w:tcW w:w="567" w:type="dxa"/>
                  <w:tcBorders>
                    <w:top w:val="nil"/>
                    <w:left w:val="nil"/>
                    <w:bottom w:val="single" w:sz="4" w:space="0" w:color="auto"/>
                    <w:right w:val="single" w:sz="4" w:space="0" w:color="auto"/>
                  </w:tcBorders>
                  <w:shd w:val="clear" w:color="auto" w:fill="auto"/>
                  <w:noWrap/>
                  <w:vAlign w:val="bottom"/>
                  <w:hideMark/>
                </w:tcPr>
                <w:p w14:paraId="0CF5D161" w14:textId="0C2E869F"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73F9DAB2"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D6E23F2" w14:textId="33699159"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22</w:t>
                  </w:r>
                </w:p>
              </w:tc>
              <w:tc>
                <w:tcPr>
                  <w:tcW w:w="570" w:type="dxa"/>
                  <w:tcBorders>
                    <w:top w:val="nil"/>
                    <w:left w:val="nil"/>
                    <w:bottom w:val="single" w:sz="4" w:space="0" w:color="auto"/>
                    <w:right w:val="single" w:sz="4" w:space="0" w:color="auto"/>
                  </w:tcBorders>
                  <w:shd w:val="clear" w:color="auto" w:fill="auto"/>
                  <w:noWrap/>
                  <w:vAlign w:val="bottom"/>
                  <w:hideMark/>
                </w:tcPr>
                <w:p w14:paraId="1565D89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F33CB2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34</w:t>
                  </w:r>
                </w:p>
              </w:tc>
              <w:tc>
                <w:tcPr>
                  <w:tcW w:w="600" w:type="dxa"/>
                  <w:tcBorders>
                    <w:top w:val="nil"/>
                    <w:left w:val="nil"/>
                    <w:bottom w:val="single" w:sz="4" w:space="0" w:color="auto"/>
                    <w:right w:val="single" w:sz="4" w:space="0" w:color="auto"/>
                  </w:tcBorders>
                  <w:shd w:val="clear" w:color="auto" w:fill="auto"/>
                  <w:noWrap/>
                  <w:vAlign w:val="bottom"/>
                  <w:hideMark/>
                </w:tcPr>
                <w:p w14:paraId="0105D2B8" w14:textId="6FEF2C8B"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77182D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22</w:t>
                  </w:r>
                </w:p>
              </w:tc>
              <w:tc>
                <w:tcPr>
                  <w:tcW w:w="570" w:type="dxa"/>
                  <w:tcBorders>
                    <w:top w:val="nil"/>
                    <w:left w:val="nil"/>
                    <w:bottom w:val="single" w:sz="4" w:space="0" w:color="auto"/>
                    <w:right w:val="single" w:sz="4" w:space="0" w:color="auto"/>
                  </w:tcBorders>
                  <w:shd w:val="clear" w:color="auto" w:fill="auto"/>
                  <w:noWrap/>
                  <w:vAlign w:val="bottom"/>
                  <w:hideMark/>
                </w:tcPr>
                <w:p w14:paraId="38B502B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336FE6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FCA84E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759FA7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1EBACC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9505BE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-5,5</w:t>
                  </w:r>
                </w:p>
              </w:tc>
              <w:tc>
                <w:tcPr>
                  <w:tcW w:w="543" w:type="dxa"/>
                  <w:tcBorders>
                    <w:top w:val="nil"/>
                    <w:left w:val="nil"/>
                    <w:bottom w:val="single" w:sz="4" w:space="0" w:color="auto"/>
                    <w:right w:val="single" w:sz="4" w:space="0" w:color="auto"/>
                  </w:tcBorders>
                  <w:shd w:val="clear" w:color="auto" w:fill="auto"/>
                  <w:noWrap/>
                  <w:vAlign w:val="bottom"/>
                  <w:hideMark/>
                </w:tcPr>
                <w:p w14:paraId="5AE2B8A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6D2FC0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71B106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-5,5</w:t>
                  </w:r>
                </w:p>
              </w:tc>
            </w:tr>
            <w:tr w:rsidR="00837BD6" w:rsidRPr="009E5B39" w14:paraId="5567746C"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F2CAC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FEF3E4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6835B80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6FE2F81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715509C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39,5</w:t>
                  </w:r>
                </w:p>
              </w:tc>
              <w:tc>
                <w:tcPr>
                  <w:tcW w:w="516" w:type="dxa"/>
                  <w:tcBorders>
                    <w:top w:val="nil"/>
                    <w:left w:val="nil"/>
                    <w:bottom w:val="single" w:sz="4" w:space="0" w:color="auto"/>
                    <w:right w:val="single" w:sz="4" w:space="0" w:color="auto"/>
                  </w:tcBorders>
                  <w:shd w:val="clear" w:color="auto" w:fill="auto"/>
                  <w:noWrap/>
                  <w:vAlign w:val="bottom"/>
                  <w:hideMark/>
                </w:tcPr>
                <w:p w14:paraId="66654619" w14:textId="458CC5D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563F247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572" w:type="dxa"/>
                  <w:tcBorders>
                    <w:top w:val="nil"/>
                    <w:left w:val="nil"/>
                    <w:bottom w:val="single" w:sz="4" w:space="0" w:color="auto"/>
                    <w:right w:val="single" w:sz="4" w:space="0" w:color="auto"/>
                  </w:tcBorders>
                  <w:shd w:val="clear" w:color="auto" w:fill="auto"/>
                  <w:noWrap/>
                  <w:vAlign w:val="bottom"/>
                  <w:hideMark/>
                </w:tcPr>
                <w:p w14:paraId="4F65EA7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3E0311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39,5</w:t>
                  </w:r>
                </w:p>
              </w:tc>
              <w:tc>
                <w:tcPr>
                  <w:tcW w:w="567" w:type="dxa"/>
                  <w:tcBorders>
                    <w:top w:val="nil"/>
                    <w:left w:val="nil"/>
                    <w:bottom w:val="single" w:sz="4" w:space="0" w:color="auto"/>
                    <w:right w:val="single" w:sz="4" w:space="0" w:color="auto"/>
                  </w:tcBorders>
                  <w:shd w:val="clear" w:color="auto" w:fill="auto"/>
                  <w:noWrap/>
                  <w:vAlign w:val="bottom"/>
                  <w:hideMark/>
                </w:tcPr>
                <w:p w14:paraId="1AC82E1A" w14:textId="448E679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060D0A1C"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C9D60C2" w14:textId="5347D6E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570" w:type="dxa"/>
                  <w:tcBorders>
                    <w:top w:val="nil"/>
                    <w:left w:val="nil"/>
                    <w:bottom w:val="single" w:sz="4" w:space="0" w:color="auto"/>
                    <w:right w:val="single" w:sz="4" w:space="0" w:color="auto"/>
                  </w:tcBorders>
                  <w:shd w:val="clear" w:color="auto" w:fill="auto"/>
                  <w:noWrap/>
                  <w:vAlign w:val="bottom"/>
                  <w:hideMark/>
                </w:tcPr>
                <w:p w14:paraId="0C95A6A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426322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27</w:t>
                  </w:r>
                </w:p>
              </w:tc>
              <w:tc>
                <w:tcPr>
                  <w:tcW w:w="600" w:type="dxa"/>
                  <w:tcBorders>
                    <w:top w:val="nil"/>
                    <w:left w:val="nil"/>
                    <w:bottom w:val="single" w:sz="4" w:space="0" w:color="auto"/>
                    <w:right w:val="single" w:sz="4" w:space="0" w:color="auto"/>
                  </w:tcBorders>
                  <w:shd w:val="clear" w:color="auto" w:fill="auto"/>
                  <w:noWrap/>
                  <w:vAlign w:val="bottom"/>
                  <w:hideMark/>
                </w:tcPr>
                <w:p w14:paraId="285EB678" w14:textId="2629560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48AEB3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w:t>
                  </w:r>
                </w:p>
              </w:tc>
              <w:tc>
                <w:tcPr>
                  <w:tcW w:w="570" w:type="dxa"/>
                  <w:tcBorders>
                    <w:top w:val="nil"/>
                    <w:left w:val="nil"/>
                    <w:bottom w:val="single" w:sz="4" w:space="0" w:color="auto"/>
                    <w:right w:val="single" w:sz="4" w:space="0" w:color="auto"/>
                  </w:tcBorders>
                  <w:shd w:val="clear" w:color="auto" w:fill="auto"/>
                  <w:noWrap/>
                  <w:vAlign w:val="bottom"/>
                  <w:hideMark/>
                </w:tcPr>
                <w:p w14:paraId="706D893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536220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78C53E8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41FD0A9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38C811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0417D0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-12,5</w:t>
                  </w:r>
                </w:p>
              </w:tc>
              <w:tc>
                <w:tcPr>
                  <w:tcW w:w="543" w:type="dxa"/>
                  <w:tcBorders>
                    <w:top w:val="nil"/>
                    <w:left w:val="nil"/>
                    <w:bottom w:val="single" w:sz="4" w:space="0" w:color="auto"/>
                    <w:right w:val="single" w:sz="4" w:space="0" w:color="auto"/>
                  </w:tcBorders>
                  <w:shd w:val="clear" w:color="auto" w:fill="auto"/>
                  <w:noWrap/>
                  <w:vAlign w:val="bottom"/>
                  <w:hideMark/>
                </w:tcPr>
                <w:p w14:paraId="4B66C41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07EAAC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66AAC7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w:t>
                  </w:r>
                </w:p>
              </w:tc>
            </w:tr>
            <w:tr w:rsidR="00837BD6" w:rsidRPr="009E5B39" w14:paraId="7E363CEA"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7CEA449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42569AF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0F83D97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03A54A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68CDEA1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39,5</w:t>
                  </w:r>
                </w:p>
              </w:tc>
              <w:tc>
                <w:tcPr>
                  <w:tcW w:w="516" w:type="dxa"/>
                  <w:tcBorders>
                    <w:top w:val="nil"/>
                    <w:left w:val="nil"/>
                    <w:bottom w:val="single" w:sz="4" w:space="0" w:color="auto"/>
                    <w:right w:val="single" w:sz="4" w:space="0" w:color="auto"/>
                  </w:tcBorders>
                  <w:shd w:val="clear" w:color="auto" w:fill="auto"/>
                  <w:noWrap/>
                  <w:vAlign w:val="bottom"/>
                  <w:hideMark/>
                </w:tcPr>
                <w:p w14:paraId="3E99B438" w14:textId="1AD58D7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29A38F9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572" w:type="dxa"/>
                  <w:tcBorders>
                    <w:top w:val="nil"/>
                    <w:left w:val="nil"/>
                    <w:bottom w:val="single" w:sz="4" w:space="0" w:color="auto"/>
                    <w:right w:val="single" w:sz="4" w:space="0" w:color="auto"/>
                  </w:tcBorders>
                  <w:shd w:val="clear" w:color="auto" w:fill="auto"/>
                  <w:noWrap/>
                  <w:vAlign w:val="bottom"/>
                  <w:hideMark/>
                </w:tcPr>
                <w:p w14:paraId="02C8D6D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DE601E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39,5</w:t>
                  </w:r>
                </w:p>
              </w:tc>
              <w:tc>
                <w:tcPr>
                  <w:tcW w:w="567" w:type="dxa"/>
                  <w:tcBorders>
                    <w:top w:val="nil"/>
                    <w:left w:val="nil"/>
                    <w:bottom w:val="single" w:sz="4" w:space="0" w:color="auto"/>
                    <w:right w:val="single" w:sz="4" w:space="0" w:color="auto"/>
                  </w:tcBorders>
                  <w:shd w:val="clear" w:color="auto" w:fill="auto"/>
                  <w:noWrap/>
                  <w:vAlign w:val="bottom"/>
                  <w:hideMark/>
                </w:tcPr>
                <w:p w14:paraId="2BE36C3C" w14:textId="0DA159B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6593A55"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EBC13A3" w14:textId="3D4976A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570" w:type="dxa"/>
                  <w:tcBorders>
                    <w:top w:val="nil"/>
                    <w:left w:val="nil"/>
                    <w:bottom w:val="single" w:sz="4" w:space="0" w:color="auto"/>
                    <w:right w:val="single" w:sz="4" w:space="0" w:color="auto"/>
                  </w:tcBorders>
                  <w:shd w:val="clear" w:color="auto" w:fill="auto"/>
                  <w:noWrap/>
                  <w:vAlign w:val="bottom"/>
                  <w:hideMark/>
                </w:tcPr>
                <w:p w14:paraId="204A25E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79C4ED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28</w:t>
                  </w:r>
                </w:p>
              </w:tc>
              <w:tc>
                <w:tcPr>
                  <w:tcW w:w="600" w:type="dxa"/>
                  <w:tcBorders>
                    <w:top w:val="nil"/>
                    <w:left w:val="nil"/>
                    <w:bottom w:val="single" w:sz="4" w:space="0" w:color="auto"/>
                    <w:right w:val="single" w:sz="4" w:space="0" w:color="auto"/>
                  </w:tcBorders>
                  <w:shd w:val="clear" w:color="auto" w:fill="auto"/>
                  <w:noWrap/>
                  <w:vAlign w:val="bottom"/>
                  <w:hideMark/>
                </w:tcPr>
                <w:p w14:paraId="2289F5C9" w14:textId="01FC680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1A6EBC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570" w:type="dxa"/>
                  <w:tcBorders>
                    <w:top w:val="nil"/>
                    <w:left w:val="nil"/>
                    <w:bottom w:val="single" w:sz="4" w:space="0" w:color="auto"/>
                    <w:right w:val="single" w:sz="4" w:space="0" w:color="auto"/>
                  </w:tcBorders>
                  <w:shd w:val="clear" w:color="auto" w:fill="auto"/>
                  <w:noWrap/>
                  <w:vAlign w:val="bottom"/>
                  <w:hideMark/>
                </w:tcPr>
                <w:p w14:paraId="1BAFD6E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3D4632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5ED16C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38FA5F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8DDB34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C3311B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-11,5</w:t>
                  </w:r>
                </w:p>
              </w:tc>
              <w:tc>
                <w:tcPr>
                  <w:tcW w:w="543" w:type="dxa"/>
                  <w:tcBorders>
                    <w:top w:val="nil"/>
                    <w:left w:val="nil"/>
                    <w:bottom w:val="single" w:sz="4" w:space="0" w:color="auto"/>
                    <w:right w:val="single" w:sz="4" w:space="0" w:color="auto"/>
                  </w:tcBorders>
                  <w:shd w:val="clear" w:color="auto" w:fill="auto"/>
                  <w:noWrap/>
                  <w:vAlign w:val="bottom"/>
                  <w:hideMark/>
                </w:tcPr>
                <w:p w14:paraId="2E3A92E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822C5C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90ACBB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w:t>
                  </w:r>
                </w:p>
              </w:tc>
            </w:tr>
            <w:tr w:rsidR="00837BD6" w:rsidRPr="009E5B39" w14:paraId="0CED59B8"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1CBCC8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2712F2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4B29DCA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002F77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2CDB50C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39,5</w:t>
                  </w:r>
                </w:p>
              </w:tc>
              <w:tc>
                <w:tcPr>
                  <w:tcW w:w="516" w:type="dxa"/>
                  <w:tcBorders>
                    <w:top w:val="nil"/>
                    <w:left w:val="nil"/>
                    <w:bottom w:val="single" w:sz="4" w:space="0" w:color="auto"/>
                    <w:right w:val="single" w:sz="4" w:space="0" w:color="auto"/>
                  </w:tcBorders>
                  <w:shd w:val="clear" w:color="auto" w:fill="auto"/>
                  <w:noWrap/>
                  <w:vAlign w:val="bottom"/>
                  <w:hideMark/>
                </w:tcPr>
                <w:p w14:paraId="74B72BB3" w14:textId="4B2F892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3214557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572" w:type="dxa"/>
                  <w:tcBorders>
                    <w:top w:val="nil"/>
                    <w:left w:val="nil"/>
                    <w:bottom w:val="single" w:sz="4" w:space="0" w:color="auto"/>
                    <w:right w:val="single" w:sz="4" w:space="0" w:color="auto"/>
                  </w:tcBorders>
                  <w:shd w:val="clear" w:color="auto" w:fill="auto"/>
                  <w:noWrap/>
                  <w:vAlign w:val="bottom"/>
                  <w:hideMark/>
                </w:tcPr>
                <w:p w14:paraId="511F44D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7A0D60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39,5</w:t>
                  </w:r>
                </w:p>
              </w:tc>
              <w:tc>
                <w:tcPr>
                  <w:tcW w:w="567" w:type="dxa"/>
                  <w:tcBorders>
                    <w:top w:val="nil"/>
                    <w:left w:val="nil"/>
                    <w:bottom w:val="single" w:sz="4" w:space="0" w:color="auto"/>
                    <w:right w:val="single" w:sz="4" w:space="0" w:color="auto"/>
                  </w:tcBorders>
                  <w:shd w:val="clear" w:color="auto" w:fill="auto"/>
                  <w:noWrap/>
                  <w:vAlign w:val="bottom"/>
                  <w:hideMark/>
                </w:tcPr>
                <w:p w14:paraId="3040AAC8" w14:textId="79AD178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23BD73D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BE49060" w14:textId="681FB70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570" w:type="dxa"/>
                  <w:tcBorders>
                    <w:top w:val="nil"/>
                    <w:left w:val="nil"/>
                    <w:bottom w:val="single" w:sz="4" w:space="0" w:color="auto"/>
                    <w:right w:val="single" w:sz="4" w:space="0" w:color="auto"/>
                  </w:tcBorders>
                  <w:shd w:val="clear" w:color="auto" w:fill="auto"/>
                  <w:noWrap/>
                  <w:vAlign w:val="bottom"/>
                  <w:hideMark/>
                </w:tcPr>
                <w:p w14:paraId="4A8384E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28F279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28</w:t>
                  </w:r>
                </w:p>
              </w:tc>
              <w:tc>
                <w:tcPr>
                  <w:tcW w:w="600" w:type="dxa"/>
                  <w:tcBorders>
                    <w:top w:val="nil"/>
                    <w:left w:val="nil"/>
                    <w:bottom w:val="single" w:sz="4" w:space="0" w:color="auto"/>
                    <w:right w:val="single" w:sz="4" w:space="0" w:color="auto"/>
                  </w:tcBorders>
                  <w:shd w:val="clear" w:color="auto" w:fill="auto"/>
                  <w:noWrap/>
                  <w:vAlign w:val="bottom"/>
                  <w:hideMark/>
                </w:tcPr>
                <w:p w14:paraId="38EF1EEE" w14:textId="006D552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8825E1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570" w:type="dxa"/>
                  <w:tcBorders>
                    <w:top w:val="nil"/>
                    <w:left w:val="nil"/>
                    <w:bottom w:val="single" w:sz="4" w:space="0" w:color="auto"/>
                    <w:right w:val="single" w:sz="4" w:space="0" w:color="auto"/>
                  </w:tcBorders>
                  <w:shd w:val="clear" w:color="auto" w:fill="auto"/>
                  <w:noWrap/>
                  <w:vAlign w:val="bottom"/>
                  <w:hideMark/>
                </w:tcPr>
                <w:p w14:paraId="4C6052B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652702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3A5660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B48F16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7862508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EB8A09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-11,5</w:t>
                  </w:r>
                </w:p>
              </w:tc>
              <w:tc>
                <w:tcPr>
                  <w:tcW w:w="543" w:type="dxa"/>
                  <w:tcBorders>
                    <w:top w:val="nil"/>
                    <w:left w:val="nil"/>
                    <w:bottom w:val="single" w:sz="4" w:space="0" w:color="auto"/>
                    <w:right w:val="single" w:sz="4" w:space="0" w:color="auto"/>
                  </w:tcBorders>
                  <w:shd w:val="clear" w:color="auto" w:fill="auto"/>
                  <w:noWrap/>
                  <w:vAlign w:val="bottom"/>
                  <w:hideMark/>
                </w:tcPr>
                <w:p w14:paraId="3BF58E6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665059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C95766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w:t>
                  </w:r>
                </w:p>
              </w:tc>
            </w:tr>
            <w:tr w:rsidR="00837BD6" w:rsidRPr="009E5B39" w14:paraId="39A7D2E1"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8978FC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973BE6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285B571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32914F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6A168BD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7DFEB853" w14:textId="7D68F71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2FF23B78" w14:textId="3EDCD89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7AE0330C" w14:textId="396F1CE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613460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2C71448B" w14:textId="76B4E59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0331DEC"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05F5A79" w14:textId="3610DE7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351E7C7F" w14:textId="0212F02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D9AD1E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677271FD" w14:textId="2B94407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C8BDB3E" w14:textId="717AF55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0C669552" w14:textId="1522299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67B1C5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BFA2BB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76CC31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285CDA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22F809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53661E6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FA8CFE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A3B8D4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066A4425"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51E5C4"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EE87CD9"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DMPDC</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0A795B"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2028</w:t>
                  </w:r>
                </w:p>
              </w:tc>
              <w:tc>
                <w:tcPr>
                  <w:tcW w:w="541" w:type="dxa"/>
                  <w:tcBorders>
                    <w:top w:val="nil"/>
                    <w:left w:val="nil"/>
                    <w:bottom w:val="single" w:sz="4" w:space="0" w:color="auto"/>
                    <w:right w:val="single" w:sz="4" w:space="0" w:color="auto"/>
                  </w:tcBorders>
                  <w:shd w:val="clear" w:color="auto" w:fill="auto"/>
                  <w:noWrap/>
                  <w:vAlign w:val="bottom"/>
                  <w:hideMark/>
                </w:tcPr>
                <w:p w14:paraId="44DE80C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27005CA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56,5</w:t>
                  </w:r>
                </w:p>
              </w:tc>
              <w:tc>
                <w:tcPr>
                  <w:tcW w:w="516" w:type="dxa"/>
                  <w:tcBorders>
                    <w:top w:val="nil"/>
                    <w:left w:val="nil"/>
                    <w:bottom w:val="single" w:sz="4" w:space="0" w:color="auto"/>
                    <w:right w:val="single" w:sz="4" w:space="0" w:color="auto"/>
                  </w:tcBorders>
                  <w:shd w:val="clear" w:color="auto" w:fill="auto"/>
                  <w:noWrap/>
                  <w:vAlign w:val="bottom"/>
                  <w:hideMark/>
                </w:tcPr>
                <w:p w14:paraId="53EED871" w14:textId="5AA1BDB3"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0CF2513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49</w:t>
                  </w:r>
                </w:p>
              </w:tc>
              <w:tc>
                <w:tcPr>
                  <w:tcW w:w="572" w:type="dxa"/>
                  <w:tcBorders>
                    <w:top w:val="nil"/>
                    <w:left w:val="nil"/>
                    <w:bottom w:val="single" w:sz="4" w:space="0" w:color="auto"/>
                    <w:right w:val="single" w:sz="4" w:space="0" w:color="auto"/>
                  </w:tcBorders>
                  <w:shd w:val="clear" w:color="auto" w:fill="auto"/>
                  <w:noWrap/>
                  <w:vAlign w:val="bottom"/>
                  <w:hideMark/>
                </w:tcPr>
                <w:p w14:paraId="4722E04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004000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56,5</w:t>
                  </w:r>
                </w:p>
              </w:tc>
              <w:tc>
                <w:tcPr>
                  <w:tcW w:w="567" w:type="dxa"/>
                  <w:tcBorders>
                    <w:top w:val="nil"/>
                    <w:left w:val="nil"/>
                    <w:bottom w:val="single" w:sz="4" w:space="0" w:color="auto"/>
                    <w:right w:val="single" w:sz="4" w:space="0" w:color="auto"/>
                  </w:tcBorders>
                  <w:shd w:val="clear" w:color="auto" w:fill="auto"/>
                  <w:noWrap/>
                  <w:vAlign w:val="bottom"/>
                  <w:hideMark/>
                </w:tcPr>
                <w:p w14:paraId="5482EC41" w14:textId="09F758F1"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6BEE327A"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DAE6B48" w14:textId="040FC466"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49</w:t>
                  </w:r>
                </w:p>
              </w:tc>
              <w:tc>
                <w:tcPr>
                  <w:tcW w:w="570" w:type="dxa"/>
                  <w:tcBorders>
                    <w:top w:val="nil"/>
                    <w:left w:val="nil"/>
                    <w:bottom w:val="single" w:sz="4" w:space="0" w:color="auto"/>
                    <w:right w:val="single" w:sz="4" w:space="0" w:color="auto"/>
                  </w:tcBorders>
                  <w:shd w:val="clear" w:color="auto" w:fill="auto"/>
                  <w:noWrap/>
                  <w:vAlign w:val="bottom"/>
                  <w:hideMark/>
                </w:tcPr>
                <w:p w14:paraId="675671A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A54402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54</w:t>
                  </w:r>
                </w:p>
              </w:tc>
              <w:tc>
                <w:tcPr>
                  <w:tcW w:w="600" w:type="dxa"/>
                  <w:tcBorders>
                    <w:top w:val="nil"/>
                    <w:left w:val="nil"/>
                    <w:bottom w:val="single" w:sz="4" w:space="0" w:color="auto"/>
                    <w:right w:val="single" w:sz="4" w:space="0" w:color="auto"/>
                  </w:tcBorders>
                  <w:shd w:val="clear" w:color="auto" w:fill="auto"/>
                  <w:noWrap/>
                  <w:vAlign w:val="bottom"/>
                  <w:hideMark/>
                </w:tcPr>
                <w:p w14:paraId="0D2F1D59" w14:textId="711BD204"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385A3E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48</w:t>
                  </w:r>
                </w:p>
              </w:tc>
              <w:tc>
                <w:tcPr>
                  <w:tcW w:w="570" w:type="dxa"/>
                  <w:tcBorders>
                    <w:top w:val="nil"/>
                    <w:left w:val="nil"/>
                    <w:bottom w:val="single" w:sz="4" w:space="0" w:color="auto"/>
                    <w:right w:val="single" w:sz="4" w:space="0" w:color="auto"/>
                  </w:tcBorders>
                  <w:shd w:val="clear" w:color="auto" w:fill="auto"/>
                  <w:noWrap/>
                  <w:vAlign w:val="bottom"/>
                  <w:hideMark/>
                </w:tcPr>
                <w:p w14:paraId="18ED436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13EF37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70F3FE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F1242D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6A9A794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32CB1A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-2,5</w:t>
                  </w:r>
                </w:p>
              </w:tc>
              <w:tc>
                <w:tcPr>
                  <w:tcW w:w="543" w:type="dxa"/>
                  <w:tcBorders>
                    <w:top w:val="nil"/>
                    <w:left w:val="nil"/>
                    <w:bottom w:val="single" w:sz="4" w:space="0" w:color="auto"/>
                    <w:right w:val="single" w:sz="4" w:space="0" w:color="auto"/>
                  </w:tcBorders>
                  <w:shd w:val="clear" w:color="auto" w:fill="auto"/>
                  <w:noWrap/>
                  <w:vAlign w:val="bottom"/>
                  <w:hideMark/>
                </w:tcPr>
                <w:p w14:paraId="24A91BD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69E6A8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669082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r>
            <w:tr w:rsidR="00837BD6" w:rsidRPr="009E5B39" w14:paraId="6A4F7D80"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5C4E49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D82EBB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029AC54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68EBB7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2CBA7E1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56,5</w:t>
                  </w:r>
                </w:p>
              </w:tc>
              <w:tc>
                <w:tcPr>
                  <w:tcW w:w="516" w:type="dxa"/>
                  <w:tcBorders>
                    <w:top w:val="nil"/>
                    <w:left w:val="nil"/>
                    <w:bottom w:val="single" w:sz="4" w:space="0" w:color="auto"/>
                    <w:right w:val="single" w:sz="4" w:space="0" w:color="auto"/>
                  </w:tcBorders>
                  <w:shd w:val="clear" w:color="auto" w:fill="auto"/>
                  <w:noWrap/>
                  <w:vAlign w:val="bottom"/>
                  <w:hideMark/>
                </w:tcPr>
                <w:p w14:paraId="0983986E" w14:textId="5354D3B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87B700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572" w:type="dxa"/>
                  <w:tcBorders>
                    <w:top w:val="nil"/>
                    <w:left w:val="nil"/>
                    <w:bottom w:val="single" w:sz="4" w:space="0" w:color="auto"/>
                    <w:right w:val="single" w:sz="4" w:space="0" w:color="auto"/>
                  </w:tcBorders>
                  <w:shd w:val="clear" w:color="auto" w:fill="auto"/>
                  <w:noWrap/>
                  <w:vAlign w:val="bottom"/>
                  <w:hideMark/>
                </w:tcPr>
                <w:p w14:paraId="5285268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924D04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56,5</w:t>
                  </w:r>
                </w:p>
              </w:tc>
              <w:tc>
                <w:tcPr>
                  <w:tcW w:w="567" w:type="dxa"/>
                  <w:tcBorders>
                    <w:top w:val="nil"/>
                    <w:left w:val="nil"/>
                    <w:bottom w:val="single" w:sz="4" w:space="0" w:color="auto"/>
                    <w:right w:val="single" w:sz="4" w:space="0" w:color="auto"/>
                  </w:tcBorders>
                  <w:shd w:val="clear" w:color="auto" w:fill="auto"/>
                  <w:noWrap/>
                  <w:vAlign w:val="bottom"/>
                  <w:hideMark/>
                </w:tcPr>
                <w:p w14:paraId="74579FF7" w14:textId="784A316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7E4BD0CF"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0A0B4F3" w14:textId="2C135FB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570" w:type="dxa"/>
                  <w:tcBorders>
                    <w:top w:val="nil"/>
                    <w:left w:val="nil"/>
                    <w:bottom w:val="single" w:sz="4" w:space="0" w:color="auto"/>
                    <w:right w:val="single" w:sz="4" w:space="0" w:color="auto"/>
                  </w:tcBorders>
                  <w:shd w:val="clear" w:color="auto" w:fill="auto"/>
                  <w:noWrap/>
                  <w:vAlign w:val="bottom"/>
                  <w:hideMark/>
                </w:tcPr>
                <w:p w14:paraId="104AAF9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C3FCBA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42,5</w:t>
                  </w:r>
                </w:p>
              </w:tc>
              <w:tc>
                <w:tcPr>
                  <w:tcW w:w="600" w:type="dxa"/>
                  <w:tcBorders>
                    <w:top w:val="nil"/>
                    <w:left w:val="nil"/>
                    <w:bottom w:val="single" w:sz="4" w:space="0" w:color="auto"/>
                    <w:right w:val="single" w:sz="4" w:space="0" w:color="auto"/>
                  </w:tcBorders>
                  <w:shd w:val="clear" w:color="auto" w:fill="auto"/>
                  <w:noWrap/>
                  <w:vAlign w:val="bottom"/>
                  <w:hideMark/>
                </w:tcPr>
                <w:p w14:paraId="56740F7E" w14:textId="5155F8C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D83487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w:t>
                  </w:r>
                </w:p>
              </w:tc>
              <w:tc>
                <w:tcPr>
                  <w:tcW w:w="570" w:type="dxa"/>
                  <w:tcBorders>
                    <w:top w:val="nil"/>
                    <w:left w:val="nil"/>
                    <w:bottom w:val="single" w:sz="4" w:space="0" w:color="auto"/>
                    <w:right w:val="single" w:sz="4" w:space="0" w:color="auto"/>
                  </w:tcBorders>
                  <w:shd w:val="clear" w:color="auto" w:fill="auto"/>
                  <w:noWrap/>
                  <w:vAlign w:val="bottom"/>
                  <w:hideMark/>
                </w:tcPr>
                <w:p w14:paraId="707FC21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045C36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F66E2C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91685F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01F46B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AE9252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-14</w:t>
                  </w:r>
                </w:p>
              </w:tc>
              <w:tc>
                <w:tcPr>
                  <w:tcW w:w="543" w:type="dxa"/>
                  <w:tcBorders>
                    <w:top w:val="nil"/>
                    <w:left w:val="nil"/>
                    <w:bottom w:val="single" w:sz="4" w:space="0" w:color="auto"/>
                    <w:right w:val="single" w:sz="4" w:space="0" w:color="auto"/>
                  </w:tcBorders>
                  <w:shd w:val="clear" w:color="auto" w:fill="auto"/>
                  <w:noWrap/>
                  <w:vAlign w:val="bottom"/>
                  <w:hideMark/>
                </w:tcPr>
                <w:p w14:paraId="0D437CB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1139A9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81EA29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r>
            <w:tr w:rsidR="00837BD6" w:rsidRPr="009E5B39" w14:paraId="5EAF0EEA"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68E75C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224880A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527C2CB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0CCE64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4FAA7A7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56,5</w:t>
                  </w:r>
                </w:p>
              </w:tc>
              <w:tc>
                <w:tcPr>
                  <w:tcW w:w="516" w:type="dxa"/>
                  <w:tcBorders>
                    <w:top w:val="nil"/>
                    <w:left w:val="nil"/>
                    <w:bottom w:val="single" w:sz="4" w:space="0" w:color="auto"/>
                    <w:right w:val="single" w:sz="4" w:space="0" w:color="auto"/>
                  </w:tcBorders>
                  <w:shd w:val="clear" w:color="auto" w:fill="auto"/>
                  <w:noWrap/>
                  <w:vAlign w:val="bottom"/>
                  <w:hideMark/>
                </w:tcPr>
                <w:p w14:paraId="5A2A3207" w14:textId="6A37069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FCE1E5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572" w:type="dxa"/>
                  <w:tcBorders>
                    <w:top w:val="nil"/>
                    <w:left w:val="nil"/>
                    <w:bottom w:val="single" w:sz="4" w:space="0" w:color="auto"/>
                    <w:right w:val="single" w:sz="4" w:space="0" w:color="auto"/>
                  </w:tcBorders>
                  <w:shd w:val="clear" w:color="auto" w:fill="auto"/>
                  <w:noWrap/>
                  <w:vAlign w:val="bottom"/>
                  <w:hideMark/>
                </w:tcPr>
                <w:p w14:paraId="416DF93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2FEB37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56,5</w:t>
                  </w:r>
                </w:p>
              </w:tc>
              <w:tc>
                <w:tcPr>
                  <w:tcW w:w="567" w:type="dxa"/>
                  <w:tcBorders>
                    <w:top w:val="nil"/>
                    <w:left w:val="nil"/>
                    <w:bottom w:val="single" w:sz="4" w:space="0" w:color="auto"/>
                    <w:right w:val="single" w:sz="4" w:space="0" w:color="auto"/>
                  </w:tcBorders>
                  <w:shd w:val="clear" w:color="auto" w:fill="auto"/>
                  <w:noWrap/>
                  <w:vAlign w:val="bottom"/>
                  <w:hideMark/>
                </w:tcPr>
                <w:p w14:paraId="7038633A" w14:textId="5C05F16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54A68579"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E439757" w14:textId="3D96938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570" w:type="dxa"/>
                  <w:tcBorders>
                    <w:top w:val="nil"/>
                    <w:left w:val="nil"/>
                    <w:bottom w:val="single" w:sz="4" w:space="0" w:color="auto"/>
                    <w:right w:val="single" w:sz="4" w:space="0" w:color="auto"/>
                  </w:tcBorders>
                  <w:shd w:val="clear" w:color="auto" w:fill="auto"/>
                  <w:noWrap/>
                  <w:vAlign w:val="bottom"/>
                  <w:hideMark/>
                </w:tcPr>
                <w:p w14:paraId="4211B46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C42BE6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600" w:type="dxa"/>
                  <w:tcBorders>
                    <w:top w:val="nil"/>
                    <w:left w:val="nil"/>
                    <w:bottom w:val="single" w:sz="4" w:space="0" w:color="auto"/>
                    <w:right w:val="single" w:sz="4" w:space="0" w:color="auto"/>
                  </w:tcBorders>
                  <w:shd w:val="clear" w:color="auto" w:fill="auto"/>
                  <w:noWrap/>
                  <w:vAlign w:val="bottom"/>
                  <w:hideMark/>
                </w:tcPr>
                <w:p w14:paraId="678FD108" w14:textId="6B0AEEF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35308A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39</w:t>
                  </w:r>
                </w:p>
              </w:tc>
              <w:tc>
                <w:tcPr>
                  <w:tcW w:w="570" w:type="dxa"/>
                  <w:tcBorders>
                    <w:top w:val="nil"/>
                    <w:left w:val="nil"/>
                    <w:bottom w:val="single" w:sz="4" w:space="0" w:color="auto"/>
                    <w:right w:val="single" w:sz="4" w:space="0" w:color="auto"/>
                  </w:tcBorders>
                  <w:shd w:val="clear" w:color="auto" w:fill="auto"/>
                  <w:noWrap/>
                  <w:vAlign w:val="bottom"/>
                  <w:hideMark/>
                </w:tcPr>
                <w:p w14:paraId="737FEC5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D99F71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6A8ACA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FF5770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6E5713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B34FAB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-11,5</w:t>
                  </w:r>
                </w:p>
              </w:tc>
              <w:tc>
                <w:tcPr>
                  <w:tcW w:w="543" w:type="dxa"/>
                  <w:tcBorders>
                    <w:top w:val="nil"/>
                    <w:left w:val="nil"/>
                    <w:bottom w:val="single" w:sz="4" w:space="0" w:color="auto"/>
                    <w:right w:val="single" w:sz="4" w:space="0" w:color="auto"/>
                  </w:tcBorders>
                  <w:shd w:val="clear" w:color="auto" w:fill="auto"/>
                  <w:noWrap/>
                  <w:vAlign w:val="bottom"/>
                  <w:hideMark/>
                </w:tcPr>
                <w:p w14:paraId="5A82E6A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AD7093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688F1B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r>
            <w:tr w:rsidR="00837BD6" w:rsidRPr="009E5B39" w14:paraId="77C9B050"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7CDC21B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24073DB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44D8025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DDE30B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40000BB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56,5</w:t>
                  </w:r>
                </w:p>
              </w:tc>
              <w:tc>
                <w:tcPr>
                  <w:tcW w:w="516" w:type="dxa"/>
                  <w:tcBorders>
                    <w:top w:val="nil"/>
                    <w:left w:val="nil"/>
                    <w:bottom w:val="single" w:sz="4" w:space="0" w:color="auto"/>
                    <w:right w:val="single" w:sz="4" w:space="0" w:color="auto"/>
                  </w:tcBorders>
                  <w:shd w:val="clear" w:color="auto" w:fill="auto"/>
                  <w:noWrap/>
                  <w:vAlign w:val="bottom"/>
                  <w:hideMark/>
                </w:tcPr>
                <w:p w14:paraId="5CCF2607" w14:textId="1D7F08F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1F2C89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572" w:type="dxa"/>
                  <w:tcBorders>
                    <w:top w:val="nil"/>
                    <w:left w:val="nil"/>
                    <w:bottom w:val="single" w:sz="4" w:space="0" w:color="auto"/>
                    <w:right w:val="single" w:sz="4" w:space="0" w:color="auto"/>
                  </w:tcBorders>
                  <w:shd w:val="clear" w:color="auto" w:fill="auto"/>
                  <w:noWrap/>
                  <w:vAlign w:val="bottom"/>
                  <w:hideMark/>
                </w:tcPr>
                <w:p w14:paraId="2A07025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9F2364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56,5</w:t>
                  </w:r>
                </w:p>
              </w:tc>
              <w:tc>
                <w:tcPr>
                  <w:tcW w:w="567" w:type="dxa"/>
                  <w:tcBorders>
                    <w:top w:val="nil"/>
                    <w:left w:val="nil"/>
                    <w:bottom w:val="single" w:sz="4" w:space="0" w:color="auto"/>
                    <w:right w:val="single" w:sz="4" w:space="0" w:color="auto"/>
                  </w:tcBorders>
                  <w:shd w:val="clear" w:color="auto" w:fill="auto"/>
                  <w:noWrap/>
                  <w:vAlign w:val="bottom"/>
                  <w:hideMark/>
                </w:tcPr>
                <w:p w14:paraId="0C19E844" w14:textId="2D88009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30D49D53"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8F02655" w14:textId="135B4E3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570" w:type="dxa"/>
                  <w:tcBorders>
                    <w:top w:val="nil"/>
                    <w:left w:val="nil"/>
                    <w:bottom w:val="single" w:sz="4" w:space="0" w:color="auto"/>
                    <w:right w:val="single" w:sz="4" w:space="0" w:color="auto"/>
                  </w:tcBorders>
                  <w:shd w:val="clear" w:color="auto" w:fill="auto"/>
                  <w:noWrap/>
                  <w:vAlign w:val="bottom"/>
                  <w:hideMark/>
                </w:tcPr>
                <w:p w14:paraId="0FFB7C7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DE2EF8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600" w:type="dxa"/>
                  <w:tcBorders>
                    <w:top w:val="nil"/>
                    <w:left w:val="nil"/>
                    <w:bottom w:val="single" w:sz="4" w:space="0" w:color="auto"/>
                    <w:right w:val="single" w:sz="4" w:space="0" w:color="auto"/>
                  </w:tcBorders>
                  <w:shd w:val="clear" w:color="auto" w:fill="auto"/>
                  <w:noWrap/>
                  <w:vAlign w:val="bottom"/>
                  <w:hideMark/>
                </w:tcPr>
                <w:p w14:paraId="460B98AF" w14:textId="558C5DC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5ED437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w:t>
                  </w:r>
                </w:p>
              </w:tc>
              <w:tc>
                <w:tcPr>
                  <w:tcW w:w="570" w:type="dxa"/>
                  <w:tcBorders>
                    <w:top w:val="nil"/>
                    <w:left w:val="nil"/>
                    <w:bottom w:val="single" w:sz="4" w:space="0" w:color="auto"/>
                    <w:right w:val="single" w:sz="4" w:space="0" w:color="auto"/>
                  </w:tcBorders>
                  <w:shd w:val="clear" w:color="auto" w:fill="auto"/>
                  <w:noWrap/>
                  <w:vAlign w:val="bottom"/>
                  <w:hideMark/>
                </w:tcPr>
                <w:p w14:paraId="3A4240E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AC02CB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97F4F2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40D592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F20EA0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CBFF53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-13,5</w:t>
                  </w:r>
                </w:p>
              </w:tc>
              <w:tc>
                <w:tcPr>
                  <w:tcW w:w="543" w:type="dxa"/>
                  <w:tcBorders>
                    <w:top w:val="nil"/>
                    <w:left w:val="nil"/>
                    <w:bottom w:val="single" w:sz="4" w:space="0" w:color="auto"/>
                    <w:right w:val="single" w:sz="4" w:space="0" w:color="auto"/>
                  </w:tcBorders>
                  <w:shd w:val="clear" w:color="auto" w:fill="auto"/>
                  <w:noWrap/>
                  <w:vAlign w:val="bottom"/>
                  <w:hideMark/>
                </w:tcPr>
                <w:p w14:paraId="6B2F794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74B7BA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45D42CD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r>
            <w:tr w:rsidR="00837BD6" w:rsidRPr="009E5B39" w14:paraId="54ECE4C5"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F7DD65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6994830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0173589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411A89C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3224408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56,5</w:t>
                  </w:r>
                </w:p>
              </w:tc>
              <w:tc>
                <w:tcPr>
                  <w:tcW w:w="516" w:type="dxa"/>
                  <w:tcBorders>
                    <w:top w:val="nil"/>
                    <w:left w:val="nil"/>
                    <w:bottom w:val="single" w:sz="4" w:space="0" w:color="auto"/>
                    <w:right w:val="single" w:sz="4" w:space="0" w:color="auto"/>
                  </w:tcBorders>
                  <w:shd w:val="clear" w:color="auto" w:fill="auto"/>
                  <w:noWrap/>
                  <w:vAlign w:val="bottom"/>
                  <w:hideMark/>
                </w:tcPr>
                <w:p w14:paraId="33CB766C" w14:textId="04F7685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F8AD3B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w:t>
                  </w:r>
                </w:p>
              </w:tc>
              <w:tc>
                <w:tcPr>
                  <w:tcW w:w="572" w:type="dxa"/>
                  <w:tcBorders>
                    <w:top w:val="nil"/>
                    <w:left w:val="nil"/>
                    <w:bottom w:val="single" w:sz="4" w:space="0" w:color="auto"/>
                    <w:right w:val="single" w:sz="4" w:space="0" w:color="auto"/>
                  </w:tcBorders>
                  <w:shd w:val="clear" w:color="auto" w:fill="auto"/>
                  <w:noWrap/>
                  <w:vAlign w:val="bottom"/>
                  <w:hideMark/>
                </w:tcPr>
                <w:p w14:paraId="2BE9F6F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9B34A0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135,5</w:t>
                  </w:r>
                </w:p>
              </w:tc>
              <w:tc>
                <w:tcPr>
                  <w:tcW w:w="567" w:type="dxa"/>
                  <w:tcBorders>
                    <w:top w:val="nil"/>
                    <w:left w:val="nil"/>
                    <w:bottom w:val="single" w:sz="4" w:space="0" w:color="auto"/>
                    <w:right w:val="single" w:sz="4" w:space="0" w:color="auto"/>
                  </w:tcBorders>
                  <w:shd w:val="clear" w:color="auto" w:fill="auto"/>
                  <w:noWrap/>
                  <w:vAlign w:val="bottom"/>
                  <w:hideMark/>
                </w:tcPr>
                <w:p w14:paraId="7E2AC2A7" w14:textId="226B073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25C30F7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97A8D02" w14:textId="67A450F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55</w:t>
                  </w:r>
                </w:p>
              </w:tc>
              <w:tc>
                <w:tcPr>
                  <w:tcW w:w="570" w:type="dxa"/>
                  <w:tcBorders>
                    <w:top w:val="nil"/>
                    <w:left w:val="nil"/>
                    <w:bottom w:val="single" w:sz="4" w:space="0" w:color="auto"/>
                    <w:right w:val="single" w:sz="4" w:space="0" w:color="auto"/>
                  </w:tcBorders>
                  <w:shd w:val="clear" w:color="auto" w:fill="auto"/>
                  <w:noWrap/>
                  <w:vAlign w:val="bottom"/>
                  <w:hideMark/>
                </w:tcPr>
                <w:p w14:paraId="7D8067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80,5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21B411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99</w:t>
                  </w:r>
                </w:p>
              </w:tc>
              <w:tc>
                <w:tcPr>
                  <w:tcW w:w="600" w:type="dxa"/>
                  <w:tcBorders>
                    <w:top w:val="nil"/>
                    <w:left w:val="nil"/>
                    <w:bottom w:val="single" w:sz="4" w:space="0" w:color="auto"/>
                    <w:right w:val="single" w:sz="4" w:space="0" w:color="auto"/>
                  </w:tcBorders>
                  <w:shd w:val="clear" w:color="auto" w:fill="auto"/>
                  <w:noWrap/>
                  <w:vAlign w:val="bottom"/>
                  <w:hideMark/>
                </w:tcPr>
                <w:p w14:paraId="2A9E22B2" w14:textId="7F0147A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FA5D7B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52</w:t>
                  </w:r>
                </w:p>
              </w:tc>
              <w:tc>
                <w:tcPr>
                  <w:tcW w:w="570" w:type="dxa"/>
                  <w:tcBorders>
                    <w:top w:val="nil"/>
                    <w:left w:val="nil"/>
                    <w:bottom w:val="single" w:sz="4" w:space="0" w:color="auto"/>
                    <w:right w:val="single" w:sz="4" w:space="0" w:color="auto"/>
                  </w:tcBorders>
                  <w:shd w:val="clear" w:color="auto" w:fill="auto"/>
                  <w:noWrap/>
                  <w:vAlign w:val="bottom"/>
                  <w:hideMark/>
                </w:tcPr>
                <w:p w14:paraId="685235A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4E1A9F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79</w:t>
                  </w:r>
                </w:p>
              </w:tc>
              <w:tc>
                <w:tcPr>
                  <w:tcW w:w="580" w:type="dxa"/>
                  <w:tcBorders>
                    <w:top w:val="nil"/>
                    <w:left w:val="nil"/>
                    <w:bottom w:val="single" w:sz="4" w:space="0" w:color="auto"/>
                    <w:right w:val="single" w:sz="4" w:space="0" w:color="auto"/>
                  </w:tcBorders>
                  <w:shd w:val="clear" w:color="auto" w:fill="auto"/>
                  <w:noWrap/>
                  <w:vAlign w:val="bottom"/>
                  <w:hideMark/>
                </w:tcPr>
                <w:p w14:paraId="5041BE6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53210D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540" w:type="dxa"/>
                  <w:tcBorders>
                    <w:top w:val="nil"/>
                    <w:left w:val="nil"/>
                    <w:bottom w:val="single" w:sz="4" w:space="0" w:color="auto"/>
                    <w:right w:val="single" w:sz="4" w:space="0" w:color="auto"/>
                  </w:tcBorders>
                  <w:shd w:val="clear" w:color="auto" w:fill="auto"/>
                  <w:noWrap/>
                  <w:vAlign w:val="bottom"/>
                  <w:hideMark/>
                </w:tcPr>
                <w:p w14:paraId="6CBCF46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7F7F2C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-36,5</w:t>
                  </w:r>
                </w:p>
              </w:tc>
              <w:tc>
                <w:tcPr>
                  <w:tcW w:w="543" w:type="dxa"/>
                  <w:tcBorders>
                    <w:top w:val="nil"/>
                    <w:left w:val="nil"/>
                    <w:bottom w:val="single" w:sz="4" w:space="0" w:color="auto"/>
                    <w:right w:val="single" w:sz="4" w:space="0" w:color="auto"/>
                  </w:tcBorders>
                  <w:shd w:val="clear" w:color="auto" w:fill="auto"/>
                  <w:noWrap/>
                  <w:vAlign w:val="bottom"/>
                  <w:hideMark/>
                </w:tcPr>
                <w:p w14:paraId="6E295EF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42DC73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B40183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-33,5</w:t>
                  </w:r>
                </w:p>
              </w:tc>
            </w:tr>
            <w:tr w:rsidR="00837BD6" w:rsidRPr="009E5B39" w14:paraId="04ED14CF"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1132A9"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1D12FB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DGASS</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218EA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2029</w:t>
                  </w:r>
                </w:p>
              </w:tc>
              <w:tc>
                <w:tcPr>
                  <w:tcW w:w="541" w:type="dxa"/>
                  <w:tcBorders>
                    <w:top w:val="nil"/>
                    <w:left w:val="nil"/>
                    <w:bottom w:val="single" w:sz="4" w:space="0" w:color="auto"/>
                    <w:right w:val="single" w:sz="4" w:space="0" w:color="auto"/>
                  </w:tcBorders>
                  <w:shd w:val="clear" w:color="auto" w:fill="auto"/>
                  <w:noWrap/>
                  <w:vAlign w:val="bottom"/>
                  <w:hideMark/>
                </w:tcPr>
                <w:p w14:paraId="7F695AA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07C894C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54</w:t>
                  </w:r>
                </w:p>
              </w:tc>
              <w:tc>
                <w:tcPr>
                  <w:tcW w:w="516" w:type="dxa"/>
                  <w:tcBorders>
                    <w:top w:val="nil"/>
                    <w:left w:val="nil"/>
                    <w:bottom w:val="single" w:sz="4" w:space="0" w:color="auto"/>
                    <w:right w:val="single" w:sz="4" w:space="0" w:color="auto"/>
                  </w:tcBorders>
                  <w:shd w:val="clear" w:color="auto" w:fill="auto"/>
                  <w:noWrap/>
                  <w:vAlign w:val="bottom"/>
                  <w:hideMark/>
                </w:tcPr>
                <w:p w14:paraId="3500C4A7" w14:textId="6F270771"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7985082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572" w:type="dxa"/>
                  <w:tcBorders>
                    <w:top w:val="nil"/>
                    <w:left w:val="nil"/>
                    <w:bottom w:val="single" w:sz="4" w:space="0" w:color="auto"/>
                    <w:right w:val="single" w:sz="4" w:space="0" w:color="auto"/>
                  </w:tcBorders>
                  <w:shd w:val="clear" w:color="auto" w:fill="auto"/>
                  <w:noWrap/>
                  <w:vAlign w:val="bottom"/>
                  <w:hideMark/>
                </w:tcPr>
                <w:p w14:paraId="7F96463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311610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54</w:t>
                  </w:r>
                </w:p>
              </w:tc>
              <w:tc>
                <w:tcPr>
                  <w:tcW w:w="567" w:type="dxa"/>
                  <w:tcBorders>
                    <w:top w:val="nil"/>
                    <w:left w:val="nil"/>
                    <w:bottom w:val="single" w:sz="4" w:space="0" w:color="auto"/>
                    <w:right w:val="single" w:sz="4" w:space="0" w:color="auto"/>
                  </w:tcBorders>
                  <w:shd w:val="clear" w:color="auto" w:fill="auto"/>
                  <w:noWrap/>
                  <w:vAlign w:val="bottom"/>
                  <w:hideMark/>
                </w:tcPr>
                <w:p w14:paraId="0CC560A2" w14:textId="47556D5E"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3386D516"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B18D4B6" w14:textId="47341141"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570" w:type="dxa"/>
                  <w:tcBorders>
                    <w:top w:val="nil"/>
                    <w:left w:val="nil"/>
                    <w:bottom w:val="single" w:sz="4" w:space="0" w:color="auto"/>
                    <w:right w:val="single" w:sz="4" w:space="0" w:color="auto"/>
                  </w:tcBorders>
                  <w:shd w:val="clear" w:color="auto" w:fill="auto"/>
                  <w:noWrap/>
                  <w:vAlign w:val="bottom"/>
                  <w:hideMark/>
                </w:tcPr>
                <w:p w14:paraId="52A503E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F92F70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w:t>
                  </w:r>
                </w:p>
              </w:tc>
              <w:tc>
                <w:tcPr>
                  <w:tcW w:w="600" w:type="dxa"/>
                  <w:tcBorders>
                    <w:top w:val="nil"/>
                    <w:left w:val="nil"/>
                    <w:bottom w:val="single" w:sz="4" w:space="0" w:color="auto"/>
                    <w:right w:val="single" w:sz="4" w:space="0" w:color="auto"/>
                  </w:tcBorders>
                  <w:shd w:val="clear" w:color="auto" w:fill="auto"/>
                  <w:noWrap/>
                  <w:vAlign w:val="bottom"/>
                  <w:hideMark/>
                </w:tcPr>
                <w:p w14:paraId="641BA008" w14:textId="3351779B"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2D7409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70" w:type="dxa"/>
                  <w:tcBorders>
                    <w:top w:val="nil"/>
                    <w:left w:val="nil"/>
                    <w:bottom w:val="single" w:sz="4" w:space="0" w:color="auto"/>
                    <w:right w:val="single" w:sz="4" w:space="0" w:color="auto"/>
                  </w:tcBorders>
                  <w:shd w:val="clear" w:color="auto" w:fill="auto"/>
                  <w:noWrap/>
                  <w:vAlign w:val="bottom"/>
                  <w:hideMark/>
                </w:tcPr>
                <w:p w14:paraId="66D62AC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1344ED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EC2591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0DFA06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E19E80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2E77FD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543" w:type="dxa"/>
                  <w:tcBorders>
                    <w:top w:val="nil"/>
                    <w:left w:val="nil"/>
                    <w:bottom w:val="single" w:sz="4" w:space="0" w:color="auto"/>
                    <w:right w:val="single" w:sz="4" w:space="0" w:color="auto"/>
                  </w:tcBorders>
                  <w:shd w:val="clear" w:color="auto" w:fill="auto"/>
                  <w:noWrap/>
                  <w:vAlign w:val="bottom"/>
                  <w:hideMark/>
                </w:tcPr>
                <w:p w14:paraId="761FCAB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CAFF0F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44BC3FE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3BC12927"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643F50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481C17B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78C678D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71175E4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2889637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54</w:t>
                  </w:r>
                </w:p>
              </w:tc>
              <w:tc>
                <w:tcPr>
                  <w:tcW w:w="516" w:type="dxa"/>
                  <w:tcBorders>
                    <w:top w:val="nil"/>
                    <w:left w:val="nil"/>
                    <w:bottom w:val="single" w:sz="4" w:space="0" w:color="auto"/>
                    <w:right w:val="single" w:sz="4" w:space="0" w:color="auto"/>
                  </w:tcBorders>
                  <w:shd w:val="clear" w:color="auto" w:fill="auto"/>
                  <w:noWrap/>
                  <w:vAlign w:val="bottom"/>
                  <w:hideMark/>
                </w:tcPr>
                <w:p w14:paraId="39B90486" w14:textId="5766419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09EF690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w:t>
                  </w:r>
                </w:p>
              </w:tc>
              <w:tc>
                <w:tcPr>
                  <w:tcW w:w="572" w:type="dxa"/>
                  <w:tcBorders>
                    <w:top w:val="nil"/>
                    <w:left w:val="nil"/>
                    <w:bottom w:val="single" w:sz="4" w:space="0" w:color="auto"/>
                    <w:right w:val="single" w:sz="4" w:space="0" w:color="auto"/>
                  </w:tcBorders>
                  <w:shd w:val="clear" w:color="auto" w:fill="auto"/>
                  <w:noWrap/>
                  <w:vAlign w:val="bottom"/>
                  <w:hideMark/>
                </w:tcPr>
                <w:p w14:paraId="409D6EB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2AE14C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54</w:t>
                  </w:r>
                </w:p>
              </w:tc>
              <w:tc>
                <w:tcPr>
                  <w:tcW w:w="567" w:type="dxa"/>
                  <w:tcBorders>
                    <w:top w:val="nil"/>
                    <w:left w:val="nil"/>
                    <w:bottom w:val="single" w:sz="4" w:space="0" w:color="auto"/>
                    <w:right w:val="single" w:sz="4" w:space="0" w:color="auto"/>
                  </w:tcBorders>
                  <w:shd w:val="clear" w:color="auto" w:fill="auto"/>
                  <w:noWrap/>
                  <w:vAlign w:val="bottom"/>
                  <w:hideMark/>
                </w:tcPr>
                <w:p w14:paraId="1B6051D7" w14:textId="08EEEDE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14A43A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9307175" w14:textId="56A98B1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w:t>
                  </w:r>
                </w:p>
              </w:tc>
              <w:tc>
                <w:tcPr>
                  <w:tcW w:w="570" w:type="dxa"/>
                  <w:tcBorders>
                    <w:top w:val="nil"/>
                    <w:left w:val="nil"/>
                    <w:bottom w:val="single" w:sz="4" w:space="0" w:color="auto"/>
                    <w:right w:val="single" w:sz="4" w:space="0" w:color="auto"/>
                  </w:tcBorders>
                  <w:shd w:val="clear" w:color="auto" w:fill="auto"/>
                  <w:noWrap/>
                  <w:vAlign w:val="bottom"/>
                  <w:hideMark/>
                </w:tcPr>
                <w:p w14:paraId="327D72D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1AC6E9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43</w:t>
                  </w:r>
                </w:p>
              </w:tc>
              <w:tc>
                <w:tcPr>
                  <w:tcW w:w="600" w:type="dxa"/>
                  <w:tcBorders>
                    <w:top w:val="nil"/>
                    <w:left w:val="nil"/>
                    <w:bottom w:val="single" w:sz="4" w:space="0" w:color="auto"/>
                    <w:right w:val="single" w:sz="4" w:space="0" w:color="auto"/>
                  </w:tcBorders>
                  <w:shd w:val="clear" w:color="auto" w:fill="auto"/>
                  <w:noWrap/>
                  <w:vAlign w:val="bottom"/>
                  <w:hideMark/>
                </w:tcPr>
                <w:p w14:paraId="1F1A61D5" w14:textId="5128E18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227E1D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36</w:t>
                  </w:r>
                </w:p>
              </w:tc>
              <w:tc>
                <w:tcPr>
                  <w:tcW w:w="570" w:type="dxa"/>
                  <w:tcBorders>
                    <w:top w:val="nil"/>
                    <w:left w:val="nil"/>
                    <w:bottom w:val="single" w:sz="4" w:space="0" w:color="auto"/>
                    <w:right w:val="single" w:sz="4" w:space="0" w:color="auto"/>
                  </w:tcBorders>
                  <w:shd w:val="clear" w:color="auto" w:fill="auto"/>
                  <w:noWrap/>
                  <w:vAlign w:val="bottom"/>
                  <w:hideMark/>
                </w:tcPr>
                <w:p w14:paraId="5F1027E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9D6F21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1611AF1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F77370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5B863B4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79C7CF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w:t>
                  </w:r>
                </w:p>
              </w:tc>
              <w:tc>
                <w:tcPr>
                  <w:tcW w:w="543" w:type="dxa"/>
                  <w:tcBorders>
                    <w:top w:val="nil"/>
                    <w:left w:val="nil"/>
                    <w:bottom w:val="single" w:sz="4" w:space="0" w:color="auto"/>
                    <w:right w:val="single" w:sz="4" w:space="0" w:color="auto"/>
                  </w:tcBorders>
                  <w:shd w:val="clear" w:color="auto" w:fill="auto"/>
                  <w:noWrap/>
                  <w:vAlign w:val="bottom"/>
                  <w:hideMark/>
                </w:tcPr>
                <w:p w14:paraId="5973D53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BC7A0F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44779CA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r>
            <w:tr w:rsidR="00837BD6" w:rsidRPr="009E5B39" w14:paraId="20CE8FB5"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7C54946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3CD5DE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08991D5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7507A76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41AE5D4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97</w:t>
                  </w:r>
                </w:p>
              </w:tc>
              <w:tc>
                <w:tcPr>
                  <w:tcW w:w="516" w:type="dxa"/>
                  <w:tcBorders>
                    <w:top w:val="nil"/>
                    <w:left w:val="nil"/>
                    <w:bottom w:val="single" w:sz="4" w:space="0" w:color="auto"/>
                    <w:right w:val="single" w:sz="4" w:space="0" w:color="auto"/>
                  </w:tcBorders>
                  <w:shd w:val="clear" w:color="auto" w:fill="auto"/>
                  <w:noWrap/>
                  <w:vAlign w:val="bottom"/>
                  <w:hideMark/>
                </w:tcPr>
                <w:p w14:paraId="593E6468" w14:textId="285FC2A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99ED94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73</w:t>
                  </w:r>
                </w:p>
              </w:tc>
              <w:tc>
                <w:tcPr>
                  <w:tcW w:w="572" w:type="dxa"/>
                  <w:tcBorders>
                    <w:top w:val="nil"/>
                    <w:left w:val="nil"/>
                    <w:bottom w:val="single" w:sz="4" w:space="0" w:color="auto"/>
                    <w:right w:val="single" w:sz="4" w:space="0" w:color="auto"/>
                  </w:tcBorders>
                  <w:shd w:val="clear" w:color="auto" w:fill="auto"/>
                  <w:noWrap/>
                  <w:vAlign w:val="bottom"/>
                  <w:hideMark/>
                </w:tcPr>
                <w:p w14:paraId="6E02370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607121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97</w:t>
                  </w:r>
                </w:p>
              </w:tc>
              <w:tc>
                <w:tcPr>
                  <w:tcW w:w="567" w:type="dxa"/>
                  <w:tcBorders>
                    <w:top w:val="nil"/>
                    <w:left w:val="nil"/>
                    <w:bottom w:val="single" w:sz="4" w:space="0" w:color="auto"/>
                    <w:right w:val="single" w:sz="4" w:space="0" w:color="auto"/>
                  </w:tcBorders>
                  <w:shd w:val="clear" w:color="auto" w:fill="auto"/>
                  <w:noWrap/>
                  <w:vAlign w:val="bottom"/>
                  <w:hideMark/>
                </w:tcPr>
                <w:p w14:paraId="384ED075" w14:textId="7CBAF0E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5260215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29FDDE3" w14:textId="59133EE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73</w:t>
                  </w:r>
                </w:p>
              </w:tc>
              <w:tc>
                <w:tcPr>
                  <w:tcW w:w="570" w:type="dxa"/>
                  <w:tcBorders>
                    <w:top w:val="nil"/>
                    <w:left w:val="nil"/>
                    <w:bottom w:val="single" w:sz="4" w:space="0" w:color="auto"/>
                    <w:right w:val="single" w:sz="4" w:space="0" w:color="auto"/>
                  </w:tcBorders>
                  <w:shd w:val="clear" w:color="auto" w:fill="auto"/>
                  <w:noWrap/>
                  <w:vAlign w:val="bottom"/>
                  <w:hideMark/>
                </w:tcPr>
                <w:p w14:paraId="0A102EF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9E5DFD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53</w:t>
                  </w:r>
                </w:p>
              </w:tc>
              <w:tc>
                <w:tcPr>
                  <w:tcW w:w="600" w:type="dxa"/>
                  <w:tcBorders>
                    <w:top w:val="nil"/>
                    <w:left w:val="nil"/>
                    <w:bottom w:val="single" w:sz="4" w:space="0" w:color="auto"/>
                    <w:right w:val="single" w:sz="4" w:space="0" w:color="auto"/>
                  </w:tcBorders>
                  <w:shd w:val="clear" w:color="auto" w:fill="auto"/>
                  <w:noWrap/>
                  <w:vAlign w:val="bottom"/>
                  <w:hideMark/>
                </w:tcPr>
                <w:p w14:paraId="72C82FF6" w14:textId="2AB9D51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4E4E4C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w:t>
                  </w:r>
                </w:p>
              </w:tc>
              <w:tc>
                <w:tcPr>
                  <w:tcW w:w="570" w:type="dxa"/>
                  <w:tcBorders>
                    <w:top w:val="nil"/>
                    <w:left w:val="nil"/>
                    <w:bottom w:val="single" w:sz="4" w:space="0" w:color="auto"/>
                    <w:right w:val="single" w:sz="4" w:space="0" w:color="auto"/>
                  </w:tcBorders>
                  <w:shd w:val="clear" w:color="auto" w:fill="auto"/>
                  <w:noWrap/>
                  <w:vAlign w:val="bottom"/>
                  <w:hideMark/>
                </w:tcPr>
                <w:p w14:paraId="5C2A972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8F6086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1ADA26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D3BFF5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41C08A9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291D41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-44</w:t>
                  </w:r>
                </w:p>
              </w:tc>
              <w:tc>
                <w:tcPr>
                  <w:tcW w:w="543" w:type="dxa"/>
                  <w:tcBorders>
                    <w:top w:val="nil"/>
                    <w:left w:val="nil"/>
                    <w:bottom w:val="single" w:sz="4" w:space="0" w:color="auto"/>
                    <w:right w:val="single" w:sz="4" w:space="0" w:color="auto"/>
                  </w:tcBorders>
                  <w:shd w:val="clear" w:color="auto" w:fill="auto"/>
                  <w:noWrap/>
                  <w:vAlign w:val="bottom"/>
                  <w:hideMark/>
                </w:tcPr>
                <w:p w14:paraId="7F816AC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2E9ABD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971E0E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w:t>
                  </w:r>
                </w:p>
              </w:tc>
            </w:tr>
            <w:tr w:rsidR="00837BD6" w:rsidRPr="009E5B39" w14:paraId="4AAF08E9"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2F6BE1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8C2678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509F7F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A7A7D5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282879A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97</w:t>
                  </w:r>
                </w:p>
              </w:tc>
              <w:tc>
                <w:tcPr>
                  <w:tcW w:w="516" w:type="dxa"/>
                  <w:tcBorders>
                    <w:top w:val="nil"/>
                    <w:left w:val="nil"/>
                    <w:bottom w:val="single" w:sz="4" w:space="0" w:color="auto"/>
                    <w:right w:val="single" w:sz="4" w:space="0" w:color="auto"/>
                  </w:tcBorders>
                  <w:shd w:val="clear" w:color="auto" w:fill="auto"/>
                  <w:noWrap/>
                  <w:vAlign w:val="bottom"/>
                  <w:hideMark/>
                </w:tcPr>
                <w:p w14:paraId="33CFFB32" w14:textId="3631C71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CE48CD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73</w:t>
                  </w:r>
                </w:p>
              </w:tc>
              <w:tc>
                <w:tcPr>
                  <w:tcW w:w="572" w:type="dxa"/>
                  <w:tcBorders>
                    <w:top w:val="nil"/>
                    <w:left w:val="nil"/>
                    <w:bottom w:val="single" w:sz="4" w:space="0" w:color="auto"/>
                    <w:right w:val="single" w:sz="4" w:space="0" w:color="auto"/>
                  </w:tcBorders>
                  <w:shd w:val="clear" w:color="auto" w:fill="auto"/>
                  <w:noWrap/>
                  <w:vAlign w:val="bottom"/>
                  <w:hideMark/>
                </w:tcPr>
                <w:p w14:paraId="76FC38F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5218D2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122</w:t>
                  </w:r>
                </w:p>
              </w:tc>
              <w:tc>
                <w:tcPr>
                  <w:tcW w:w="567" w:type="dxa"/>
                  <w:tcBorders>
                    <w:top w:val="nil"/>
                    <w:left w:val="nil"/>
                    <w:bottom w:val="single" w:sz="4" w:space="0" w:color="auto"/>
                    <w:right w:val="single" w:sz="4" w:space="0" w:color="auto"/>
                  </w:tcBorders>
                  <w:shd w:val="clear" w:color="auto" w:fill="auto"/>
                  <w:noWrap/>
                  <w:vAlign w:val="bottom"/>
                  <w:hideMark/>
                </w:tcPr>
                <w:p w14:paraId="33301683" w14:textId="2EAF025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6FDD19DC"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6DC6C2A" w14:textId="4CEB09A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w:t>
                  </w:r>
                </w:p>
              </w:tc>
              <w:tc>
                <w:tcPr>
                  <w:tcW w:w="570" w:type="dxa"/>
                  <w:tcBorders>
                    <w:top w:val="nil"/>
                    <w:left w:val="nil"/>
                    <w:bottom w:val="single" w:sz="4" w:space="0" w:color="auto"/>
                    <w:right w:val="single" w:sz="4" w:space="0" w:color="auto"/>
                  </w:tcBorders>
                  <w:shd w:val="clear" w:color="auto" w:fill="auto"/>
                  <w:noWrap/>
                  <w:vAlign w:val="bottom"/>
                  <w:hideMark/>
                </w:tcPr>
                <w:p w14:paraId="612E798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EF8E39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51</w:t>
                  </w:r>
                </w:p>
              </w:tc>
              <w:tc>
                <w:tcPr>
                  <w:tcW w:w="600" w:type="dxa"/>
                  <w:tcBorders>
                    <w:top w:val="nil"/>
                    <w:left w:val="nil"/>
                    <w:bottom w:val="single" w:sz="4" w:space="0" w:color="auto"/>
                    <w:right w:val="single" w:sz="4" w:space="0" w:color="auto"/>
                  </w:tcBorders>
                  <w:shd w:val="clear" w:color="auto" w:fill="auto"/>
                  <w:noWrap/>
                  <w:vAlign w:val="bottom"/>
                  <w:hideMark/>
                </w:tcPr>
                <w:p w14:paraId="3D4016DC" w14:textId="0AF88BC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EB9CB3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w:t>
                  </w:r>
                </w:p>
              </w:tc>
              <w:tc>
                <w:tcPr>
                  <w:tcW w:w="570" w:type="dxa"/>
                  <w:tcBorders>
                    <w:top w:val="nil"/>
                    <w:left w:val="nil"/>
                    <w:bottom w:val="single" w:sz="4" w:space="0" w:color="auto"/>
                    <w:right w:val="single" w:sz="4" w:space="0" w:color="auto"/>
                  </w:tcBorders>
                  <w:shd w:val="clear" w:color="auto" w:fill="auto"/>
                  <w:noWrap/>
                  <w:vAlign w:val="bottom"/>
                  <w:hideMark/>
                </w:tcPr>
                <w:p w14:paraId="18B4E56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ED168A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25</w:t>
                  </w:r>
                </w:p>
              </w:tc>
              <w:tc>
                <w:tcPr>
                  <w:tcW w:w="580" w:type="dxa"/>
                  <w:tcBorders>
                    <w:top w:val="nil"/>
                    <w:left w:val="nil"/>
                    <w:bottom w:val="single" w:sz="4" w:space="0" w:color="auto"/>
                    <w:right w:val="single" w:sz="4" w:space="0" w:color="auto"/>
                  </w:tcBorders>
                  <w:shd w:val="clear" w:color="auto" w:fill="auto"/>
                  <w:noWrap/>
                  <w:vAlign w:val="bottom"/>
                  <w:hideMark/>
                </w:tcPr>
                <w:p w14:paraId="72A8860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462B107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540" w:type="dxa"/>
                  <w:tcBorders>
                    <w:top w:val="nil"/>
                    <w:left w:val="nil"/>
                    <w:bottom w:val="single" w:sz="4" w:space="0" w:color="auto"/>
                    <w:right w:val="single" w:sz="4" w:space="0" w:color="auto"/>
                  </w:tcBorders>
                  <w:shd w:val="clear" w:color="auto" w:fill="auto"/>
                  <w:noWrap/>
                  <w:vAlign w:val="bottom"/>
                  <w:hideMark/>
                </w:tcPr>
                <w:p w14:paraId="7D236F2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36D42A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-71</w:t>
                  </w:r>
                </w:p>
              </w:tc>
              <w:tc>
                <w:tcPr>
                  <w:tcW w:w="543" w:type="dxa"/>
                  <w:tcBorders>
                    <w:top w:val="nil"/>
                    <w:left w:val="nil"/>
                    <w:bottom w:val="single" w:sz="4" w:space="0" w:color="auto"/>
                    <w:right w:val="single" w:sz="4" w:space="0" w:color="auto"/>
                  </w:tcBorders>
                  <w:shd w:val="clear" w:color="auto" w:fill="auto"/>
                  <w:noWrap/>
                  <w:vAlign w:val="bottom"/>
                  <w:hideMark/>
                </w:tcPr>
                <w:p w14:paraId="21A1EB5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BCE1BB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D09C3F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w:t>
                  </w:r>
                </w:p>
              </w:tc>
            </w:tr>
            <w:tr w:rsidR="00837BD6" w:rsidRPr="009E5B39" w14:paraId="611D3C5E"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7F59EF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64E179F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91211E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546158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6CB4958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122</w:t>
                  </w:r>
                </w:p>
              </w:tc>
              <w:tc>
                <w:tcPr>
                  <w:tcW w:w="516" w:type="dxa"/>
                  <w:tcBorders>
                    <w:top w:val="nil"/>
                    <w:left w:val="nil"/>
                    <w:bottom w:val="single" w:sz="4" w:space="0" w:color="auto"/>
                    <w:right w:val="single" w:sz="4" w:space="0" w:color="auto"/>
                  </w:tcBorders>
                  <w:shd w:val="clear" w:color="auto" w:fill="auto"/>
                  <w:noWrap/>
                  <w:vAlign w:val="bottom"/>
                  <w:hideMark/>
                </w:tcPr>
                <w:p w14:paraId="66D8A8A4" w14:textId="7C18486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20CA84B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w:t>
                  </w:r>
                </w:p>
              </w:tc>
              <w:tc>
                <w:tcPr>
                  <w:tcW w:w="572" w:type="dxa"/>
                  <w:tcBorders>
                    <w:top w:val="nil"/>
                    <w:left w:val="nil"/>
                    <w:bottom w:val="single" w:sz="4" w:space="0" w:color="auto"/>
                    <w:right w:val="single" w:sz="4" w:space="0" w:color="auto"/>
                  </w:tcBorders>
                  <w:shd w:val="clear" w:color="auto" w:fill="auto"/>
                  <w:noWrap/>
                  <w:vAlign w:val="bottom"/>
                  <w:hideMark/>
                </w:tcPr>
                <w:p w14:paraId="1451C12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F6C1E9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122</w:t>
                  </w:r>
                </w:p>
              </w:tc>
              <w:tc>
                <w:tcPr>
                  <w:tcW w:w="567" w:type="dxa"/>
                  <w:tcBorders>
                    <w:top w:val="nil"/>
                    <w:left w:val="nil"/>
                    <w:bottom w:val="single" w:sz="4" w:space="0" w:color="auto"/>
                    <w:right w:val="single" w:sz="4" w:space="0" w:color="auto"/>
                  </w:tcBorders>
                  <w:shd w:val="clear" w:color="auto" w:fill="auto"/>
                  <w:noWrap/>
                  <w:vAlign w:val="bottom"/>
                  <w:hideMark/>
                </w:tcPr>
                <w:p w14:paraId="11DE080F" w14:textId="4A9DBCA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047178A6"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DE7D755" w14:textId="10360BD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w:t>
                  </w:r>
                </w:p>
              </w:tc>
              <w:tc>
                <w:tcPr>
                  <w:tcW w:w="570" w:type="dxa"/>
                  <w:tcBorders>
                    <w:top w:val="nil"/>
                    <w:left w:val="nil"/>
                    <w:bottom w:val="single" w:sz="4" w:space="0" w:color="auto"/>
                    <w:right w:val="single" w:sz="4" w:space="0" w:color="auto"/>
                  </w:tcBorders>
                  <w:shd w:val="clear" w:color="auto" w:fill="auto"/>
                  <w:noWrap/>
                  <w:vAlign w:val="bottom"/>
                  <w:hideMark/>
                </w:tcPr>
                <w:p w14:paraId="123C8DF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81F8F3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68</w:t>
                  </w:r>
                </w:p>
              </w:tc>
              <w:tc>
                <w:tcPr>
                  <w:tcW w:w="600" w:type="dxa"/>
                  <w:tcBorders>
                    <w:top w:val="nil"/>
                    <w:left w:val="nil"/>
                    <w:bottom w:val="single" w:sz="4" w:space="0" w:color="auto"/>
                    <w:right w:val="single" w:sz="4" w:space="0" w:color="auto"/>
                  </w:tcBorders>
                  <w:shd w:val="clear" w:color="auto" w:fill="auto"/>
                  <w:noWrap/>
                  <w:vAlign w:val="bottom"/>
                  <w:hideMark/>
                </w:tcPr>
                <w:p w14:paraId="2DC5A07F" w14:textId="205C3A6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1AB037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59</w:t>
                  </w:r>
                </w:p>
              </w:tc>
              <w:tc>
                <w:tcPr>
                  <w:tcW w:w="570" w:type="dxa"/>
                  <w:tcBorders>
                    <w:top w:val="nil"/>
                    <w:left w:val="nil"/>
                    <w:bottom w:val="single" w:sz="4" w:space="0" w:color="auto"/>
                    <w:right w:val="single" w:sz="4" w:space="0" w:color="auto"/>
                  </w:tcBorders>
                  <w:shd w:val="clear" w:color="auto" w:fill="auto"/>
                  <w:noWrap/>
                  <w:vAlign w:val="bottom"/>
                  <w:hideMark/>
                </w:tcPr>
                <w:p w14:paraId="68B122E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E94F1F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313D98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B8D552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48099B9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3A25CC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-54</w:t>
                  </w:r>
                </w:p>
              </w:tc>
              <w:tc>
                <w:tcPr>
                  <w:tcW w:w="543" w:type="dxa"/>
                  <w:tcBorders>
                    <w:top w:val="nil"/>
                    <w:left w:val="nil"/>
                    <w:bottom w:val="single" w:sz="4" w:space="0" w:color="auto"/>
                    <w:right w:val="single" w:sz="4" w:space="0" w:color="auto"/>
                  </w:tcBorders>
                  <w:shd w:val="clear" w:color="auto" w:fill="auto"/>
                  <w:noWrap/>
                  <w:vAlign w:val="bottom"/>
                  <w:hideMark/>
                </w:tcPr>
                <w:p w14:paraId="76CCFF5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16DE69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6034B55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w:t>
                  </w:r>
                </w:p>
              </w:tc>
            </w:tr>
            <w:tr w:rsidR="00837BD6" w:rsidRPr="009E5B39" w14:paraId="4F2C8D01"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A1CEB8"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F844A4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DGC</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21582F"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2033</w:t>
                  </w:r>
                </w:p>
              </w:tc>
              <w:tc>
                <w:tcPr>
                  <w:tcW w:w="541" w:type="dxa"/>
                  <w:tcBorders>
                    <w:top w:val="nil"/>
                    <w:left w:val="nil"/>
                    <w:bottom w:val="single" w:sz="4" w:space="0" w:color="auto"/>
                    <w:right w:val="single" w:sz="4" w:space="0" w:color="auto"/>
                  </w:tcBorders>
                  <w:shd w:val="clear" w:color="auto" w:fill="auto"/>
                  <w:noWrap/>
                  <w:vAlign w:val="bottom"/>
                  <w:hideMark/>
                </w:tcPr>
                <w:p w14:paraId="5740E23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6F33E57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516" w:type="dxa"/>
                  <w:tcBorders>
                    <w:top w:val="nil"/>
                    <w:left w:val="nil"/>
                    <w:bottom w:val="single" w:sz="4" w:space="0" w:color="auto"/>
                    <w:right w:val="single" w:sz="4" w:space="0" w:color="auto"/>
                  </w:tcBorders>
                  <w:shd w:val="clear" w:color="auto" w:fill="auto"/>
                  <w:noWrap/>
                  <w:vAlign w:val="bottom"/>
                  <w:hideMark/>
                </w:tcPr>
                <w:p w14:paraId="34F820D7" w14:textId="0D393712"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2E109A9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w:t>
                  </w:r>
                </w:p>
              </w:tc>
              <w:tc>
                <w:tcPr>
                  <w:tcW w:w="572" w:type="dxa"/>
                  <w:tcBorders>
                    <w:top w:val="nil"/>
                    <w:left w:val="nil"/>
                    <w:bottom w:val="single" w:sz="4" w:space="0" w:color="auto"/>
                    <w:right w:val="single" w:sz="4" w:space="0" w:color="auto"/>
                  </w:tcBorders>
                  <w:shd w:val="clear" w:color="auto" w:fill="auto"/>
                  <w:noWrap/>
                  <w:vAlign w:val="bottom"/>
                  <w:hideMark/>
                </w:tcPr>
                <w:p w14:paraId="4E068AE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C0CDFF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567" w:type="dxa"/>
                  <w:tcBorders>
                    <w:top w:val="nil"/>
                    <w:left w:val="nil"/>
                    <w:bottom w:val="single" w:sz="4" w:space="0" w:color="auto"/>
                    <w:right w:val="single" w:sz="4" w:space="0" w:color="auto"/>
                  </w:tcBorders>
                  <w:shd w:val="clear" w:color="auto" w:fill="auto"/>
                  <w:noWrap/>
                  <w:vAlign w:val="bottom"/>
                  <w:hideMark/>
                </w:tcPr>
                <w:p w14:paraId="44FA0610" w14:textId="6702631C"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5757FD8F"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6C77824" w14:textId="102E329A"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w:t>
                  </w:r>
                </w:p>
              </w:tc>
              <w:tc>
                <w:tcPr>
                  <w:tcW w:w="570" w:type="dxa"/>
                  <w:tcBorders>
                    <w:top w:val="nil"/>
                    <w:left w:val="nil"/>
                    <w:bottom w:val="single" w:sz="4" w:space="0" w:color="auto"/>
                    <w:right w:val="single" w:sz="4" w:space="0" w:color="auto"/>
                  </w:tcBorders>
                  <w:shd w:val="clear" w:color="auto" w:fill="auto"/>
                  <w:noWrap/>
                  <w:vAlign w:val="bottom"/>
                  <w:hideMark/>
                </w:tcPr>
                <w:p w14:paraId="6D58DF3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578D8B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600" w:type="dxa"/>
                  <w:tcBorders>
                    <w:top w:val="nil"/>
                    <w:left w:val="nil"/>
                    <w:bottom w:val="single" w:sz="4" w:space="0" w:color="auto"/>
                    <w:right w:val="single" w:sz="4" w:space="0" w:color="auto"/>
                  </w:tcBorders>
                  <w:shd w:val="clear" w:color="auto" w:fill="auto"/>
                  <w:noWrap/>
                  <w:vAlign w:val="bottom"/>
                  <w:hideMark/>
                </w:tcPr>
                <w:p w14:paraId="081DB454" w14:textId="61A12481"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69BAC9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w:t>
                  </w:r>
                </w:p>
              </w:tc>
              <w:tc>
                <w:tcPr>
                  <w:tcW w:w="570" w:type="dxa"/>
                  <w:tcBorders>
                    <w:top w:val="nil"/>
                    <w:left w:val="nil"/>
                    <w:bottom w:val="single" w:sz="4" w:space="0" w:color="auto"/>
                    <w:right w:val="single" w:sz="4" w:space="0" w:color="auto"/>
                  </w:tcBorders>
                  <w:shd w:val="clear" w:color="auto" w:fill="auto"/>
                  <w:noWrap/>
                  <w:vAlign w:val="bottom"/>
                  <w:hideMark/>
                </w:tcPr>
                <w:p w14:paraId="4D381D6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CCCD37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8D8FD9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1784FB1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63A1A9D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BFECE4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093BE30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980E1E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40671F6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45661594"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7B2A505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2159899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0300AAF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4BACA82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39BB4D1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516" w:type="dxa"/>
                  <w:tcBorders>
                    <w:top w:val="nil"/>
                    <w:left w:val="nil"/>
                    <w:bottom w:val="single" w:sz="4" w:space="0" w:color="auto"/>
                    <w:right w:val="single" w:sz="4" w:space="0" w:color="auto"/>
                  </w:tcBorders>
                  <w:shd w:val="clear" w:color="auto" w:fill="auto"/>
                  <w:noWrap/>
                  <w:vAlign w:val="bottom"/>
                  <w:hideMark/>
                </w:tcPr>
                <w:p w14:paraId="61884371" w14:textId="7E0241F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3901DB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72" w:type="dxa"/>
                  <w:tcBorders>
                    <w:top w:val="nil"/>
                    <w:left w:val="nil"/>
                    <w:bottom w:val="single" w:sz="4" w:space="0" w:color="auto"/>
                    <w:right w:val="single" w:sz="4" w:space="0" w:color="auto"/>
                  </w:tcBorders>
                  <w:shd w:val="clear" w:color="auto" w:fill="auto"/>
                  <w:noWrap/>
                  <w:vAlign w:val="bottom"/>
                  <w:hideMark/>
                </w:tcPr>
                <w:p w14:paraId="0AD0E34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AAAEC1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567" w:type="dxa"/>
                  <w:tcBorders>
                    <w:top w:val="nil"/>
                    <w:left w:val="nil"/>
                    <w:bottom w:val="single" w:sz="4" w:space="0" w:color="auto"/>
                    <w:right w:val="single" w:sz="4" w:space="0" w:color="auto"/>
                  </w:tcBorders>
                  <w:shd w:val="clear" w:color="auto" w:fill="auto"/>
                  <w:noWrap/>
                  <w:vAlign w:val="bottom"/>
                  <w:hideMark/>
                </w:tcPr>
                <w:p w14:paraId="5A2EE52C" w14:textId="37A9065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5B40D8F5"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41AAE23" w14:textId="65A738F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70" w:type="dxa"/>
                  <w:tcBorders>
                    <w:top w:val="nil"/>
                    <w:left w:val="nil"/>
                    <w:bottom w:val="single" w:sz="4" w:space="0" w:color="auto"/>
                    <w:right w:val="single" w:sz="4" w:space="0" w:color="auto"/>
                  </w:tcBorders>
                  <w:shd w:val="clear" w:color="auto" w:fill="auto"/>
                  <w:noWrap/>
                  <w:vAlign w:val="bottom"/>
                  <w:hideMark/>
                </w:tcPr>
                <w:p w14:paraId="1E9756C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EE9A10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600" w:type="dxa"/>
                  <w:tcBorders>
                    <w:top w:val="nil"/>
                    <w:left w:val="nil"/>
                    <w:bottom w:val="single" w:sz="4" w:space="0" w:color="auto"/>
                    <w:right w:val="single" w:sz="4" w:space="0" w:color="auto"/>
                  </w:tcBorders>
                  <w:shd w:val="clear" w:color="auto" w:fill="auto"/>
                  <w:noWrap/>
                  <w:vAlign w:val="bottom"/>
                  <w:hideMark/>
                </w:tcPr>
                <w:p w14:paraId="53D39057" w14:textId="6A65AD4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6552AA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70" w:type="dxa"/>
                  <w:tcBorders>
                    <w:top w:val="nil"/>
                    <w:left w:val="nil"/>
                    <w:bottom w:val="single" w:sz="4" w:space="0" w:color="auto"/>
                    <w:right w:val="single" w:sz="4" w:space="0" w:color="auto"/>
                  </w:tcBorders>
                  <w:shd w:val="clear" w:color="auto" w:fill="auto"/>
                  <w:noWrap/>
                  <w:vAlign w:val="bottom"/>
                  <w:hideMark/>
                </w:tcPr>
                <w:p w14:paraId="3C531D3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B94B63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732084F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419A287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521009C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C53938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43" w:type="dxa"/>
                  <w:tcBorders>
                    <w:top w:val="nil"/>
                    <w:left w:val="nil"/>
                    <w:bottom w:val="single" w:sz="4" w:space="0" w:color="auto"/>
                    <w:right w:val="single" w:sz="4" w:space="0" w:color="auto"/>
                  </w:tcBorders>
                  <w:shd w:val="clear" w:color="auto" w:fill="auto"/>
                  <w:noWrap/>
                  <w:vAlign w:val="bottom"/>
                  <w:hideMark/>
                </w:tcPr>
                <w:p w14:paraId="3D50388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996592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7E6340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r>
            <w:tr w:rsidR="00837BD6" w:rsidRPr="009E5B39" w14:paraId="17A79BA3"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7856BB5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25DB3A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4FC1C63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7DEF15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1EDCA47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516" w:type="dxa"/>
                  <w:tcBorders>
                    <w:top w:val="nil"/>
                    <w:left w:val="nil"/>
                    <w:bottom w:val="single" w:sz="4" w:space="0" w:color="auto"/>
                    <w:right w:val="single" w:sz="4" w:space="0" w:color="auto"/>
                  </w:tcBorders>
                  <w:shd w:val="clear" w:color="auto" w:fill="auto"/>
                  <w:noWrap/>
                  <w:vAlign w:val="bottom"/>
                  <w:hideMark/>
                </w:tcPr>
                <w:p w14:paraId="119F371D" w14:textId="59B6071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2412160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72" w:type="dxa"/>
                  <w:tcBorders>
                    <w:top w:val="nil"/>
                    <w:left w:val="nil"/>
                    <w:bottom w:val="single" w:sz="4" w:space="0" w:color="auto"/>
                    <w:right w:val="single" w:sz="4" w:space="0" w:color="auto"/>
                  </w:tcBorders>
                  <w:shd w:val="clear" w:color="auto" w:fill="auto"/>
                  <w:noWrap/>
                  <w:vAlign w:val="bottom"/>
                  <w:hideMark/>
                </w:tcPr>
                <w:p w14:paraId="64E2B5E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868FF5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567" w:type="dxa"/>
                  <w:tcBorders>
                    <w:top w:val="nil"/>
                    <w:left w:val="nil"/>
                    <w:bottom w:val="single" w:sz="4" w:space="0" w:color="auto"/>
                    <w:right w:val="single" w:sz="4" w:space="0" w:color="auto"/>
                  </w:tcBorders>
                  <w:shd w:val="clear" w:color="auto" w:fill="auto"/>
                  <w:noWrap/>
                  <w:vAlign w:val="bottom"/>
                  <w:hideMark/>
                </w:tcPr>
                <w:p w14:paraId="1F195F37" w14:textId="373AC5F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068B25A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B667EF3" w14:textId="61D0138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70" w:type="dxa"/>
                  <w:tcBorders>
                    <w:top w:val="nil"/>
                    <w:left w:val="nil"/>
                    <w:bottom w:val="single" w:sz="4" w:space="0" w:color="auto"/>
                    <w:right w:val="single" w:sz="4" w:space="0" w:color="auto"/>
                  </w:tcBorders>
                  <w:shd w:val="clear" w:color="auto" w:fill="auto"/>
                  <w:noWrap/>
                  <w:vAlign w:val="bottom"/>
                  <w:hideMark/>
                </w:tcPr>
                <w:p w14:paraId="1620EC1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80D466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600" w:type="dxa"/>
                  <w:tcBorders>
                    <w:top w:val="nil"/>
                    <w:left w:val="nil"/>
                    <w:bottom w:val="single" w:sz="4" w:space="0" w:color="auto"/>
                    <w:right w:val="single" w:sz="4" w:space="0" w:color="auto"/>
                  </w:tcBorders>
                  <w:shd w:val="clear" w:color="auto" w:fill="auto"/>
                  <w:noWrap/>
                  <w:vAlign w:val="bottom"/>
                  <w:hideMark/>
                </w:tcPr>
                <w:p w14:paraId="0053C647" w14:textId="64C9489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8EA3CE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70" w:type="dxa"/>
                  <w:tcBorders>
                    <w:top w:val="nil"/>
                    <w:left w:val="nil"/>
                    <w:bottom w:val="single" w:sz="4" w:space="0" w:color="auto"/>
                    <w:right w:val="single" w:sz="4" w:space="0" w:color="auto"/>
                  </w:tcBorders>
                  <w:shd w:val="clear" w:color="auto" w:fill="auto"/>
                  <w:noWrap/>
                  <w:vAlign w:val="bottom"/>
                  <w:hideMark/>
                </w:tcPr>
                <w:p w14:paraId="3D2E483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3959BA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D824E6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B06D0B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F81A34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B62518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43" w:type="dxa"/>
                  <w:tcBorders>
                    <w:top w:val="nil"/>
                    <w:left w:val="nil"/>
                    <w:bottom w:val="single" w:sz="4" w:space="0" w:color="auto"/>
                    <w:right w:val="single" w:sz="4" w:space="0" w:color="auto"/>
                  </w:tcBorders>
                  <w:shd w:val="clear" w:color="auto" w:fill="auto"/>
                  <w:noWrap/>
                  <w:vAlign w:val="bottom"/>
                  <w:hideMark/>
                </w:tcPr>
                <w:p w14:paraId="25DEADB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ABB211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7F25B5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r>
            <w:tr w:rsidR="00837BD6" w:rsidRPr="009E5B39" w14:paraId="5DEEC47A"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40A6D1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6F070F7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7CEA71A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4917BB1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2E72031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516" w:type="dxa"/>
                  <w:tcBorders>
                    <w:top w:val="nil"/>
                    <w:left w:val="nil"/>
                    <w:bottom w:val="single" w:sz="4" w:space="0" w:color="auto"/>
                    <w:right w:val="single" w:sz="4" w:space="0" w:color="auto"/>
                  </w:tcBorders>
                  <w:shd w:val="clear" w:color="auto" w:fill="auto"/>
                  <w:noWrap/>
                  <w:vAlign w:val="bottom"/>
                  <w:hideMark/>
                </w:tcPr>
                <w:p w14:paraId="66EDE5CB" w14:textId="18F24A4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F95856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72" w:type="dxa"/>
                  <w:tcBorders>
                    <w:top w:val="nil"/>
                    <w:left w:val="nil"/>
                    <w:bottom w:val="single" w:sz="4" w:space="0" w:color="auto"/>
                    <w:right w:val="single" w:sz="4" w:space="0" w:color="auto"/>
                  </w:tcBorders>
                  <w:shd w:val="clear" w:color="auto" w:fill="auto"/>
                  <w:noWrap/>
                  <w:vAlign w:val="bottom"/>
                  <w:hideMark/>
                </w:tcPr>
                <w:p w14:paraId="362C508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D1B4CF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567" w:type="dxa"/>
                  <w:tcBorders>
                    <w:top w:val="nil"/>
                    <w:left w:val="nil"/>
                    <w:bottom w:val="single" w:sz="4" w:space="0" w:color="auto"/>
                    <w:right w:val="single" w:sz="4" w:space="0" w:color="auto"/>
                  </w:tcBorders>
                  <w:shd w:val="clear" w:color="auto" w:fill="auto"/>
                  <w:noWrap/>
                  <w:vAlign w:val="bottom"/>
                  <w:hideMark/>
                </w:tcPr>
                <w:p w14:paraId="7B65C4AD" w14:textId="221870F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07CEF4D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A370C39" w14:textId="23301CD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70" w:type="dxa"/>
                  <w:tcBorders>
                    <w:top w:val="nil"/>
                    <w:left w:val="nil"/>
                    <w:bottom w:val="single" w:sz="4" w:space="0" w:color="auto"/>
                    <w:right w:val="single" w:sz="4" w:space="0" w:color="auto"/>
                  </w:tcBorders>
                  <w:shd w:val="clear" w:color="auto" w:fill="auto"/>
                  <w:noWrap/>
                  <w:vAlign w:val="bottom"/>
                  <w:hideMark/>
                </w:tcPr>
                <w:p w14:paraId="7CDCA56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7C2FB5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600" w:type="dxa"/>
                  <w:tcBorders>
                    <w:top w:val="nil"/>
                    <w:left w:val="nil"/>
                    <w:bottom w:val="single" w:sz="4" w:space="0" w:color="auto"/>
                    <w:right w:val="single" w:sz="4" w:space="0" w:color="auto"/>
                  </w:tcBorders>
                  <w:shd w:val="clear" w:color="auto" w:fill="auto"/>
                  <w:noWrap/>
                  <w:vAlign w:val="bottom"/>
                  <w:hideMark/>
                </w:tcPr>
                <w:p w14:paraId="4E315A60" w14:textId="1EB19DA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664F4E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7A15496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DAE6A7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737DE0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454CA6B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8A509A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E7054E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w:t>
                  </w:r>
                </w:p>
              </w:tc>
              <w:tc>
                <w:tcPr>
                  <w:tcW w:w="543" w:type="dxa"/>
                  <w:tcBorders>
                    <w:top w:val="nil"/>
                    <w:left w:val="nil"/>
                    <w:bottom w:val="single" w:sz="4" w:space="0" w:color="auto"/>
                    <w:right w:val="single" w:sz="4" w:space="0" w:color="auto"/>
                  </w:tcBorders>
                  <w:shd w:val="clear" w:color="auto" w:fill="auto"/>
                  <w:noWrap/>
                  <w:vAlign w:val="bottom"/>
                  <w:hideMark/>
                </w:tcPr>
                <w:p w14:paraId="16774C0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9ACCEB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583D77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r>
            <w:tr w:rsidR="00837BD6" w:rsidRPr="009E5B39" w14:paraId="3D0095E5"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2BF4761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C62BD7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530BAD7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20B68C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0ABF885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516" w:type="dxa"/>
                  <w:tcBorders>
                    <w:top w:val="nil"/>
                    <w:left w:val="nil"/>
                    <w:bottom w:val="single" w:sz="4" w:space="0" w:color="auto"/>
                    <w:right w:val="single" w:sz="4" w:space="0" w:color="auto"/>
                  </w:tcBorders>
                  <w:shd w:val="clear" w:color="auto" w:fill="auto"/>
                  <w:noWrap/>
                  <w:vAlign w:val="bottom"/>
                  <w:hideMark/>
                </w:tcPr>
                <w:p w14:paraId="70DF2B1B" w14:textId="1EF9C9D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3C859B0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72" w:type="dxa"/>
                  <w:tcBorders>
                    <w:top w:val="nil"/>
                    <w:left w:val="nil"/>
                    <w:bottom w:val="single" w:sz="4" w:space="0" w:color="auto"/>
                    <w:right w:val="single" w:sz="4" w:space="0" w:color="auto"/>
                  </w:tcBorders>
                  <w:shd w:val="clear" w:color="auto" w:fill="auto"/>
                  <w:noWrap/>
                  <w:vAlign w:val="bottom"/>
                  <w:hideMark/>
                </w:tcPr>
                <w:p w14:paraId="6C99C37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1EBCD1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567" w:type="dxa"/>
                  <w:tcBorders>
                    <w:top w:val="nil"/>
                    <w:left w:val="nil"/>
                    <w:bottom w:val="single" w:sz="4" w:space="0" w:color="auto"/>
                    <w:right w:val="single" w:sz="4" w:space="0" w:color="auto"/>
                  </w:tcBorders>
                  <w:shd w:val="clear" w:color="auto" w:fill="auto"/>
                  <w:noWrap/>
                  <w:vAlign w:val="bottom"/>
                  <w:hideMark/>
                </w:tcPr>
                <w:p w14:paraId="2E2711AB" w14:textId="6FC0089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7D62249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BDD96B4" w14:textId="2992BCC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70" w:type="dxa"/>
                  <w:tcBorders>
                    <w:top w:val="nil"/>
                    <w:left w:val="nil"/>
                    <w:bottom w:val="single" w:sz="4" w:space="0" w:color="auto"/>
                    <w:right w:val="single" w:sz="4" w:space="0" w:color="auto"/>
                  </w:tcBorders>
                  <w:shd w:val="clear" w:color="auto" w:fill="auto"/>
                  <w:noWrap/>
                  <w:vAlign w:val="bottom"/>
                  <w:hideMark/>
                </w:tcPr>
                <w:p w14:paraId="6EEB391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0FA7FB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600" w:type="dxa"/>
                  <w:tcBorders>
                    <w:top w:val="nil"/>
                    <w:left w:val="nil"/>
                    <w:bottom w:val="single" w:sz="4" w:space="0" w:color="auto"/>
                    <w:right w:val="single" w:sz="4" w:space="0" w:color="auto"/>
                  </w:tcBorders>
                  <w:shd w:val="clear" w:color="auto" w:fill="auto"/>
                  <w:noWrap/>
                  <w:vAlign w:val="bottom"/>
                  <w:hideMark/>
                </w:tcPr>
                <w:p w14:paraId="3503B268" w14:textId="3516E63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9E0087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52B1780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D5754C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1A5B354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8178B1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7A3F777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FD83F4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w:t>
                  </w:r>
                </w:p>
              </w:tc>
              <w:tc>
                <w:tcPr>
                  <w:tcW w:w="543" w:type="dxa"/>
                  <w:tcBorders>
                    <w:top w:val="nil"/>
                    <w:left w:val="nil"/>
                    <w:bottom w:val="single" w:sz="4" w:space="0" w:color="auto"/>
                    <w:right w:val="single" w:sz="4" w:space="0" w:color="auto"/>
                  </w:tcBorders>
                  <w:shd w:val="clear" w:color="auto" w:fill="auto"/>
                  <w:noWrap/>
                  <w:vAlign w:val="bottom"/>
                  <w:hideMark/>
                </w:tcPr>
                <w:p w14:paraId="5600F95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E6A310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4AE7E31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r>
            <w:tr w:rsidR="00837BD6" w:rsidRPr="009E5B39" w14:paraId="226F48FF"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833B2C"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781DDAC"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DGECT</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2215C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16123</w:t>
                  </w:r>
                </w:p>
              </w:tc>
              <w:tc>
                <w:tcPr>
                  <w:tcW w:w="541" w:type="dxa"/>
                  <w:tcBorders>
                    <w:top w:val="nil"/>
                    <w:left w:val="nil"/>
                    <w:bottom w:val="single" w:sz="4" w:space="0" w:color="auto"/>
                    <w:right w:val="single" w:sz="4" w:space="0" w:color="auto"/>
                  </w:tcBorders>
                  <w:shd w:val="clear" w:color="auto" w:fill="auto"/>
                  <w:noWrap/>
                  <w:vAlign w:val="bottom"/>
                  <w:hideMark/>
                </w:tcPr>
                <w:p w14:paraId="52A97A2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4ABF4F3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284E6A77" w14:textId="4A89D585"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63571246" w14:textId="24D1227D"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1E64E65E" w14:textId="0624E0B8"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FE65CF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63887D9D" w14:textId="4FCD9503"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047D2722"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647D7BD" w14:textId="3922BB6D"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0D2C3020" w14:textId="01BB2085"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33EF38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5111227C" w14:textId="02DB2C5E"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964E1EA" w14:textId="2D41BF69"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4E3B92F1" w14:textId="4E58DE8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E81059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16C023C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428A24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5E5EDE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0E4CA0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4426515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D0B73A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B60FA4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5D17E4F3"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22501D2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767A413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4B23FC9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3E9D4BF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33786E9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2E38711A" w14:textId="425DCCD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657B3C8" w14:textId="238922B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2D98E87B" w14:textId="5F06681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E1B94F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632DCEB8" w14:textId="13D3A2A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19021E2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F605BA2" w14:textId="5052F15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5EA83A2E" w14:textId="6ADAA9C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6CCD8F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2BAB7469" w14:textId="61B00D6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B9DB87C" w14:textId="39FE5D9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1CBB4CCF" w14:textId="6E584BE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87E5A1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252393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76989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6D9999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4E5B48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6B4AAEB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B1DE4B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4DB535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2A169A2E"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78B723A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24DFB4A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522559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13A636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3804A00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247B9060" w14:textId="4C64E10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335E666D" w14:textId="5519394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478C3C3D" w14:textId="43B76F6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9EFC56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2E75DB90" w14:textId="6F3979A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289ACEF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A74EB8A" w14:textId="014AAB5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727D113B" w14:textId="0E97DD3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30AE74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1456E5A9" w14:textId="730E1B3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4B54295" w14:textId="7F36C21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18C84531" w14:textId="72C1576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613345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9CB57F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48F9F28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7D9D21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A5D031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1D4D2BB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4926CC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0633C8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233ED3AD"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4025AFF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0DBE3E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0EC3F57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EAC54B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043B7D5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100,5</w:t>
                  </w:r>
                </w:p>
              </w:tc>
              <w:tc>
                <w:tcPr>
                  <w:tcW w:w="516" w:type="dxa"/>
                  <w:tcBorders>
                    <w:top w:val="nil"/>
                    <w:left w:val="nil"/>
                    <w:bottom w:val="single" w:sz="4" w:space="0" w:color="auto"/>
                    <w:right w:val="single" w:sz="4" w:space="0" w:color="auto"/>
                  </w:tcBorders>
                  <w:shd w:val="clear" w:color="auto" w:fill="auto"/>
                  <w:noWrap/>
                  <w:vAlign w:val="bottom"/>
                  <w:hideMark/>
                </w:tcPr>
                <w:p w14:paraId="7945186F" w14:textId="7E43034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6AC752F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74</w:t>
                  </w:r>
                </w:p>
              </w:tc>
              <w:tc>
                <w:tcPr>
                  <w:tcW w:w="572" w:type="dxa"/>
                  <w:tcBorders>
                    <w:top w:val="nil"/>
                    <w:left w:val="nil"/>
                    <w:bottom w:val="single" w:sz="4" w:space="0" w:color="auto"/>
                    <w:right w:val="single" w:sz="4" w:space="0" w:color="auto"/>
                  </w:tcBorders>
                  <w:shd w:val="clear" w:color="auto" w:fill="auto"/>
                  <w:noWrap/>
                  <w:vAlign w:val="bottom"/>
                  <w:hideMark/>
                </w:tcPr>
                <w:p w14:paraId="7BC7DBD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D4909B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100,5</w:t>
                  </w:r>
                </w:p>
              </w:tc>
              <w:tc>
                <w:tcPr>
                  <w:tcW w:w="567" w:type="dxa"/>
                  <w:tcBorders>
                    <w:top w:val="nil"/>
                    <w:left w:val="nil"/>
                    <w:bottom w:val="single" w:sz="4" w:space="0" w:color="auto"/>
                    <w:right w:val="single" w:sz="4" w:space="0" w:color="auto"/>
                  </w:tcBorders>
                  <w:shd w:val="clear" w:color="auto" w:fill="auto"/>
                  <w:noWrap/>
                  <w:vAlign w:val="bottom"/>
                  <w:hideMark/>
                </w:tcPr>
                <w:p w14:paraId="36077AA4" w14:textId="6BE1942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1A5D1E9B"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7F8BD65" w14:textId="5601B3D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74</w:t>
                  </w:r>
                </w:p>
              </w:tc>
              <w:tc>
                <w:tcPr>
                  <w:tcW w:w="570" w:type="dxa"/>
                  <w:tcBorders>
                    <w:top w:val="nil"/>
                    <w:left w:val="nil"/>
                    <w:bottom w:val="single" w:sz="4" w:space="0" w:color="auto"/>
                    <w:right w:val="single" w:sz="4" w:space="0" w:color="auto"/>
                  </w:tcBorders>
                  <w:shd w:val="clear" w:color="auto" w:fill="auto"/>
                  <w:noWrap/>
                  <w:vAlign w:val="bottom"/>
                  <w:hideMark/>
                </w:tcPr>
                <w:p w14:paraId="7C86A10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3DCABD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72</w:t>
                  </w:r>
                </w:p>
              </w:tc>
              <w:tc>
                <w:tcPr>
                  <w:tcW w:w="600" w:type="dxa"/>
                  <w:tcBorders>
                    <w:top w:val="nil"/>
                    <w:left w:val="nil"/>
                    <w:bottom w:val="single" w:sz="4" w:space="0" w:color="auto"/>
                    <w:right w:val="single" w:sz="4" w:space="0" w:color="auto"/>
                  </w:tcBorders>
                  <w:shd w:val="clear" w:color="auto" w:fill="auto"/>
                  <w:noWrap/>
                  <w:vAlign w:val="bottom"/>
                  <w:hideMark/>
                </w:tcPr>
                <w:p w14:paraId="53B91B5D" w14:textId="47FE9D6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F5BAAD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48</w:t>
                  </w:r>
                </w:p>
              </w:tc>
              <w:tc>
                <w:tcPr>
                  <w:tcW w:w="570" w:type="dxa"/>
                  <w:tcBorders>
                    <w:top w:val="nil"/>
                    <w:left w:val="nil"/>
                    <w:bottom w:val="single" w:sz="4" w:space="0" w:color="auto"/>
                    <w:right w:val="single" w:sz="4" w:space="0" w:color="auto"/>
                  </w:tcBorders>
                  <w:shd w:val="clear" w:color="auto" w:fill="auto"/>
                  <w:noWrap/>
                  <w:vAlign w:val="bottom"/>
                  <w:hideMark/>
                </w:tcPr>
                <w:p w14:paraId="7AB5845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0A4060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F8737F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117A01C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0A1FD7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1867CF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-28,5</w:t>
                  </w:r>
                </w:p>
              </w:tc>
              <w:tc>
                <w:tcPr>
                  <w:tcW w:w="543" w:type="dxa"/>
                  <w:tcBorders>
                    <w:top w:val="nil"/>
                    <w:left w:val="nil"/>
                    <w:bottom w:val="single" w:sz="4" w:space="0" w:color="auto"/>
                    <w:right w:val="single" w:sz="4" w:space="0" w:color="auto"/>
                  </w:tcBorders>
                  <w:shd w:val="clear" w:color="auto" w:fill="auto"/>
                  <w:noWrap/>
                  <w:vAlign w:val="bottom"/>
                  <w:hideMark/>
                </w:tcPr>
                <w:p w14:paraId="0F75512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2B5E4F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71E5F6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r>
            <w:tr w:rsidR="00837BD6" w:rsidRPr="009E5B39" w14:paraId="080AE5DE"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C4B64D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36899D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4EE3CCF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143AE81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32E765D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100,5</w:t>
                  </w:r>
                </w:p>
              </w:tc>
              <w:tc>
                <w:tcPr>
                  <w:tcW w:w="516" w:type="dxa"/>
                  <w:tcBorders>
                    <w:top w:val="nil"/>
                    <w:left w:val="nil"/>
                    <w:bottom w:val="single" w:sz="4" w:space="0" w:color="auto"/>
                    <w:right w:val="single" w:sz="4" w:space="0" w:color="auto"/>
                  </w:tcBorders>
                  <w:shd w:val="clear" w:color="auto" w:fill="auto"/>
                  <w:noWrap/>
                  <w:vAlign w:val="bottom"/>
                  <w:hideMark/>
                </w:tcPr>
                <w:p w14:paraId="723AE9FB" w14:textId="0DE83EA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592F2C3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74</w:t>
                  </w:r>
                </w:p>
              </w:tc>
              <w:tc>
                <w:tcPr>
                  <w:tcW w:w="572" w:type="dxa"/>
                  <w:tcBorders>
                    <w:top w:val="nil"/>
                    <w:left w:val="nil"/>
                    <w:bottom w:val="single" w:sz="4" w:space="0" w:color="auto"/>
                    <w:right w:val="single" w:sz="4" w:space="0" w:color="auto"/>
                  </w:tcBorders>
                  <w:shd w:val="clear" w:color="auto" w:fill="auto"/>
                  <w:noWrap/>
                  <w:vAlign w:val="bottom"/>
                  <w:hideMark/>
                </w:tcPr>
                <w:p w14:paraId="01BFC7F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56833D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100,5</w:t>
                  </w:r>
                </w:p>
              </w:tc>
              <w:tc>
                <w:tcPr>
                  <w:tcW w:w="567" w:type="dxa"/>
                  <w:tcBorders>
                    <w:top w:val="nil"/>
                    <w:left w:val="nil"/>
                    <w:bottom w:val="single" w:sz="4" w:space="0" w:color="auto"/>
                    <w:right w:val="single" w:sz="4" w:space="0" w:color="auto"/>
                  </w:tcBorders>
                  <w:shd w:val="clear" w:color="auto" w:fill="auto"/>
                  <w:noWrap/>
                  <w:vAlign w:val="bottom"/>
                  <w:hideMark/>
                </w:tcPr>
                <w:p w14:paraId="79998D68" w14:textId="21B91B5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20AB779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2D2B882" w14:textId="016BD3D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74</w:t>
                  </w:r>
                </w:p>
              </w:tc>
              <w:tc>
                <w:tcPr>
                  <w:tcW w:w="570" w:type="dxa"/>
                  <w:tcBorders>
                    <w:top w:val="nil"/>
                    <w:left w:val="nil"/>
                    <w:bottom w:val="single" w:sz="4" w:space="0" w:color="auto"/>
                    <w:right w:val="single" w:sz="4" w:space="0" w:color="auto"/>
                  </w:tcBorders>
                  <w:shd w:val="clear" w:color="auto" w:fill="auto"/>
                  <w:noWrap/>
                  <w:vAlign w:val="bottom"/>
                  <w:hideMark/>
                </w:tcPr>
                <w:p w14:paraId="38FD121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FABE56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71</w:t>
                  </w:r>
                </w:p>
              </w:tc>
              <w:tc>
                <w:tcPr>
                  <w:tcW w:w="600" w:type="dxa"/>
                  <w:tcBorders>
                    <w:top w:val="nil"/>
                    <w:left w:val="nil"/>
                    <w:bottom w:val="single" w:sz="4" w:space="0" w:color="auto"/>
                    <w:right w:val="single" w:sz="4" w:space="0" w:color="auto"/>
                  </w:tcBorders>
                  <w:shd w:val="clear" w:color="auto" w:fill="auto"/>
                  <w:noWrap/>
                  <w:vAlign w:val="bottom"/>
                  <w:hideMark/>
                </w:tcPr>
                <w:p w14:paraId="608C9395" w14:textId="555982D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C069BF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w:t>
                  </w:r>
                </w:p>
              </w:tc>
              <w:tc>
                <w:tcPr>
                  <w:tcW w:w="570" w:type="dxa"/>
                  <w:tcBorders>
                    <w:top w:val="nil"/>
                    <w:left w:val="nil"/>
                    <w:bottom w:val="single" w:sz="4" w:space="0" w:color="auto"/>
                    <w:right w:val="single" w:sz="4" w:space="0" w:color="auto"/>
                  </w:tcBorders>
                  <w:shd w:val="clear" w:color="auto" w:fill="auto"/>
                  <w:noWrap/>
                  <w:vAlign w:val="bottom"/>
                  <w:hideMark/>
                </w:tcPr>
                <w:p w14:paraId="749913B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F97136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1D1077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B17B23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71D20A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37B833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-29,5</w:t>
                  </w:r>
                </w:p>
              </w:tc>
              <w:tc>
                <w:tcPr>
                  <w:tcW w:w="543" w:type="dxa"/>
                  <w:tcBorders>
                    <w:top w:val="nil"/>
                    <w:left w:val="nil"/>
                    <w:bottom w:val="single" w:sz="4" w:space="0" w:color="auto"/>
                    <w:right w:val="single" w:sz="4" w:space="0" w:color="auto"/>
                  </w:tcBorders>
                  <w:shd w:val="clear" w:color="auto" w:fill="auto"/>
                  <w:noWrap/>
                  <w:vAlign w:val="bottom"/>
                  <w:hideMark/>
                </w:tcPr>
                <w:p w14:paraId="64666E5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8A3B57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4B75FA2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-5,5</w:t>
                  </w:r>
                </w:p>
              </w:tc>
            </w:tr>
            <w:tr w:rsidR="00837BD6" w:rsidRPr="009E5B39" w14:paraId="32C95314"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21298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441E1A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DGETS</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7A8873"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2032</w:t>
                  </w:r>
                </w:p>
              </w:tc>
              <w:tc>
                <w:tcPr>
                  <w:tcW w:w="541" w:type="dxa"/>
                  <w:tcBorders>
                    <w:top w:val="nil"/>
                    <w:left w:val="nil"/>
                    <w:bottom w:val="single" w:sz="4" w:space="0" w:color="auto"/>
                    <w:right w:val="single" w:sz="4" w:space="0" w:color="auto"/>
                  </w:tcBorders>
                  <w:shd w:val="clear" w:color="auto" w:fill="auto"/>
                  <w:noWrap/>
                  <w:vAlign w:val="bottom"/>
                  <w:hideMark/>
                </w:tcPr>
                <w:p w14:paraId="6DD19A3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1D16F6B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16" w:type="dxa"/>
                  <w:tcBorders>
                    <w:top w:val="nil"/>
                    <w:left w:val="nil"/>
                    <w:bottom w:val="single" w:sz="4" w:space="0" w:color="auto"/>
                    <w:right w:val="single" w:sz="4" w:space="0" w:color="auto"/>
                  </w:tcBorders>
                  <w:shd w:val="clear" w:color="auto" w:fill="auto"/>
                  <w:noWrap/>
                  <w:vAlign w:val="bottom"/>
                  <w:hideMark/>
                </w:tcPr>
                <w:p w14:paraId="1504B61C" w14:textId="65FD1D1D"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70CB16E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72" w:type="dxa"/>
                  <w:tcBorders>
                    <w:top w:val="nil"/>
                    <w:left w:val="nil"/>
                    <w:bottom w:val="single" w:sz="4" w:space="0" w:color="auto"/>
                    <w:right w:val="single" w:sz="4" w:space="0" w:color="auto"/>
                  </w:tcBorders>
                  <w:shd w:val="clear" w:color="auto" w:fill="auto"/>
                  <w:noWrap/>
                  <w:vAlign w:val="bottom"/>
                  <w:hideMark/>
                </w:tcPr>
                <w:p w14:paraId="3A3A87BE" w14:textId="3A52C56A"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276462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67" w:type="dxa"/>
                  <w:tcBorders>
                    <w:top w:val="nil"/>
                    <w:left w:val="nil"/>
                    <w:bottom w:val="single" w:sz="4" w:space="0" w:color="auto"/>
                    <w:right w:val="single" w:sz="4" w:space="0" w:color="auto"/>
                  </w:tcBorders>
                  <w:shd w:val="clear" w:color="auto" w:fill="auto"/>
                  <w:noWrap/>
                  <w:vAlign w:val="bottom"/>
                  <w:hideMark/>
                </w:tcPr>
                <w:p w14:paraId="3E6F61D3" w14:textId="146C5238"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18B4C23C"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208B318" w14:textId="6D16A494"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70" w:type="dxa"/>
                  <w:tcBorders>
                    <w:top w:val="nil"/>
                    <w:left w:val="nil"/>
                    <w:bottom w:val="single" w:sz="4" w:space="0" w:color="auto"/>
                    <w:right w:val="single" w:sz="4" w:space="0" w:color="auto"/>
                  </w:tcBorders>
                  <w:shd w:val="clear" w:color="auto" w:fill="auto"/>
                  <w:noWrap/>
                  <w:vAlign w:val="bottom"/>
                  <w:hideMark/>
                </w:tcPr>
                <w:p w14:paraId="32CB7896" w14:textId="1A9AF89A"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2DDD64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18</w:t>
                  </w:r>
                </w:p>
              </w:tc>
              <w:tc>
                <w:tcPr>
                  <w:tcW w:w="600" w:type="dxa"/>
                  <w:tcBorders>
                    <w:top w:val="nil"/>
                    <w:left w:val="nil"/>
                    <w:bottom w:val="single" w:sz="4" w:space="0" w:color="auto"/>
                    <w:right w:val="single" w:sz="4" w:space="0" w:color="auto"/>
                  </w:tcBorders>
                  <w:shd w:val="clear" w:color="auto" w:fill="auto"/>
                  <w:noWrap/>
                  <w:vAlign w:val="bottom"/>
                  <w:hideMark/>
                </w:tcPr>
                <w:p w14:paraId="53733092" w14:textId="463FDFA5"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51B40C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18</w:t>
                  </w:r>
                </w:p>
              </w:tc>
              <w:tc>
                <w:tcPr>
                  <w:tcW w:w="570" w:type="dxa"/>
                  <w:tcBorders>
                    <w:top w:val="nil"/>
                    <w:left w:val="nil"/>
                    <w:bottom w:val="single" w:sz="4" w:space="0" w:color="auto"/>
                    <w:right w:val="single" w:sz="4" w:space="0" w:color="auto"/>
                  </w:tcBorders>
                  <w:shd w:val="clear" w:color="auto" w:fill="auto"/>
                  <w:noWrap/>
                  <w:vAlign w:val="bottom"/>
                  <w:hideMark/>
                </w:tcPr>
                <w:p w14:paraId="019025A7" w14:textId="1B73A385"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2011C9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FB3553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DD88AA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674B702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41B237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w:t>
                  </w:r>
                </w:p>
              </w:tc>
              <w:tc>
                <w:tcPr>
                  <w:tcW w:w="543" w:type="dxa"/>
                  <w:tcBorders>
                    <w:top w:val="nil"/>
                    <w:left w:val="nil"/>
                    <w:bottom w:val="single" w:sz="4" w:space="0" w:color="auto"/>
                    <w:right w:val="single" w:sz="4" w:space="0" w:color="auto"/>
                  </w:tcBorders>
                  <w:shd w:val="clear" w:color="auto" w:fill="auto"/>
                  <w:noWrap/>
                  <w:vAlign w:val="bottom"/>
                  <w:hideMark/>
                </w:tcPr>
                <w:p w14:paraId="302CAA7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C94FC2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A99A12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72DE292F"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7084F94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85C494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4772ED1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1EFEB18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2BEE1D0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16" w:type="dxa"/>
                  <w:tcBorders>
                    <w:top w:val="nil"/>
                    <w:left w:val="nil"/>
                    <w:bottom w:val="single" w:sz="4" w:space="0" w:color="auto"/>
                    <w:right w:val="single" w:sz="4" w:space="0" w:color="auto"/>
                  </w:tcBorders>
                  <w:shd w:val="clear" w:color="auto" w:fill="auto"/>
                  <w:noWrap/>
                  <w:vAlign w:val="bottom"/>
                  <w:hideMark/>
                </w:tcPr>
                <w:p w14:paraId="68DD69B7" w14:textId="3E54F25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12D843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w:t>
                  </w:r>
                </w:p>
              </w:tc>
              <w:tc>
                <w:tcPr>
                  <w:tcW w:w="572" w:type="dxa"/>
                  <w:tcBorders>
                    <w:top w:val="nil"/>
                    <w:left w:val="nil"/>
                    <w:bottom w:val="single" w:sz="4" w:space="0" w:color="auto"/>
                    <w:right w:val="single" w:sz="4" w:space="0" w:color="auto"/>
                  </w:tcBorders>
                  <w:shd w:val="clear" w:color="auto" w:fill="auto"/>
                  <w:noWrap/>
                  <w:vAlign w:val="bottom"/>
                  <w:hideMark/>
                </w:tcPr>
                <w:p w14:paraId="1A354F87" w14:textId="5BE1E95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A38ADF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67" w:type="dxa"/>
                  <w:tcBorders>
                    <w:top w:val="nil"/>
                    <w:left w:val="nil"/>
                    <w:bottom w:val="single" w:sz="4" w:space="0" w:color="auto"/>
                    <w:right w:val="single" w:sz="4" w:space="0" w:color="auto"/>
                  </w:tcBorders>
                  <w:shd w:val="clear" w:color="auto" w:fill="auto"/>
                  <w:noWrap/>
                  <w:vAlign w:val="bottom"/>
                  <w:hideMark/>
                </w:tcPr>
                <w:p w14:paraId="3B766785" w14:textId="04C0AFF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0F7B304"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86E3926" w14:textId="698C286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w:t>
                  </w:r>
                </w:p>
              </w:tc>
              <w:tc>
                <w:tcPr>
                  <w:tcW w:w="570" w:type="dxa"/>
                  <w:tcBorders>
                    <w:top w:val="nil"/>
                    <w:left w:val="nil"/>
                    <w:bottom w:val="single" w:sz="4" w:space="0" w:color="auto"/>
                    <w:right w:val="single" w:sz="4" w:space="0" w:color="auto"/>
                  </w:tcBorders>
                  <w:shd w:val="clear" w:color="auto" w:fill="auto"/>
                  <w:noWrap/>
                  <w:vAlign w:val="bottom"/>
                  <w:hideMark/>
                </w:tcPr>
                <w:p w14:paraId="47934CDB" w14:textId="6F2BE4B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8F8568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w:t>
                  </w:r>
                </w:p>
              </w:tc>
              <w:tc>
                <w:tcPr>
                  <w:tcW w:w="600" w:type="dxa"/>
                  <w:tcBorders>
                    <w:top w:val="nil"/>
                    <w:left w:val="nil"/>
                    <w:bottom w:val="single" w:sz="4" w:space="0" w:color="auto"/>
                    <w:right w:val="single" w:sz="4" w:space="0" w:color="auto"/>
                  </w:tcBorders>
                  <w:shd w:val="clear" w:color="auto" w:fill="auto"/>
                  <w:noWrap/>
                  <w:vAlign w:val="bottom"/>
                  <w:hideMark/>
                </w:tcPr>
                <w:p w14:paraId="6A1C8B9A" w14:textId="01F1DA4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42477D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w:t>
                  </w:r>
                </w:p>
              </w:tc>
              <w:tc>
                <w:tcPr>
                  <w:tcW w:w="570" w:type="dxa"/>
                  <w:tcBorders>
                    <w:top w:val="nil"/>
                    <w:left w:val="nil"/>
                    <w:bottom w:val="single" w:sz="4" w:space="0" w:color="auto"/>
                    <w:right w:val="single" w:sz="4" w:space="0" w:color="auto"/>
                  </w:tcBorders>
                  <w:shd w:val="clear" w:color="auto" w:fill="auto"/>
                  <w:noWrap/>
                  <w:vAlign w:val="bottom"/>
                  <w:hideMark/>
                </w:tcPr>
                <w:p w14:paraId="6617998D" w14:textId="364EDC0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26A938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DA9C18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472806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7B4F53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4310EB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-22</w:t>
                  </w:r>
                </w:p>
              </w:tc>
              <w:tc>
                <w:tcPr>
                  <w:tcW w:w="543" w:type="dxa"/>
                  <w:tcBorders>
                    <w:top w:val="nil"/>
                    <w:left w:val="nil"/>
                    <w:bottom w:val="single" w:sz="4" w:space="0" w:color="auto"/>
                    <w:right w:val="single" w:sz="4" w:space="0" w:color="auto"/>
                  </w:tcBorders>
                  <w:shd w:val="clear" w:color="auto" w:fill="auto"/>
                  <w:noWrap/>
                  <w:vAlign w:val="bottom"/>
                  <w:hideMark/>
                </w:tcPr>
                <w:p w14:paraId="490F198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352A0E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3F4012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1410DAAE"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4FDEEA6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5D46FA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1CB3C0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CCA5F0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5AADBB1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16" w:type="dxa"/>
                  <w:tcBorders>
                    <w:top w:val="nil"/>
                    <w:left w:val="nil"/>
                    <w:bottom w:val="single" w:sz="4" w:space="0" w:color="auto"/>
                    <w:right w:val="single" w:sz="4" w:space="0" w:color="auto"/>
                  </w:tcBorders>
                  <w:shd w:val="clear" w:color="auto" w:fill="auto"/>
                  <w:noWrap/>
                  <w:vAlign w:val="bottom"/>
                  <w:hideMark/>
                </w:tcPr>
                <w:p w14:paraId="55EEFF67" w14:textId="0A5C18B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CC8E60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w:t>
                  </w:r>
                </w:p>
              </w:tc>
              <w:tc>
                <w:tcPr>
                  <w:tcW w:w="572" w:type="dxa"/>
                  <w:tcBorders>
                    <w:top w:val="nil"/>
                    <w:left w:val="nil"/>
                    <w:bottom w:val="single" w:sz="4" w:space="0" w:color="auto"/>
                    <w:right w:val="single" w:sz="4" w:space="0" w:color="auto"/>
                  </w:tcBorders>
                  <w:shd w:val="clear" w:color="auto" w:fill="auto"/>
                  <w:noWrap/>
                  <w:vAlign w:val="bottom"/>
                  <w:hideMark/>
                </w:tcPr>
                <w:p w14:paraId="522DDC62" w14:textId="0A2E08D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46C71C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67" w:type="dxa"/>
                  <w:tcBorders>
                    <w:top w:val="nil"/>
                    <w:left w:val="nil"/>
                    <w:bottom w:val="single" w:sz="4" w:space="0" w:color="auto"/>
                    <w:right w:val="single" w:sz="4" w:space="0" w:color="auto"/>
                  </w:tcBorders>
                  <w:shd w:val="clear" w:color="auto" w:fill="auto"/>
                  <w:noWrap/>
                  <w:vAlign w:val="bottom"/>
                  <w:hideMark/>
                </w:tcPr>
                <w:p w14:paraId="0F556810" w14:textId="2315F57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5D16DC43"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A85EAF4" w14:textId="799B7CF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w:t>
                  </w:r>
                </w:p>
              </w:tc>
              <w:tc>
                <w:tcPr>
                  <w:tcW w:w="570" w:type="dxa"/>
                  <w:tcBorders>
                    <w:top w:val="nil"/>
                    <w:left w:val="nil"/>
                    <w:bottom w:val="single" w:sz="4" w:space="0" w:color="auto"/>
                    <w:right w:val="single" w:sz="4" w:space="0" w:color="auto"/>
                  </w:tcBorders>
                  <w:shd w:val="clear" w:color="auto" w:fill="auto"/>
                  <w:noWrap/>
                  <w:vAlign w:val="bottom"/>
                  <w:hideMark/>
                </w:tcPr>
                <w:p w14:paraId="5E9374DF" w14:textId="1C76125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9F76DD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17</w:t>
                  </w:r>
                </w:p>
              </w:tc>
              <w:tc>
                <w:tcPr>
                  <w:tcW w:w="600" w:type="dxa"/>
                  <w:tcBorders>
                    <w:top w:val="nil"/>
                    <w:left w:val="nil"/>
                    <w:bottom w:val="single" w:sz="4" w:space="0" w:color="auto"/>
                    <w:right w:val="single" w:sz="4" w:space="0" w:color="auto"/>
                  </w:tcBorders>
                  <w:shd w:val="clear" w:color="auto" w:fill="auto"/>
                  <w:noWrap/>
                  <w:vAlign w:val="bottom"/>
                  <w:hideMark/>
                </w:tcPr>
                <w:p w14:paraId="043EDC35" w14:textId="78AAA47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A9288B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w:t>
                  </w:r>
                </w:p>
              </w:tc>
              <w:tc>
                <w:tcPr>
                  <w:tcW w:w="570" w:type="dxa"/>
                  <w:tcBorders>
                    <w:top w:val="nil"/>
                    <w:left w:val="nil"/>
                    <w:bottom w:val="single" w:sz="4" w:space="0" w:color="auto"/>
                    <w:right w:val="single" w:sz="4" w:space="0" w:color="auto"/>
                  </w:tcBorders>
                  <w:shd w:val="clear" w:color="auto" w:fill="auto"/>
                  <w:noWrap/>
                  <w:vAlign w:val="bottom"/>
                  <w:hideMark/>
                </w:tcPr>
                <w:p w14:paraId="62939571" w14:textId="4573612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2D8FC7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95A816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02419C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3FD9F5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3D6A15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-21</w:t>
                  </w:r>
                </w:p>
              </w:tc>
              <w:tc>
                <w:tcPr>
                  <w:tcW w:w="543" w:type="dxa"/>
                  <w:tcBorders>
                    <w:top w:val="nil"/>
                    <w:left w:val="nil"/>
                    <w:bottom w:val="single" w:sz="4" w:space="0" w:color="auto"/>
                    <w:right w:val="single" w:sz="4" w:space="0" w:color="auto"/>
                  </w:tcBorders>
                  <w:shd w:val="clear" w:color="auto" w:fill="auto"/>
                  <w:noWrap/>
                  <w:vAlign w:val="bottom"/>
                  <w:hideMark/>
                </w:tcPr>
                <w:p w14:paraId="5BF8BDE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09945D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43183E0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051397BA"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5A1FEE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12BCDEE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72BF13F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76E97D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58C4FA1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16" w:type="dxa"/>
                  <w:tcBorders>
                    <w:top w:val="nil"/>
                    <w:left w:val="nil"/>
                    <w:bottom w:val="single" w:sz="4" w:space="0" w:color="auto"/>
                    <w:right w:val="single" w:sz="4" w:space="0" w:color="auto"/>
                  </w:tcBorders>
                  <w:shd w:val="clear" w:color="auto" w:fill="auto"/>
                  <w:noWrap/>
                  <w:vAlign w:val="bottom"/>
                  <w:hideMark/>
                </w:tcPr>
                <w:p w14:paraId="17BB010D" w14:textId="7663412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7C24082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w:t>
                  </w:r>
                </w:p>
              </w:tc>
              <w:tc>
                <w:tcPr>
                  <w:tcW w:w="572" w:type="dxa"/>
                  <w:tcBorders>
                    <w:top w:val="nil"/>
                    <w:left w:val="nil"/>
                    <w:bottom w:val="single" w:sz="4" w:space="0" w:color="auto"/>
                    <w:right w:val="single" w:sz="4" w:space="0" w:color="auto"/>
                  </w:tcBorders>
                  <w:shd w:val="clear" w:color="auto" w:fill="auto"/>
                  <w:noWrap/>
                  <w:vAlign w:val="bottom"/>
                  <w:hideMark/>
                </w:tcPr>
                <w:p w14:paraId="0D5944AB" w14:textId="58C663A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4AC03B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67" w:type="dxa"/>
                  <w:tcBorders>
                    <w:top w:val="nil"/>
                    <w:left w:val="nil"/>
                    <w:bottom w:val="single" w:sz="4" w:space="0" w:color="auto"/>
                    <w:right w:val="single" w:sz="4" w:space="0" w:color="auto"/>
                  </w:tcBorders>
                  <w:shd w:val="clear" w:color="auto" w:fill="auto"/>
                  <w:noWrap/>
                  <w:vAlign w:val="bottom"/>
                  <w:hideMark/>
                </w:tcPr>
                <w:p w14:paraId="4616D0FB" w14:textId="4DEA07C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74533E1A"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45BF6AF" w14:textId="510CD4F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w:t>
                  </w:r>
                </w:p>
              </w:tc>
              <w:tc>
                <w:tcPr>
                  <w:tcW w:w="570" w:type="dxa"/>
                  <w:tcBorders>
                    <w:top w:val="nil"/>
                    <w:left w:val="nil"/>
                    <w:bottom w:val="single" w:sz="4" w:space="0" w:color="auto"/>
                    <w:right w:val="single" w:sz="4" w:space="0" w:color="auto"/>
                  </w:tcBorders>
                  <w:shd w:val="clear" w:color="auto" w:fill="auto"/>
                  <w:noWrap/>
                  <w:vAlign w:val="bottom"/>
                  <w:hideMark/>
                </w:tcPr>
                <w:p w14:paraId="07139F0C" w14:textId="2638949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6C9526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w:t>
                  </w:r>
                </w:p>
              </w:tc>
              <w:tc>
                <w:tcPr>
                  <w:tcW w:w="600" w:type="dxa"/>
                  <w:tcBorders>
                    <w:top w:val="nil"/>
                    <w:left w:val="nil"/>
                    <w:bottom w:val="single" w:sz="4" w:space="0" w:color="auto"/>
                    <w:right w:val="single" w:sz="4" w:space="0" w:color="auto"/>
                  </w:tcBorders>
                  <w:shd w:val="clear" w:color="auto" w:fill="auto"/>
                  <w:noWrap/>
                  <w:vAlign w:val="bottom"/>
                  <w:hideMark/>
                </w:tcPr>
                <w:p w14:paraId="446BC284" w14:textId="63AA1D8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5120E2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w:t>
                  </w:r>
                </w:p>
              </w:tc>
              <w:tc>
                <w:tcPr>
                  <w:tcW w:w="570" w:type="dxa"/>
                  <w:tcBorders>
                    <w:top w:val="nil"/>
                    <w:left w:val="nil"/>
                    <w:bottom w:val="single" w:sz="4" w:space="0" w:color="auto"/>
                    <w:right w:val="single" w:sz="4" w:space="0" w:color="auto"/>
                  </w:tcBorders>
                  <w:shd w:val="clear" w:color="auto" w:fill="auto"/>
                  <w:noWrap/>
                  <w:vAlign w:val="bottom"/>
                  <w:hideMark/>
                </w:tcPr>
                <w:p w14:paraId="50B5E3F4" w14:textId="103BC3B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CF6F62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94E59A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DD28F6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1D4F2B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16FE6B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-22</w:t>
                  </w:r>
                </w:p>
              </w:tc>
              <w:tc>
                <w:tcPr>
                  <w:tcW w:w="543" w:type="dxa"/>
                  <w:tcBorders>
                    <w:top w:val="nil"/>
                    <w:left w:val="nil"/>
                    <w:bottom w:val="single" w:sz="4" w:space="0" w:color="auto"/>
                    <w:right w:val="single" w:sz="4" w:space="0" w:color="auto"/>
                  </w:tcBorders>
                  <w:shd w:val="clear" w:color="auto" w:fill="auto"/>
                  <w:noWrap/>
                  <w:vAlign w:val="bottom"/>
                  <w:hideMark/>
                </w:tcPr>
                <w:p w14:paraId="1CF3CA7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FAAEDA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6B6B0E6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567E9037"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5BB0710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1AED8ED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268E5BE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3E6949F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6846A14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16" w:type="dxa"/>
                  <w:tcBorders>
                    <w:top w:val="nil"/>
                    <w:left w:val="nil"/>
                    <w:bottom w:val="single" w:sz="4" w:space="0" w:color="auto"/>
                    <w:right w:val="single" w:sz="4" w:space="0" w:color="auto"/>
                  </w:tcBorders>
                  <w:shd w:val="clear" w:color="auto" w:fill="auto"/>
                  <w:noWrap/>
                  <w:vAlign w:val="bottom"/>
                  <w:hideMark/>
                </w:tcPr>
                <w:p w14:paraId="78A51A5E" w14:textId="5FD0577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70F18D9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w:t>
                  </w:r>
                </w:p>
              </w:tc>
              <w:tc>
                <w:tcPr>
                  <w:tcW w:w="572" w:type="dxa"/>
                  <w:tcBorders>
                    <w:top w:val="nil"/>
                    <w:left w:val="nil"/>
                    <w:bottom w:val="single" w:sz="4" w:space="0" w:color="auto"/>
                    <w:right w:val="single" w:sz="4" w:space="0" w:color="auto"/>
                  </w:tcBorders>
                  <w:shd w:val="clear" w:color="auto" w:fill="auto"/>
                  <w:noWrap/>
                  <w:vAlign w:val="bottom"/>
                  <w:hideMark/>
                </w:tcPr>
                <w:p w14:paraId="7DD1ED63" w14:textId="56B8401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98CE1D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67" w:type="dxa"/>
                  <w:tcBorders>
                    <w:top w:val="nil"/>
                    <w:left w:val="nil"/>
                    <w:bottom w:val="single" w:sz="4" w:space="0" w:color="auto"/>
                    <w:right w:val="single" w:sz="4" w:space="0" w:color="auto"/>
                  </w:tcBorders>
                  <w:shd w:val="clear" w:color="auto" w:fill="auto"/>
                  <w:noWrap/>
                  <w:vAlign w:val="bottom"/>
                  <w:hideMark/>
                </w:tcPr>
                <w:p w14:paraId="2CC06D64" w14:textId="7580176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7F0F498C"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D31540A" w14:textId="38826FF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w:t>
                  </w:r>
                </w:p>
              </w:tc>
              <w:tc>
                <w:tcPr>
                  <w:tcW w:w="570" w:type="dxa"/>
                  <w:tcBorders>
                    <w:top w:val="nil"/>
                    <w:left w:val="nil"/>
                    <w:bottom w:val="single" w:sz="4" w:space="0" w:color="auto"/>
                    <w:right w:val="single" w:sz="4" w:space="0" w:color="auto"/>
                  </w:tcBorders>
                  <w:shd w:val="clear" w:color="auto" w:fill="auto"/>
                  <w:noWrap/>
                  <w:vAlign w:val="bottom"/>
                  <w:hideMark/>
                </w:tcPr>
                <w:p w14:paraId="1872051D" w14:textId="4E0EFB8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93AD83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21</w:t>
                  </w:r>
                </w:p>
              </w:tc>
              <w:tc>
                <w:tcPr>
                  <w:tcW w:w="600" w:type="dxa"/>
                  <w:tcBorders>
                    <w:top w:val="nil"/>
                    <w:left w:val="nil"/>
                    <w:bottom w:val="single" w:sz="4" w:space="0" w:color="auto"/>
                    <w:right w:val="single" w:sz="4" w:space="0" w:color="auto"/>
                  </w:tcBorders>
                  <w:shd w:val="clear" w:color="auto" w:fill="auto"/>
                  <w:noWrap/>
                  <w:vAlign w:val="bottom"/>
                  <w:hideMark/>
                </w:tcPr>
                <w:p w14:paraId="1185960B" w14:textId="2FD512F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CD9D23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w:t>
                  </w:r>
                </w:p>
              </w:tc>
              <w:tc>
                <w:tcPr>
                  <w:tcW w:w="570" w:type="dxa"/>
                  <w:tcBorders>
                    <w:top w:val="nil"/>
                    <w:left w:val="nil"/>
                    <w:bottom w:val="single" w:sz="4" w:space="0" w:color="auto"/>
                    <w:right w:val="single" w:sz="4" w:space="0" w:color="auto"/>
                  </w:tcBorders>
                  <w:shd w:val="clear" w:color="auto" w:fill="auto"/>
                  <w:noWrap/>
                  <w:vAlign w:val="bottom"/>
                  <w:hideMark/>
                </w:tcPr>
                <w:p w14:paraId="5B62D7AE" w14:textId="1C46215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9F91B8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4A20AC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78403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5E92C05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EE8AC0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-17</w:t>
                  </w:r>
                </w:p>
              </w:tc>
              <w:tc>
                <w:tcPr>
                  <w:tcW w:w="543" w:type="dxa"/>
                  <w:tcBorders>
                    <w:top w:val="nil"/>
                    <w:left w:val="nil"/>
                    <w:bottom w:val="single" w:sz="4" w:space="0" w:color="auto"/>
                    <w:right w:val="single" w:sz="4" w:space="0" w:color="auto"/>
                  </w:tcBorders>
                  <w:shd w:val="clear" w:color="auto" w:fill="auto"/>
                  <w:noWrap/>
                  <w:vAlign w:val="bottom"/>
                  <w:hideMark/>
                </w:tcPr>
                <w:p w14:paraId="7F1C891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4C5386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D11FF5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1CFAC793"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6F6A5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D50709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DETS BOTANICA</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FB2B09"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2035</w:t>
                  </w:r>
                </w:p>
              </w:tc>
              <w:tc>
                <w:tcPr>
                  <w:tcW w:w="541" w:type="dxa"/>
                  <w:tcBorders>
                    <w:top w:val="nil"/>
                    <w:left w:val="nil"/>
                    <w:bottom w:val="single" w:sz="4" w:space="0" w:color="auto"/>
                    <w:right w:val="single" w:sz="4" w:space="0" w:color="auto"/>
                  </w:tcBorders>
                  <w:shd w:val="clear" w:color="auto" w:fill="auto"/>
                  <w:noWrap/>
                  <w:vAlign w:val="bottom"/>
                  <w:hideMark/>
                </w:tcPr>
                <w:p w14:paraId="4BAEF99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12AA29D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2513ECFB" w14:textId="4978FD1D"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087724C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5DCB176C" w14:textId="41930F76"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34E735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03AC6432" w14:textId="41C4F81C"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04359B7F"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78C887E" w14:textId="08857DBE"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355CF156" w14:textId="3C6F26A2"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9A3467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17D3DF83" w14:textId="0F29F43D"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6325D9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453E0C47" w14:textId="578B846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869DB2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10086AF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DFB4D0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CC70F9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BACD11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4FDF428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3079AE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5CE0DF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7087043C"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5BC71C2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08F140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0BFF211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5A42D3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16678A7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1D387DA2" w14:textId="1E633EC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B38676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5DE29834" w14:textId="606B5C0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8F5E3E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6C35B730" w14:textId="11B7A58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33C785A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3C1A033" w14:textId="179B16D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162BB6CC" w14:textId="4D5541F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61063A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600" w:type="dxa"/>
                  <w:tcBorders>
                    <w:top w:val="nil"/>
                    <w:left w:val="nil"/>
                    <w:bottom w:val="single" w:sz="4" w:space="0" w:color="auto"/>
                    <w:right w:val="single" w:sz="4" w:space="0" w:color="auto"/>
                  </w:tcBorders>
                  <w:shd w:val="clear" w:color="auto" w:fill="auto"/>
                  <w:noWrap/>
                  <w:vAlign w:val="bottom"/>
                  <w:hideMark/>
                </w:tcPr>
                <w:p w14:paraId="5DCC2309" w14:textId="5ACFB2F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B68E58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70" w:type="dxa"/>
                  <w:tcBorders>
                    <w:top w:val="nil"/>
                    <w:left w:val="nil"/>
                    <w:bottom w:val="single" w:sz="4" w:space="0" w:color="auto"/>
                    <w:right w:val="single" w:sz="4" w:space="0" w:color="auto"/>
                  </w:tcBorders>
                  <w:shd w:val="clear" w:color="auto" w:fill="auto"/>
                  <w:noWrap/>
                  <w:vAlign w:val="bottom"/>
                  <w:hideMark/>
                </w:tcPr>
                <w:p w14:paraId="023AADBD" w14:textId="6D115D3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027CD9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20771A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29FE2F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AD2182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8F4AF5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43" w:type="dxa"/>
                  <w:tcBorders>
                    <w:top w:val="nil"/>
                    <w:left w:val="nil"/>
                    <w:bottom w:val="single" w:sz="4" w:space="0" w:color="auto"/>
                    <w:right w:val="single" w:sz="4" w:space="0" w:color="auto"/>
                  </w:tcBorders>
                  <w:shd w:val="clear" w:color="auto" w:fill="auto"/>
                  <w:noWrap/>
                  <w:vAlign w:val="bottom"/>
                  <w:hideMark/>
                </w:tcPr>
                <w:p w14:paraId="3DF8428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81DE4C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DDF748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75FE4A36"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6BA68C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852AB9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568D2E5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136ECA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3321E65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368D5984" w14:textId="4E32A6C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67AFE2B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619AADF9" w14:textId="0835145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6111B9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595BA261" w14:textId="775ACEC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217D29B8"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B71441F" w14:textId="085E375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334F2DC8" w14:textId="71BAD14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F9C274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249C800E" w14:textId="26FC554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2E94CD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6B368177" w14:textId="3961858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511A18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06D7B4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731FFD9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D510B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93FD33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4096502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18DAEF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37E794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7D9B7A77"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772022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2BC8D0C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51FD665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14CC6F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797AC38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75AB25C5" w14:textId="6D4D417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1D4F05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21148070" w14:textId="47D685B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A900BD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73226DE6" w14:textId="0BD4C2E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082AE1A"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ADEFF01" w14:textId="59B6450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27E972F3" w14:textId="7C46EB3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1EBA6D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086CB31E" w14:textId="47B9A29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D20490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6A9EAE84" w14:textId="37A0964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499EC6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00ED4D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4089A3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6910325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D67908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7920D7A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BFEBDA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6BE4CF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1804BFC1"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50B6263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76E5A12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6263B7A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6891F9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758CC35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342F776A" w14:textId="26B2574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C04F30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04EB2A82" w14:textId="22CAC95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CCA791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0E946C95" w14:textId="589B995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606999C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F1641F4" w14:textId="705DFAC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43ED25D3" w14:textId="6456DDB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BD0F6F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1A9FC12B" w14:textId="7385D03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DC25B4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24345F4D" w14:textId="6F92848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838E2E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96611F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BCBD3E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458BF31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4FAAF5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4024CC6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EC38A8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EA62C7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498EBB25"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3CFF85"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42351D5"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DETS BUIUCANI</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071AEA"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2037</w:t>
                  </w:r>
                </w:p>
              </w:tc>
              <w:tc>
                <w:tcPr>
                  <w:tcW w:w="541" w:type="dxa"/>
                  <w:tcBorders>
                    <w:top w:val="nil"/>
                    <w:left w:val="nil"/>
                    <w:bottom w:val="single" w:sz="4" w:space="0" w:color="auto"/>
                    <w:right w:val="single" w:sz="4" w:space="0" w:color="auto"/>
                  </w:tcBorders>
                  <w:shd w:val="clear" w:color="auto" w:fill="auto"/>
                  <w:noWrap/>
                  <w:vAlign w:val="bottom"/>
                  <w:hideMark/>
                </w:tcPr>
                <w:p w14:paraId="5DA0683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6DCBAED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39FF87A2" w14:textId="62F4380A"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B0332B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64BE2AD0" w14:textId="4E16CC98"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E7D699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5C47D11E" w14:textId="5BB3D1D0"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7794CCB2"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A2E4609" w14:textId="4E3C3A48"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6C41B4D0" w14:textId="1C84F64D"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FC27ED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5388812D" w14:textId="33E9A45E"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6D0865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78BEC67E" w14:textId="25536D10"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9D1B88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DA0C42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B90B22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90E5FC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77DFDC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277DD85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1E1770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619FC67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10AB3772"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3AE5F7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3906C8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66A1831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D2FCF3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0E2D6F7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0019CCBA" w14:textId="0C8BBA2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78CF9A4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4F5EF4DB" w14:textId="677164F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8E4534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3A5C4701" w14:textId="043B998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D8D0A09"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11CB447" w14:textId="227DC22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453CC323" w14:textId="7D7C6C5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716EA2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55220108" w14:textId="2954F8D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48E7D7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396F940C" w14:textId="3BDBCCB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88F601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7F65E9A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3C1BEA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ABCDB6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A38B44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6C6845A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74422D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BF9FEA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1ABB4377"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37ABDA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66CB3E3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1E1F59F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33CB2E3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14B9243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1DAF0DDA" w14:textId="7A4861B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5FB31CB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75608A7D" w14:textId="45D8906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3ADD59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0EE80F8C" w14:textId="202895D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03FBCF95"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7A933D7" w14:textId="36C6CEE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3136B1F9" w14:textId="5008109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A56627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600" w:type="dxa"/>
                  <w:tcBorders>
                    <w:top w:val="nil"/>
                    <w:left w:val="nil"/>
                    <w:bottom w:val="single" w:sz="4" w:space="0" w:color="auto"/>
                    <w:right w:val="single" w:sz="4" w:space="0" w:color="auto"/>
                  </w:tcBorders>
                  <w:shd w:val="clear" w:color="auto" w:fill="auto"/>
                  <w:noWrap/>
                  <w:vAlign w:val="bottom"/>
                  <w:hideMark/>
                </w:tcPr>
                <w:p w14:paraId="7F0C543B" w14:textId="607194B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70855F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70" w:type="dxa"/>
                  <w:tcBorders>
                    <w:top w:val="nil"/>
                    <w:left w:val="nil"/>
                    <w:bottom w:val="single" w:sz="4" w:space="0" w:color="auto"/>
                    <w:right w:val="single" w:sz="4" w:space="0" w:color="auto"/>
                  </w:tcBorders>
                  <w:shd w:val="clear" w:color="auto" w:fill="auto"/>
                  <w:noWrap/>
                  <w:vAlign w:val="bottom"/>
                  <w:hideMark/>
                </w:tcPr>
                <w:p w14:paraId="35D5D7CB" w14:textId="0063609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7C4470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FE5F84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47213E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773796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404A25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43" w:type="dxa"/>
                  <w:tcBorders>
                    <w:top w:val="nil"/>
                    <w:left w:val="nil"/>
                    <w:bottom w:val="single" w:sz="4" w:space="0" w:color="auto"/>
                    <w:right w:val="single" w:sz="4" w:space="0" w:color="auto"/>
                  </w:tcBorders>
                  <w:shd w:val="clear" w:color="auto" w:fill="auto"/>
                  <w:noWrap/>
                  <w:vAlign w:val="bottom"/>
                  <w:hideMark/>
                </w:tcPr>
                <w:p w14:paraId="70D468C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FC4624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4BFBECE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0911D4F4"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D17E9E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974E2D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542F141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D239DB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4A662EA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4D1886D9" w14:textId="7F7C489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0FA05E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52C23FCB" w14:textId="5DFA496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11641C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4DE5A8B6" w14:textId="65DF26F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22E3445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E8623E8" w14:textId="6E5736E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7B1C861F" w14:textId="3CE6F28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052436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3EF1A9A7" w14:textId="02F2F73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8064B9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048E336D" w14:textId="3E03C2F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E579B1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1E5879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D8E80B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EECF1C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3043E7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54DCB5D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238E0C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4B153EA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18A18580"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C235C4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4397B5C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2E25970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731F5AB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14E88F7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38D40E9D" w14:textId="315B557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3A415CB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788F0E2E" w14:textId="17EAE85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31FE6E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19EA3736" w14:textId="29DFFBD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13D2FE9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954DFCB" w14:textId="03C0BB0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581A4C08" w14:textId="10CE383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3E3AE3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509F4F9E" w14:textId="524F2AC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ABE3FD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3FA49E22" w14:textId="422A341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953559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7D0685F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7E4F7E2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4AA8459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483539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2D2B244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B1C39E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4E6E30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0F6385CB"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8B4B2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5CFE8B9"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DETS CENTRU</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1FBFDA"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2039</w:t>
                  </w:r>
                </w:p>
              </w:tc>
              <w:tc>
                <w:tcPr>
                  <w:tcW w:w="541" w:type="dxa"/>
                  <w:tcBorders>
                    <w:top w:val="nil"/>
                    <w:left w:val="nil"/>
                    <w:bottom w:val="single" w:sz="4" w:space="0" w:color="auto"/>
                    <w:right w:val="single" w:sz="4" w:space="0" w:color="auto"/>
                  </w:tcBorders>
                  <w:shd w:val="clear" w:color="auto" w:fill="auto"/>
                  <w:noWrap/>
                  <w:vAlign w:val="bottom"/>
                  <w:hideMark/>
                </w:tcPr>
                <w:p w14:paraId="210FBBF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73AB3EF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0B9C293C" w14:textId="681C6D74"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00E694A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28E08FF3" w14:textId="259FEFF5"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9FF1E3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5B380202" w14:textId="03C5444D"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6B3A8C49"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EB1E1D8" w14:textId="207CB50E"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5931CA26" w14:textId="41D9FD96"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624F3D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600" w:type="dxa"/>
                  <w:tcBorders>
                    <w:top w:val="nil"/>
                    <w:left w:val="nil"/>
                    <w:bottom w:val="single" w:sz="4" w:space="0" w:color="auto"/>
                    <w:right w:val="single" w:sz="4" w:space="0" w:color="auto"/>
                  </w:tcBorders>
                  <w:shd w:val="clear" w:color="auto" w:fill="auto"/>
                  <w:noWrap/>
                  <w:vAlign w:val="bottom"/>
                  <w:hideMark/>
                </w:tcPr>
                <w:p w14:paraId="32AC39E1" w14:textId="62E2457F"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435495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570" w:type="dxa"/>
                  <w:tcBorders>
                    <w:top w:val="nil"/>
                    <w:left w:val="nil"/>
                    <w:bottom w:val="single" w:sz="4" w:space="0" w:color="auto"/>
                    <w:right w:val="single" w:sz="4" w:space="0" w:color="auto"/>
                  </w:tcBorders>
                  <w:shd w:val="clear" w:color="auto" w:fill="auto"/>
                  <w:noWrap/>
                  <w:vAlign w:val="bottom"/>
                  <w:hideMark/>
                </w:tcPr>
                <w:p w14:paraId="5B4BC8A7" w14:textId="1D910975"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55D890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705ED3F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0F79A2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5E2A78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342F26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43" w:type="dxa"/>
                  <w:tcBorders>
                    <w:top w:val="nil"/>
                    <w:left w:val="nil"/>
                    <w:bottom w:val="single" w:sz="4" w:space="0" w:color="auto"/>
                    <w:right w:val="single" w:sz="4" w:space="0" w:color="auto"/>
                  </w:tcBorders>
                  <w:shd w:val="clear" w:color="auto" w:fill="auto"/>
                  <w:noWrap/>
                  <w:vAlign w:val="bottom"/>
                  <w:hideMark/>
                </w:tcPr>
                <w:p w14:paraId="4A5AAD2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3B20A3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03F81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75D93B26"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78107AE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2B4919E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2E72E51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8CAA19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60A593E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4B276599" w14:textId="60248BB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1717B4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3992D3FE" w14:textId="750FFC5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0DB8D8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11D0DD6B" w14:textId="0151475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5D13FAD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4CB0AE5" w14:textId="4024C12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4C6DAF6F" w14:textId="2629A58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6F010A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62BC0D57" w14:textId="26BEE66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358BCA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5E4A9B79" w14:textId="04991C8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F3B695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546110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7C07A69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4C8EA40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73885B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6E6F05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43FD7B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043031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207A0544"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29BF25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251A133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745F4A5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6B2E78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1868373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711B6D1B" w14:textId="00E722F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435982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5719CC14" w14:textId="3E364D3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3B70DE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709D53AC" w14:textId="443D1E7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31AEEDE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E9FD7E2" w14:textId="628C0BD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3529D03F" w14:textId="77C7BDD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026BDE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094F3509" w14:textId="44CB84F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EB25B0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5B5A332B" w14:textId="4EB84AF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E69D17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2C966C3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1C288F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F0C754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BFBAB3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60E50E7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E68B3C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1C5131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309077A1"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428C61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2B451A2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15093F4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1ECD835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4D33DCA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59A48972" w14:textId="0F2207F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839BCA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7A06E4CC" w14:textId="2798FEE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58464A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73169FA7" w14:textId="3376B74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5D9FF00D"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5F7B80A" w14:textId="1EE8A21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4B5C208A" w14:textId="6C62322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8591DD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600" w:type="dxa"/>
                  <w:tcBorders>
                    <w:top w:val="nil"/>
                    <w:left w:val="nil"/>
                    <w:bottom w:val="single" w:sz="4" w:space="0" w:color="auto"/>
                    <w:right w:val="single" w:sz="4" w:space="0" w:color="auto"/>
                  </w:tcBorders>
                  <w:shd w:val="clear" w:color="auto" w:fill="auto"/>
                  <w:noWrap/>
                  <w:vAlign w:val="bottom"/>
                  <w:hideMark/>
                </w:tcPr>
                <w:p w14:paraId="7DDB3E96" w14:textId="0E2BCD3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EFCED2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70" w:type="dxa"/>
                  <w:tcBorders>
                    <w:top w:val="nil"/>
                    <w:left w:val="nil"/>
                    <w:bottom w:val="single" w:sz="4" w:space="0" w:color="auto"/>
                    <w:right w:val="single" w:sz="4" w:space="0" w:color="auto"/>
                  </w:tcBorders>
                  <w:shd w:val="clear" w:color="auto" w:fill="auto"/>
                  <w:noWrap/>
                  <w:vAlign w:val="bottom"/>
                  <w:hideMark/>
                </w:tcPr>
                <w:p w14:paraId="2822403E" w14:textId="416C0A4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5074CE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41E5DF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C068B1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213C9F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C37572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43" w:type="dxa"/>
                  <w:tcBorders>
                    <w:top w:val="nil"/>
                    <w:left w:val="nil"/>
                    <w:bottom w:val="single" w:sz="4" w:space="0" w:color="auto"/>
                    <w:right w:val="single" w:sz="4" w:space="0" w:color="auto"/>
                  </w:tcBorders>
                  <w:shd w:val="clear" w:color="auto" w:fill="auto"/>
                  <w:noWrap/>
                  <w:vAlign w:val="bottom"/>
                  <w:hideMark/>
                </w:tcPr>
                <w:p w14:paraId="02165D6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F098BF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C4C276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4342B704"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14A33D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6B32BC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22A32A0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688FA22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694DD0E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6953C9A4" w14:textId="68D2023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E6B7A5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0C41F6D6" w14:textId="5BAC682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9A73A4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7F74452E" w14:textId="0023738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948C994"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A8EF22B" w14:textId="5BC9016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48ED2A38" w14:textId="6B14156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D7994F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600" w:type="dxa"/>
                  <w:tcBorders>
                    <w:top w:val="nil"/>
                    <w:left w:val="nil"/>
                    <w:bottom w:val="single" w:sz="4" w:space="0" w:color="auto"/>
                    <w:right w:val="single" w:sz="4" w:space="0" w:color="auto"/>
                  </w:tcBorders>
                  <w:shd w:val="clear" w:color="auto" w:fill="auto"/>
                  <w:noWrap/>
                  <w:vAlign w:val="bottom"/>
                  <w:hideMark/>
                </w:tcPr>
                <w:p w14:paraId="4C5398EC" w14:textId="7C86DB7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E1E787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70" w:type="dxa"/>
                  <w:tcBorders>
                    <w:top w:val="nil"/>
                    <w:left w:val="nil"/>
                    <w:bottom w:val="single" w:sz="4" w:space="0" w:color="auto"/>
                    <w:right w:val="single" w:sz="4" w:space="0" w:color="auto"/>
                  </w:tcBorders>
                  <w:shd w:val="clear" w:color="auto" w:fill="auto"/>
                  <w:noWrap/>
                  <w:vAlign w:val="bottom"/>
                  <w:hideMark/>
                </w:tcPr>
                <w:p w14:paraId="32013CB0" w14:textId="5C9DC5B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481E74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692899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EB5A7B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9EF2D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7BE19D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43" w:type="dxa"/>
                  <w:tcBorders>
                    <w:top w:val="nil"/>
                    <w:left w:val="nil"/>
                    <w:bottom w:val="single" w:sz="4" w:space="0" w:color="auto"/>
                    <w:right w:val="single" w:sz="4" w:space="0" w:color="auto"/>
                  </w:tcBorders>
                  <w:shd w:val="clear" w:color="auto" w:fill="auto"/>
                  <w:noWrap/>
                  <w:vAlign w:val="bottom"/>
                  <w:hideMark/>
                </w:tcPr>
                <w:p w14:paraId="12F3638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E3DA13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D5D66E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492F5949"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73E646"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655F2C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DETS CIOCANA</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4EC289"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2038</w:t>
                  </w:r>
                </w:p>
              </w:tc>
              <w:tc>
                <w:tcPr>
                  <w:tcW w:w="541" w:type="dxa"/>
                  <w:tcBorders>
                    <w:top w:val="nil"/>
                    <w:left w:val="nil"/>
                    <w:bottom w:val="single" w:sz="4" w:space="0" w:color="auto"/>
                    <w:right w:val="single" w:sz="4" w:space="0" w:color="auto"/>
                  </w:tcBorders>
                  <w:shd w:val="clear" w:color="auto" w:fill="auto"/>
                  <w:noWrap/>
                  <w:vAlign w:val="bottom"/>
                  <w:hideMark/>
                </w:tcPr>
                <w:p w14:paraId="2A89D53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04C66C5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4B36FDA7" w14:textId="2BB799FC"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7ADC46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0054DAB2" w14:textId="3D9B2679"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2569D6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5FE06D5A" w14:textId="041FC634"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677B0797"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FCFF920" w14:textId="086A0CD5"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28951BE4" w14:textId="52036EFD"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B5BB67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08730B3C" w14:textId="68C5BF4B"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082ABC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7004C6DC" w14:textId="054882DB"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24DD06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7E4090D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E02C79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BAF606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211BE3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6DB9F37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1BD95F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12DE82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1C5F78BF"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88125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4D9412F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44A8AAB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15A9A9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28E5468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7ED00720" w14:textId="49D0C08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0DAE658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76793B69" w14:textId="68770B5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3E92FC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43DA5F86" w14:textId="39FB75C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0BBE833D"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B8F720B" w14:textId="75DF1F3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3916EC15" w14:textId="7EE142D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F6BC48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600" w:type="dxa"/>
                  <w:tcBorders>
                    <w:top w:val="nil"/>
                    <w:left w:val="nil"/>
                    <w:bottom w:val="single" w:sz="4" w:space="0" w:color="auto"/>
                    <w:right w:val="single" w:sz="4" w:space="0" w:color="auto"/>
                  </w:tcBorders>
                  <w:shd w:val="clear" w:color="auto" w:fill="auto"/>
                  <w:noWrap/>
                  <w:vAlign w:val="bottom"/>
                  <w:hideMark/>
                </w:tcPr>
                <w:p w14:paraId="245F8C9F" w14:textId="22CDB76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0A262D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70" w:type="dxa"/>
                  <w:tcBorders>
                    <w:top w:val="nil"/>
                    <w:left w:val="nil"/>
                    <w:bottom w:val="single" w:sz="4" w:space="0" w:color="auto"/>
                    <w:right w:val="single" w:sz="4" w:space="0" w:color="auto"/>
                  </w:tcBorders>
                  <w:shd w:val="clear" w:color="auto" w:fill="auto"/>
                  <w:noWrap/>
                  <w:vAlign w:val="bottom"/>
                  <w:hideMark/>
                </w:tcPr>
                <w:p w14:paraId="70B78D7A" w14:textId="4902A68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CBB6F5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DAA4E5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198B55B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165051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B81C7A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43" w:type="dxa"/>
                  <w:tcBorders>
                    <w:top w:val="nil"/>
                    <w:left w:val="nil"/>
                    <w:bottom w:val="single" w:sz="4" w:space="0" w:color="auto"/>
                    <w:right w:val="single" w:sz="4" w:space="0" w:color="auto"/>
                  </w:tcBorders>
                  <w:shd w:val="clear" w:color="auto" w:fill="auto"/>
                  <w:noWrap/>
                  <w:vAlign w:val="bottom"/>
                  <w:hideMark/>
                </w:tcPr>
                <w:p w14:paraId="6CD5529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ECF687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5E77AD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6B27BEC7"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5A8028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6976491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79DED2D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744B79F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0E93D0B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57BB461D" w14:textId="05BBE31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467D988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5B508220" w14:textId="14038C8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A9CE9B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30BF7830" w14:textId="6731C53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E5B1D1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C728754" w14:textId="26BD7C6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10BE7CB5" w14:textId="7B68C4F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6C2E16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600" w:type="dxa"/>
                  <w:tcBorders>
                    <w:top w:val="nil"/>
                    <w:left w:val="nil"/>
                    <w:bottom w:val="single" w:sz="4" w:space="0" w:color="auto"/>
                    <w:right w:val="single" w:sz="4" w:space="0" w:color="auto"/>
                  </w:tcBorders>
                  <w:shd w:val="clear" w:color="auto" w:fill="auto"/>
                  <w:noWrap/>
                  <w:vAlign w:val="bottom"/>
                  <w:hideMark/>
                </w:tcPr>
                <w:p w14:paraId="2D4E085B" w14:textId="7D58678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5A3601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70" w:type="dxa"/>
                  <w:tcBorders>
                    <w:top w:val="nil"/>
                    <w:left w:val="nil"/>
                    <w:bottom w:val="single" w:sz="4" w:space="0" w:color="auto"/>
                    <w:right w:val="single" w:sz="4" w:space="0" w:color="auto"/>
                  </w:tcBorders>
                  <w:shd w:val="clear" w:color="auto" w:fill="auto"/>
                  <w:noWrap/>
                  <w:vAlign w:val="bottom"/>
                  <w:hideMark/>
                </w:tcPr>
                <w:p w14:paraId="07AAA582" w14:textId="4389A54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89C1A7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7AFD71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FDC60D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47C8BE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910B8D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43" w:type="dxa"/>
                  <w:tcBorders>
                    <w:top w:val="nil"/>
                    <w:left w:val="nil"/>
                    <w:bottom w:val="single" w:sz="4" w:space="0" w:color="auto"/>
                    <w:right w:val="single" w:sz="4" w:space="0" w:color="auto"/>
                  </w:tcBorders>
                  <w:shd w:val="clear" w:color="auto" w:fill="auto"/>
                  <w:noWrap/>
                  <w:vAlign w:val="bottom"/>
                  <w:hideMark/>
                </w:tcPr>
                <w:p w14:paraId="618F333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DABD60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43E0A8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51A9909A"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ECEC64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D99D13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60FCC83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C9A6CA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2B48229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09647485" w14:textId="1297586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6DD6CE7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64BC3F6A" w14:textId="53277B0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4D9B3B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4ED0C7D4" w14:textId="2CA78EF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9826218"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A8EE104" w14:textId="1877DDB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165B177E" w14:textId="33236D6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FA109B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600" w:type="dxa"/>
                  <w:tcBorders>
                    <w:top w:val="nil"/>
                    <w:left w:val="nil"/>
                    <w:bottom w:val="single" w:sz="4" w:space="0" w:color="auto"/>
                    <w:right w:val="single" w:sz="4" w:space="0" w:color="auto"/>
                  </w:tcBorders>
                  <w:shd w:val="clear" w:color="auto" w:fill="auto"/>
                  <w:noWrap/>
                  <w:vAlign w:val="bottom"/>
                  <w:hideMark/>
                </w:tcPr>
                <w:p w14:paraId="1FFEECF4" w14:textId="71289E3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1D511F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70" w:type="dxa"/>
                  <w:tcBorders>
                    <w:top w:val="nil"/>
                    <w:left w:val="nil"/>
                    <w:bottom w:val="single" w:sz="4" w:space="0" w:color="auto"/>
                    <w:right w:val="single" w:sz="4" w:space="0" w:color="auto"/>
                  </w:tcBorders>
                  <w:shd w:val="clear" w:color="auto" w:fill="auto"/>
                  <w:noWrap/>
                  <w:vAlign w:val="bottom"/>
                  <w:hideMark/>
                </w:tcPr>
                <w:p w14:paraId="361E71CB" w14:textId="3E4AC51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9003C6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291A3C7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E8DB30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4D194C8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E990FE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43" w:type="dxa"/>
                  <w:tcBorders>
                    <w:top w:val="nil"/>
                    <w:left w:val="nil"/>
                    <w:bottom w:val="single" w:sz="4" w:space="0" w:color="auto"/>
                    <w:right w:val="single" w:sz="4" w:space="0" w:color="auto"/>
                  </w:tcBorders>
                  <w:shd w:val="clear" w:color="auto" w:fill="auto"/>
                  <w:noWrap/>
                  <w:vAlign w:val="bottom"/>
                  <w:hideMark/>
                </w:tcPr>
                <w:p w14:paraId="3105359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FE4CB2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7534C7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63DCC190"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711D4B4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BDD826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4BE0E92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E5D9CC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3853E0F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04EB6FA8" w14:textId="5577581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57272B6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14B961DE" w14:textId="5E7C7E8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6EC4BC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5222F73D" w14:textId="690E855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77452CB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273CDFB" w14:textId="29FA02A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4FB1E276" w14:textId="6D1D357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6499F4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600" w:type="dxa"/>
                  <w:tcBorders>
                    <w:top w:val="nil"/>
                    <w:left w:val="nil"/>
                    <w:bottom w:val="single" w:sz="4" w:space="0" w:color="auto"/>
                    <w:right w:val="single" w:sz="4" w:space="0" w:color="auto"/>
                  </w:tcBorders>
                  <w:shd w:val="clear" w:color="auto" w:fill="auto"/>
                  <w:noWrap/>
                  <w:vAlign w:val="bottom"/>
                  <w:hideMark/>
                </w:tcPr>
                <w:p w14:paraId="016F9161" w14:textId="1498E32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028E70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70" w:type="dxa"/>
                  <w:tcBorders>
                    <w:top w:val="nil"/>
                    <w:left w:val="nil"/>
                    <w:bottom w:val="single" w:sz="4" w:space="0" w:color="auto"/>
                    <w:right w:val="single" w:sz="4" w:space="0" w:color="auto"/>
                  </w:tcBorders>
                  <w:shd w:val="clear" w:color="auto" w:fill="auto"/>
                  <w:noWrap/>
                  <w:vAlign w:val="bottom"/>
                  <w:hideMark/>
                </w:tcPr>
                <w:p w14:paraId="2C3367D0" w14:textId="48504A8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B224FF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7E63B90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2BDF2F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5C1FF5F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12C73C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43" w:type="dxa"/>
                  <w:tcBorders>
                    <w:top w:val="nil"/>
                    <w:left w:val="nil"/>
                    <w:bottom w:val="single" w:sz="4" w:space="0" w:color="auto"/>
                    <w:right w:val="single" w:sz="4" w:space="0" w:color="auto"/>
                  </w:tcBorders>
                  <w:shd w:val="clear" w:color="auto" w:fill="auto"/>
                  <w:noWrap/>
                  <w:vAlign w:val="bottom"/>
                  <w:hideMark/>
                </w:tcPr>
                <w:p w14:paraId="3161773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327A3D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2C4682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58DE1BCE"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FAABE6"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9A1505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DETS RÎȘCANI</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935BB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2036</w:t>
                  </w:r>
                </w:p>
              </w:tc>
              <w:tc>
                <w:tcPr>
                  <w:tcW w:w="541" w:type="dxa"/>
                  <w:tcBorders>
                    <w:top w:val="nil"/>
                    <w:left w:val="nil"/>
                    <w:bottom w:val="single" w:sz="4" w:space="0" w:color="auto"/>
                    <w:right w:val="single" w:sz="4" w:space="0" w:color="auto"/>
                  </w:tcBorders>
                  <w:shd w:val="clear" w:color="auto" w:fill="auto"/>
                  <w:noWrap/>
                  <w:vAlign w:val="bottom"/>
                  <w:hideMark/>
                </w:tcPr>
                <w:p w14:paraId="7C32541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31D1FE8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601E7627" w14:textId="4B480FAF"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0BA7B2B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3B7F5285" w14:textId="268E82F8"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E8D9BD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399FA985" w14:textId="44432821"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5C62D7B4"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D37322D" w14:textId="33D06296"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098CC08B" w14:textId="5F675121"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7C33FF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600" w:type="dxa"/>
                  <w:tcBorders>
                    <w:top w:val="nil"/>
                    <w:left w:val="nil"/>
                    <w:bottom w:val="single" w:sz="4" w:space="0" w:color="auto"/>
                    <w:right w:val="single" w:sz="4" w:space="0" w:color="auto"/>
                  </w:tcBorders>
                  <w:shd w:val="clear" w:color="auto" w:fill="auto"/>
                  <w:noWrap/>
                  <w:vAlign w:val="bottom"/>
                  <w:hideMark/>
                </w:tcPr>
                <w:p w14:paraId="18795AF8" w14:textId="19A04259"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2A3A22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570" w:type="dxa"/>
                  <w:tcBorders>
                    <w:top w:val="nil"/>
                    <w:left w:val="nil"/>
                    <w:bottom w:val="single" w:sz="4" w:space="0" w:color="auto"/>
                    <w:right w:val="single" w:sz="4" w:space="0" w:color="auto"/>
                  </w:tcBorders>
                  <w:shd w:val="clear" w:color="auto" w:fill="auto"/>
                  <w:noWrap/>
                  <w:vAlign w:val="bottom"/>
                  <w:hideMark/>
                </w:tcPr>
                <w:p w14:paraId="5A9085A3" w14:textId="341DFE44"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563A56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ACCE2B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71235EC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74F7C44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0316C1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43" w:type="dxa"/>
                  <w:tcBorders>
                    <w:top w:val="nil"/>
                    <w:left w:val="nil"/>
                    <w:bottom w:val="single" w:sz="4" w:space="0" w:color="auto"/>
                    <w:right w:val="single" w:sz="4" w:space="0" w:color="auto"/>
                  </w:tcBorders>
                  <w:shd w:val="clear" w:color="auto" w:fill="auto"/>
                  <w:noWrap/>
                  <w:vAlign w:val="bottom"/>
                  <w:hideMark/>
                </w:tcPr>
                <w:p w14:paraId="630CDD9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F9EA46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415F17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4F138572"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5BDD8E0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D9F1E8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C62F56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3B6DAB3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794E304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479FD336" w14:textId="7DB0377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5976A55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37B1FBEF" w14:textId="6C4BC17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21AC6E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184E80C4" w14:textId="314AD7B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CD083A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6AE8CB0" w14:textId="56F9EB9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4157F93B" w14:textId="1F42525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701163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w:t>
                  </w:r>
                </w:p>
              </w:tc>
              <w:tc>
                <w:tcPr>
                  <w:tcW w:w="600" w:type="dxa"/>
                  <w:tcBorders>
                    <w:top w:val="nil"/>
                    <w:left w:val="nil"/>
                    <w:bottom w:val="single" w:sz="4" w:space="0" w:color="auto"/>
                    <w:right w:val="single" w:sz="4" w:space="0" w:color="auto"/>
                  </w:tcBorders>
                  <w:shd w:val="clear" w:color="auto" w:fill="auto"/>
                  <w:noWrap/>
                  <w:vAlign w:val="bottom"/>
                  <w:hideMark/>
                </w:tcPr>
                <w:p w14:paraId="2FBEF8C7" w14:textId="4E5D725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C5AC33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70" w:type="dxa"/>
                  <w:tcBorders>
                    <w:top w:val="nil"/>
                    <w:left w:val="nil"/>
                    <w:bottom w:val="single" w:sz="4" w:space="0" w:color="auto"/>
                    <w:right w:val="single" w:sz="4" w:space="0" w:color="auto"/>
                  </w:tcBorders>
                  <w:shd w:val="clear" w:color="auto" w:fill="auto"/>
                  <w:noWrap/>
                  <w:vAlign w:val="bottom"/>
                  <w:hideMark/>
                </w:tcPr>
                <w:p w14:paraId="51009F93" w14:textId="71F7C61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FF6AEE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59FDDD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710E040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41BD5D9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8BCCDD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43" w:type="dxa"/>
                  <w:tcBorders>
                    <w:top w:val="nil"/>
                    <w:left w:val="nil"/>
                    <w:bottom w:val="single" w:sz="4" w:space="0" w:color="auto"/>
                    <w:right w:val="single" w:sz="4" w:space="0" w:color="auto"/>
                  </w:tcBorders>
                  <w:shd w:val="clear" w:color="auto" w:fill="auto"/>
                  <w:noWrap/>
                  <w:vAlign w:val="bottom"/>
                  <w:hideMark/>
                </w:tcPr>
                <w:p w14:paraId="1E3266D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EA0DC0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4C2553F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45D514F9"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AF3484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2228617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022F3F3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6998CA9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259FEF4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03AA3B2D" w14:textId="497889A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34ACE76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6836C4F1" w14:textId="30457ED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82E3FE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41570991" w14:textId="752000A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765F03A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316C86E" w14:textId="7656AE0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5C140C1C" w14:textId="67C50A5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8217A7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07632CF4" w14:textId="0D2B5E9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2C02F5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21E4AD8B" w14:textId="53D8814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CE262E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73F9D5C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528ABED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FC7CA5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EA9769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66367D2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36C314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8AAA6F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47DCADFD"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A925F0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7C53C5A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4D2E0D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1908D9C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03982F5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005CFA58" w14:textId="33E5348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09FCBE5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401FB8B3" w14:textId="7B1CD27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BFD74C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6574AA1D" w14:textId="1BC22A1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6ED28FD8"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7AEF57F" w14:textId="361C180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1E0CF69C" w14:textId="02D69E7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25D809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081BB485" w14:textId="7E8ACFD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9E90FA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6D0B7D58" w14:textId="2E5542C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CD491D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1EB4B6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AB8A31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8552F5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706578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59599D7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DFB48A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C20229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3040C420"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780B8B4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6DEB818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7ED5FF2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72AB2C0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2BC5CC4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5E3BC797" w14:textId="17F0AA7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3664E45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5798BA71" w14:textId="06C736C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9355CE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2F3A4B02" w14:textId="238C0FB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5BE3030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A5C68EF" w14:textId="1EE5405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76329786" w14:textId="4F446AA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DEBF5C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304198B5" w14:textId="0EBD3E5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F8C2C6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1F910ED1" w14:textId="0D0DAB7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AF22AC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75F559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7F62E75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051762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02F958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5C876B0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222AED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79AFF4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165FAF65"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B0DE56"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F4E537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DAA a CMC</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E60933"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12559</w:t>
                  </w:r>
                </w:p>
              </w:tc>
              <w:tc>
                <w:tcPr>
                  <w:tcW w:w="541" w:type="dxa"/>
                  <w:tcBorders>
                    <w:top w:val="nil"/>
                    <w:left w:val="nil"/>
                    <w:bottom w:val="single" w:sz="4" w:space="0" w:color="auto"/>
                    <w:right w:val="single" w:sz="4" w:space="0" w:color="auto"/>
                  </w:tcBorders>
                  <w:shd w:val="clear" w:color="auto" w:fill="auto"/>
                  <w:noWrap/>
                  <w:vAlign w:val="bottom"/>
                  <w:hideMark/>
                </w:tcPr>
                <w:p w14:paraId="65FBD04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087128A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78315CBD" w14:textId="60777A26"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8BFC93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1096A430" w14:textId="6295EB0E"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E25862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009943CB" w14:textId="2C675D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7F5DD51E"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2CA7553" w14:textId="2EF81C2E"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7C03BBEE" w14:textId="14796EDB"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64D897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600" w:type="dxa"/>
                  <w:tcBorders>
                    <w:top w:val="nil"/>
                    <w:left w:val="nil"/>
                    <w:bottom w:val="single" w:sz="4" w:space="0" w:color="auto"/>
                    <w:right w:val="single" w:sz="4" w:space="0" w:color="auto"/>
                  </w:tcBorders>
                  <w:shd w:val="clear" w:color="auto" w:fill="auto"/>
                  <w:noWrap/>
                  <w:vAlign w:val="bottom"/>
                  <w:hideMark/>
                </w:tcPr>
                <w:p w14:paraId="579E8C8A" w14:textId="119E8C1F"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88277D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403BD6DC" w14:textId="0A723C75"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2AE7D7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B109D1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176676A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50E2F0E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D41DBD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529C7B5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8355C9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22E542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14ED1F83"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FD86AE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5C89855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22CC623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15DFF5F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4BEC3B2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16" w:type="dxa"/>
                  <w:tcBorders>
                    <w:top w:val="nil"/>
                    <w:left w:val="nil"/>
                    <w:bottom w:val="single" w:sz="4" w:space="0" w:color="auto"/>
                    <w:right w:val="single" w:sz="4" w:space="0" w:color="auto"/>
                  </w:tcBorders>
                  <w:shd w:val="clear" w:color="auto" w:fill="auto"/>
                  <w:noWrap/>
                  <w:vAlign w:val="bottom"/>
                  <w:hideMark/>
                </w:tcPr>
                <w:p w14:paraId="40A738DD" w14:textId="5B861B0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6A3D585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2" w:type="dxa"/>
                  <w:tcBorders>
                    <w:top w:val="nil"/>
                    <w:left w:val="nil"/>
                    <w:bottom w:val="single" w:sz="4" w:space="0" w:color="auto"/>
                    <w:right w:val="single" w:sz="4" w:space="0" w:color="auto"/>
                  </w:tcBorders>
                  <w:shd w:val="clear" w:color="auto" w:fill="auto"/>
                  <w:noWrap/>
                  <w:vAlign w:val="bottom"/>
                  <w:hideMark/>
                </w:tcPr>
                <w:p w14:paraId="4E73DF12" w14:textId="42C7190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E4195F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67" w:type="dxa"/>
                  <w:tcBorders>
                    <w:top w:val="nil"/>
                    <w:left w:val="nil"/>
                    <w:bottom w:val="single" w:sz="4" w:space="0" w:color="auto"/>
                    <w:right w:val="single" w:sz="4" w:space="0" w:color="auto"/>
                  </w:tcBorders>
                  <w:shd w:val="clear" w:color="auto" w:fill="auto"/>
                  <w:noWrap/>
                  <w:vAlign w:val="bottom"/>
                  <w:hideMark/>
                </w:tcPr>
                <w:p w14:paraId="45234288" w14:textId="6B17302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3A4481DA"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4BC2369" w14:textId="4DC5D9E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70" w:type="dxa"/>
                  <w:tcBorders>
                    <w:top w:val="nil"/>
                    <w:left w:val="nil"/>
                    <w:bottom w:val="single" w:sz="4" w:space="0" w:color="auto"/>
                    <w:right w:val="single" w:sz="4" w:space="0" w:color="auto"/>
                  </w:tcBorders>
                  <w:shd w:val="clear" w:color="auto" w:fill="auto"/>
                  <w:noWrap/>
                  <w:vAlign w:val="bottom"/>
                  <w:hideMark/>
                </w:tcPr>
                <w:p w14:paraId="70A76256" w14:textId="73A00F0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0746C5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600" w:type="dxa"/>
                  <w:tcBorders>
                    <w:top w:val="nil"/>
                    <w:left w:val="nil"/>
                    <w:bottom w:val="single" w:sz="4" w:space="0" w:color="auto"/>
                    <w:right w:val="single" w:sz="4" w:space="0" w:color="auto"/>
                  </w:tcBorders>
                  <w:shd w:val="clear" w:color="auto" w:fill="auto"/>
                  <w:noWrap/>
                  <w:vAlign w:val="bottom"/>
                  <w:hideMark/>
                </w:tcPr>
                <w:p w14:paraId="6D6DEDA5" w14:textId="5E6C7F7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D42C62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70" w:type="dxa"/>
                  <w:tcBorders>
                    <w:top w:val="nil"/>
                    <w:left w:val="nil"/>
                    <w:bottom w:val="single" w:sz="4" w:space="0" w:color="auto"/>
                    <w:right w:val="single" w:sz="4" w:space="0" w:color="auto"/>
                  </w:tcBorders>
                  <w:shd w:val="clear" w:color="auto" w:fill="auto"/>
                  <w:noWrap/>
                  <w:vAlign w:val="bottom"/>
                  <w:hideMark/>
                </w:tcPr>
                <w:p w14:paraId="75B9BAA2" w14:textId="0363CE6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139D69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2E9E42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71E3684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C24C5D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9C66C6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w:t>
                  </w:r>
                </w:p>
              </w:tc>
              <w:tc>
                <w:tcPr>
                  <w:tcW w:w="543" w:type="dxa"/>
                  <w:tcBorders>
                    <w:top w:val="nil"/>
                    <w:left w:val="nil"/>
                    <w:bottom w:val="single" w:sz="4" w:space="0" w:color="auto"/>
                    <w:right w:val="single" w:sz="4" w:space="0" w:color="auto"/>
                  </w:tcBorders>
                  <w:shd w:val="clear" w:color="auto" w:fill="auto"/>
                  <w:noWrap/>
                  <w:vAlign w:val="bottom"/>
                  <w:hideMark/>
                </w:tcPr>
                <w:p w14:paraId="7C394DB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D68067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ACD66C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5F37FDC8"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7DEAD0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64A171A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2091509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1CE34B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5EC8DAE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5A82668C" w14:textId="26F31AA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57A4F428" w14:textId="5751E6C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6E378090" w14:textId="7C0E90D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24C12F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1B7F807E" w14:textId="55D8802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DCEEB4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5712C8E" w14:textId="71365E5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61C701B3" w14:textId="0F85141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A99201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4F7214E9" w14:textId="7F6065E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6990BB4" w14:textId="303368C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1862E929" w14:textId="3F4763F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5978B8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1D0BEB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00324C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4B91CC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C91E2F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33BE3DA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4503AF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4F2BC8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73F9087A"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020FC0F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16A9F5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6270B89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196712E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224C5C9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6689DE2E" w14:textId="30D229F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521D812C" w14:textId="09A07D3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50F1557E" w14:textId="6CEF64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5699AD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4F6507CF" w14:textId="36EE14C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20A6B3B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1E97FC4" w14:textId="1624E66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25D76DCD" w14:textId="7C53BE1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49C250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0544F89A" w14:textId="33AFB4B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201DFDF" w14:textId="76B3E9C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5CF64321" w14:textId="6F1B69D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E7A300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090D9E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005363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52FE6D2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5AEEE8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2300833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5B678D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447DD1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3756301C"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3C723B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79B1CC7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4FDD8C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9724BB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00CEB9B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15B86BD8" w14:textId="09B7C64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5F0DEB53" w14:textId="6A3D762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3409BACA" w14:textId="52EB1F3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44F9B4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2D046F46" w14:textId="2118974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2F8AD520"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E2D95BE" w14:textId="364927D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55D64E2C" w14:textId="1D944F2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981D80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25489F64" w14:textId="5DAC607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E1790EC" w14:textId="38FE311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191FA685" w14:textId="0AAD1F9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E440EA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3F35B2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9FC1D5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7FF55D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98D303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688055C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E68517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309503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76CDB81E"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806084"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8036039"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DSE</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8F545C"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14278</w:t>
                  </w:r>
                </w:p>
              </w:tc>
              <w:tc>
                <w:tcPr>
                  <w:tcW w:w="541" w:type="dxa"/>
                  <w:tcBorders>
                    <w:top w:val="nil"/>
                    <w:left w:val="nil"/>
                    <w:bottom w:val="single" w:sz="4" w:space="0" w:color="auto"/>
                    <w:right w:val="single" w:sz="4" w:space="0" w:color="auto"/>
                  </w:tcBorders>
                  <w:shd w:val="clear" w:color="auto" w:fill="auto"/>
                  <w:noWrap/>
                  <w:vAlign w:val="bottom"/>
                  <w:hideMark/>
                </w:tcPr>
                <w:p w14:paraId="59A410B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0621CDF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6,5</w:t>
                  </w:r>
                </w:p>
              </w:tc>
              <w:tc>
                <w:tcPr>
                  <w:tcW w:w="516" w:type="dxa"/>
                  <w:tcBorders>
                    <w:top w:val="nil"/>
                    <w:left w:val="nil"/>
                    <w:bottom w:val="single" w:sz="4" w:space="0" w:color="auto"/>
                    <w:right w:val="single" w:sz="4" w:space="0" w:color="auto"/>
                  </w:tcBorders>
                  <w:shd w:val="clear" w:color="auto" w:fill="auto"/>
                  <w:noWrap/>
                  <w:vAlign w:val="bottom"/>
                  <w:hideMark/>
                </w:tcPr>
                <w:p w14:paraId="59E65663" w14:textId="2EA2739F"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748D0AE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72" w:type="dxa"/>
                  <w:tcBorders>
                    <w:top w:val="nil"/>
                    <w:left w:val="nil"/>
                    <w:bottom w:val="single" w:sz="4" w:space="0" w:color="auto"/>
                    <w:right w:val="single" w:sz="4" w:space="0" w:color="auto"/>
                  </w:tcBorders>
                  <w:shd w:val="clear" w:color="auto" w:fill="auto"/>
                  <w:noWrap/>
                  <w:vAlign w:val="bottom"/>
                  <w:hideMark/>
                </w:tcPr>
                <w:p w14:paraId="61E7175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976D75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6,5</w:t>
                  </w:r>
                </w:p>
              </w:tc>
              <w:tc>
                <w:tcPr>
                  <w:tcW w:w="567" w:type="dxa"/>
                  <w:tcBorders>
                    <w:top w:val="nil"/>
                    <w:left w:val="nil"/>
                    <w:bottom w:val="single" w:sz="4" w:space="0" w:color="auto"/>
                    <w:right w:val="single" w:sz="4" w:space="0" w:color="auto"/>
                  </w:tcBorders>
                  <w:shd w:val="clear" w:color="auto" w:fill="auto"/>
                  <w:noWrap/>
                  <w:vAlign w:val="bottom"/>
                  <w:hideMark/>
                </w:tcPr>
                <w:p w14:paraId="5F301F09" w14:textId="293A6D56"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4B8D28D1"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42394FA" w14:textId="7C1EFAEC"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70" w:type="dxa"/>
                  <w:tcBorders>
                    <w:top w:val="nil"/>
                    <w:left w:val="nil"/>
                    <w:bottom w:val="single" w:sz="4" w:space="0" w:color="auto"/>
                    <w:right w:val="single" w:sz="4" w:space="0" w:color="auto"/>
                  </w:tcBorders>
                  <w:shd w:val="clear" w:color="auto" w:fill="auto"/>
                  <w:noWrap/>
                  <w:vAlign w:val="bottom"/>
                  <w:hideMark/>
                </w:tcPr>
                <w:p w14:paraId="74172C8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8155FD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w:t>
                  </w:r>
                </w:p>
              </w:tc>
              <w:tc>
                <w:tcPr>
                  <w:tcW w:w="600" w:type="dxa"/>
                  <w:tcBorders>
                    <w:top w:val="nil"/>
                    <w:left w:val="nil"/>
                    <w:bottom w:val="single" w:sz="4" w:space="0" w:color="auto"/>
                    <w:right w:val="single" w:sz="4" w:space="0" w:color="auto"/>
                  </w:tcBorders>
                  <w:shd w:val="clear" w:color="auto" w:fill="auto"/>
                  <w:noWrap/>
                  <w:vAlign w:val="bottom"/>
                  <w:hideMark/>
                </w:tcPr>
                <w:p w14:paraId="27097DC3" w14:textId="41813629"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22A7B7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w:t>
                  </w:r>
                </w:p>
              </w:tc>
              <w:tc>
                <w:tcPr>
                  <w:tcW w:w="570" w:type="dxa"/>
                  <w:tcBorders>
                    <w:top w:val="nil"/>
                    <w:left w:val="nil"/>
                    <w:bottom w:val="single" w:sz="4" w:space="0" w:color="auto"/>
                    <w:right w:val="single" w:sz="4" w:space="0" w:color="auto"/>
                  </w:tcBorders>
                  <w:shd w:val="clear" w:color="auto" w:fill="auto"/>
                  <w:noWrap/>
                  <w:vAlign w:val="bottom"/>
                  <w:hideMark/>
                </w:tcPr>
                <w:p w14:paraId="22CEF44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87DE0D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1026A56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5A3C3B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6698543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CE4A5A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-0,5</w:t>
                  </w:r>
                </w:p>
              </w:tc>
              <w:tc>
                <w:tcPr>
                  <w:tcW w:w="543" w:type="dxa"/>
                  <w:tcBorders>
                    <w:top w:val="nil"/>
                    <w:left w:val="nil"/>
                    <w:bottom w:val="single" w:sz="4" w:space="0" w:color="auto"/>
                    <w:right w:val="single" w:sz="4" w:space="0" w:color="auto"/>
                  </w:tcBorders>
                  <w:shd w:val="clear" w:color="auto" w:fill="auto"/>
                  <w:noWrap/>
                  <w:vAlign w:val="bottom"/>
                  <w:hideMark/>
                </w:tcPr>
                <w:p w14:paraId="6AB44E1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22582F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41EA5D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-0,5</w:t>
                  </w:r>
                </w:p>
              </w:tc>
            </w:tr>
            <w:tr w:rsidR="00837BD6" w:rsidRPr="009E5B39" w14:paraId="123F4532"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4D1D56E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799AB28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EBEE49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3C554EA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2FB71A8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6,5</w:t>
                  </w:r>
                </w:p>
              </w:tc>
              <w:tc>
                <w:tcPr>
                  <w:tcW w:w="516" w:type="dxa"/>
                  <w:tcBorders>
                    <w:top w:val="nil"/>
                    <w:left w:val="nil"/>
                    <w:bottom w:val="single" w:sz="4" w:space="0" w:color="auto"/>
                    <w:right w:val="single" w:sz="4" w:space="0" w:color="auto"/>
                  </w:tcBorders>
                  <w:shd w:val="clear" w:color="auto" w:fill="auto"/>
                  <w:noWrap/>
                  <w:vAlign w:val="bottom"/>
                  <w:hideMark/>
                </w:tcPr>
                <w:p w14:paraId="1E82BB24" w14:textId="1507AC6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85209B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572" w:type="dxa"/>
                  <w:tcBorders>
                    <w:top w:val="nil"/>
                    <w:left w:val="nil"/>
                    <w:bottom w:val="single" w:sz="4" w:space="0" w:color="auto"/>
                    <w:right w:val="single" w:sz="4" w:space="0" w:color="auto"/>
                  </w:tcBorders>
                  <w:shd w:val="clear" w:color="auto" w:fill="auto"/>
                  <w:noWrap/>
                  <w:vAlign w:val="bottom"/>
                  <w:hideMark/>
                </w:tcPr>
                <w:p w14:paraId="1E4C008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4BC503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6,5</w:t>
                  </w:r>
                </w:p>
              </w:tc>
              <w:tc>
                <w:tcPr>
                  <w:tcW w:w="567" w:type="dxa"/>
                  <w:tcBorders>
                    <w:top w:val="nil"/>
                    <w:left w:val="nil"/>
                    <w:bottom w:val="single" w:sz="4" w:space="0" w:color="auto"/>
                    <w:right w:val="single" w:sz="4" w:space="0" w:color="auto"/>
                  </w:tcBorders>
                  <w:shd w:val="clear" w:color="auto" w:fill="auto"/>
                  <w:noWrap/>
                  <w:vAlign w:val="bottom"/>
                  <w:hideMark/>
                </w:tcPr>
                <w:p w14:paraId="275D6741" w14:textId="626D6EF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6C0214B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54F0154" w14:textId="0163C82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570" w:type="dxa"/>
                  <w:tcBorders>
                    <w:top w:val="nil"/>
                    <w:left w:val="nil"/>
                    <w:bottom w:val="single" w:sz="4" w:space="0" w:color="auto"/>
                    <w:right w:val="single" w:sz="4" w:space="0" w:color="auto"/>
                  </w:tcBorders>
                  <w:shd w:val="clear" w:color="auto" w:fill="auto"/>
                  <w:noWrap/>
                  <w:vAlign w:val="bottom"/>
                  <w:hideMark/>
                </w:tcPr>
                <w:p w14:paraId="02F2CFC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818E99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2EC634D4" w14:textId="1B45DBA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4E573D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70" w:type="dxa"/>
                  <w:tcBorders>
                    <w:top w:val="nil"/>
                    <w:left w:val="nil"/>
                    <w:bottom w:val="single" w:sz="4" w:space="0" w:color="auto"/>
                    <w:right w:val="single" w:sz="4" w:space="0" w:color="auto"/>
                  </w:tcBorders>
                  <w:shd w:val="clear" w:color="auto" w:fill="auto"/>
                  <w:noWrap/>
                  <w:vAlign w:val="bottom"/>
                  <w:hideMark/>
                </w:tcPr>
                <w:p w14:paraId="719AF71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1063FB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47C6396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1A94DE9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5C2B125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B6BF0F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-6,5</w:t>
                  </w:r>
                </w:p>
              </w:tc>
              <w:tc>
                <w:tcPr>
                  <w:tcW w:w="543" w:type="dxa"/>
                  <w:tcBorders>
                    <w:top w:val="nil"/>
                    <w:left w:val="nil"/>
                    <w:bottom w:val="single" w:sz="4" w:space="0" w:color="auto"/>
                    <w:right w:val="single" w:sz="4" w:space="0" w:color="auto"/>
                  </w:tcBorders>
                  <w:shd w:val="clear" w:color="auto" w:fill="auto"/>
                  <w:noWrap/>
                  <w:vAlign w:val="bottom"/>
                  <w:hideMark/>
                </w:tcPr>
                <w:p w14:paraId="77073D1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BC0939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5EA22A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r>
            <w:tr w:rsidR="00837BD6" w:rsidRPr="009E5B39" w14:paraId="1098A772"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204E465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75EC38E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0250384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A8C02E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4857AB6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6657D008" w14:textId="6207A5A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51D4AA88" w14:textId="5A6ABC4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669F0543" w14:textId="4BC6BE7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D99BDB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0E1028A5" w14:textId="2286F6E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1D322132"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CF3EB87" w14:textId="26E0E80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549F6C9D" w14:textId="3946926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316A35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168443ED" w14:textId="636B6BD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B2EAB59" w14:textId="2B14B23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7870546A" w14:textId="540651D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86353A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58E06B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14A45F6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00ED438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94503C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57AE28A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F59973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B0A2E2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3D8313FB"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4B5C72C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4ABA57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7F6AA8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0CF8EC0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4483094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7208C37C" w14:textId="117E2E6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55405732" w14:textId="30C6C69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205DE96A" w14:textId="54BE3A6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DD04F9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4B8A23A7" w14:textId="20D3FC5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032E851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D86A8AB" w14:textId="27304E0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02016A49" w14:textId="29C23E9F"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B5734E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2B957F94" w14:textId="1BE927E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14C0C54" w14:textId="5AAD00C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7D81A640" w14:textId="3A043BD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1D3E27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8A4D9F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174A724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1E0F0BA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23FA55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1EB5FA7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657034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326407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487476E3"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8A2515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61813B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54B8E61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45ECF7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54494E3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1B4B3D60" w14:textId="4F78ADF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307E3CBB" w14:textId="63B727D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75EC95E4" w14:textId="04810D2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03F425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65E1D169" w14:textId="65E31A3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45A189C4"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32B8B01" w14:textId="2AB38FD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58806161" w14:textId="7D2C1FD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024B30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2AF53038" w14:textId="20CD5CB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B47A6EB" w14:textId="016A663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26DB3F4B" w14:textId="69DF48D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417E36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637AF6D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7F5CD14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6D5609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2E76BE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6324529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3814F7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2D31FB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6D22C61F" w14:textId="77777777" w:rsidTr="00B32230">
              <w:trPr>
                <w:trHeight w:val="20"/>
              </w:trPr>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01C04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c>
                <w:tcPr>
                  <w:tcW w:w="106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93A272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DS a CMC</w:t>
                  </w:r>
                </w:p>
              </w:tc>
              <w:tc>
                <w:tcPr>
                  <w:tcW w:w="7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FCE853"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14270</w:t>
                  </w:r>
                </w:p>
              </w:tc>
              <w:tc>
                <w:tcPr>
                  <w:tcW w:w="541" w:type="dxa"/>
                  <w:tcBorders>
                    <w:top w:val="nil"/>
                    <w:left w:val="nil"/>
                    <w:bottom w:val="single" w:sz="4" w:space="0" w:color="auto"/>
                    <w:right w:val="single" w:sz="4" w:space="0" w:color="auto"/>
                  </w:tcBorders>
                  <w:shd w:val="clear" w:color="auto" w:fill="auto"/>
                  <w:noWrap/>
                  <w:vAlign w:val="bottom"/>
                  <w:hideMark/>
                </w:tcPr>
                <w:p w14:paraId="4F6973D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1B8F02F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w:t>
                  </w:r>
                </w:p>
              </w:tc>
              <w:tc>
                <w:tcPr>
                  <w:tcW w:w="516" w:type="dxa"/>
                  <w:tcBorders>
                    <w:top w:val="nil"/>
                    <w:left w:val="nil"/>
                    <w:bottom w:val="single" w:sz="4" w:space="0" w:color="auto"/>
                    <w:right w:val="single" w:sz="4" w:space="0" w:color="auto"/>
                  </w:tcBorders>
                  <w:shd w:val="clear" w:color="auto" w:fill="auto"/>
                  <w:noWrap/>
                  <w:vAlign w:val="bottom"/>
                  <w:hideMark/>
                </w:tcPr>
                <w:p w14:paraId="58706B41" w14:textId="35FAD858"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6BCF940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w:t>
                  </w:r>
                </w:p>
              </w:tc>
              <w:tc>
                <w:tcPr>
                  <w:tcW w:w="572" w:type="dxa"/>
                  <w:tcBorders>
                    <w:top w:val="nil"/>
                    <w:left w:val="nil"/>
                    <w:bottom w:val="single" w:sz="4" w:space="0" w:color="auto"/>
                    <w:right w:val="single" w:sz="4" w:space="0" w:color="auto"/>
                  </w:tcBorders>
                  <w:shd w:val="clear" w:color="auto" w:fill="auto"/>
                  <w:noWrap/>
                  <w:vAlign w:val="bottom"/>
                  <w:hideMark/>
                </w:tcPr>
                <w:p w14:paraId="156F7EB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15D94D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w:t>
                  </w:r>
                </w:p>
              </w:tc>
              <w:tc>
                <w:tcPr>
                  <w:tcW w:w="567" w:type="dxa"/>
                  <w:tcBorders>
                    <w:top w:val="nil"/>
                    <w:left w:val="nil"/>
                    <w:bottom w:val="single" w:sz="4" w:space="0" w:color="auto"/>
                    <w:right w:val="single" w:sz="4" w:space="0" w:color="auto"/>
                  </w:tcBorders>
                  <w:shd w:val="clear" w:color="auto" w:fill="auto"/>
                  <w:noWrap/>
                  <w:vAlign w:val="bottom"/>
                  <w:hideMark/>
                </w:tcPr>
                <w:p w14:paraId="2E23CBD5" w14:textId="734A84A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nil"/>
                  </w:tcBorders>
                </w:tcPr>
                <w:p w14:paraId="61818CED"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E4F680C" w14:textId="612EF533"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w:t>
                  </w:r>
                </w:p>
              </w:tc>
              <w:tc>
                <w:tcPr>
                  <w:tcW w:w="570" w:type="dxa"/>
                  <w:tcBorders>
                    <w:top w:val="nil"/>
                    <w:left w:val="nil"/>
                    <w:bottom w:val="single" w:sz="4" w:space="0" w:color="auto"/>
                    <w:right w:val="single" w:sz="4" w:space="0" w:color="auto"/>
                  </w:tcBorders>
                  <w:shd w:val="clear" w:color="auto" w:fill="auto"/>
                  <w:noWrap/>
                  <w:vAlign w:val="bottom"/>
                  <w:hideMark/>
                </w:tcPr>
                <w:p w14:paraId="37575AA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D3D2DF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14</w:t>
                  </w:r>
                </w:p>
              </w:tc>
              <w:tc>
                <w:tcPr>
                  <w:tcW w:w="600" w:type="dxa"/>
                  <w:tcBorders>
                    <w:top w:val="nil"/>
                    <w:left w:val="nil"/>
                    <w:bottom w:val="single" w:sz="4" w:space="0" w:color="auto"/>
                    <w:right w:val="single" w:sz="4" w:space="0" w:color="auto"/>
                  </w:tcBorders>
                  <w:shd w:val="clear" w:color="auto" w:fill="auto"/>
                  <w:noWrap/>
                  <w:vAlign w:val="bottom"/>
                  <w:hideMark/>
                </w:tcPr>
                <w:p w14:paraId="1F18C475" w14:textId="0CCFEEF6"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43575A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9</w:t>
                  </w:r>
                </w:p>
              </w:tc>
              <w:tc>
                <w:tcPr>
                  <w:tcW w:w="570" w:type="dxa"/>
                  <w:tcBorders>
                    <w:top w:val="nil"/>
                    <w:left w:val="nil"/>
                    <w:bottom w:val="single" w:sz="4" w:space="0" w:color="auto"/>
                    <w:right w:val="single" w:sz="4" w:space="0" w:color="auto"/>
                  </w:tcBorders>
                  <w:shd w:val="clear" w:color="auto" w:fill="auto"/>
                  <w:noWrap/>
                  <w:vAlign w:val="bottom"/>
                  <w:hideMark/>
                </w:tcPr>
                <w:p w14:paraId="61F0380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7A237A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053D52E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1CA2A7A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2706D14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B96F37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543" w:type="dxa"/>
                  <w:tcBorders>
                    <w:top w:val="nil"/>
                    <w:left w:val="nil"/>
                    <w:bottom w:val="single" w:sz="4" w:space="0" w:color="auto"/>
                    <w:right w:val="single" w:sz="4" w:space="0" w:color="auto"/>
                  </w:tcBorders>
                  <w:shd w:val="clear" w:color="auto" w:fill="auto"/>
                  <w:noWrap/>
                  <w:vAlign w:val="bottom"/>
                  <w:hideMark/>
                </w:tcPr>
                <w:p w14:paraId="7908282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8F931E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AFCBE7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r>
            <w:tr w:rsidR="00837BD6" w:rsidRPr="009E5B39" w14:paraId="71B1172E"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6A1781A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22D4ECC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5D8B9E3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5040EE8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660CAA3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w:t>
                  </w:r>
                </w:p>
              </w:tc>
              <w:tc>
                <w:tcPr>
                  <w:tcW w:w="516" w:type="dxa"/>
                  <w:tcBorders>
                    <w:top w:val="nil"/>
                    <w:left w:val="nil"/>
                    <w:bottom w:val="single" w:sz="4" w:space="0" w:color="auto"/>
                    <w:right w:val="single" w:sz="4" w:space="0" w:color="auto"/>
                  </w:tcBorders>
                  <w:shd w:val="clear" w:color="auto" w:fill="auto"/>
                  <w:noWrap/>
                  <w:vAlign w:val="bottom"/>
                  <w:hideMark/>
                </w:tcPr>
                <w:p w14:paraId="0EEB81D0" w14:textId="200F034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7BDFBD0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572" w:type="dxa"/>
                  <w:tcBorders>
                    <w:top w:val="nil"/>
                    <w:left w:val="nil"/>
                    <w:bottom w:val="single" w:sz="4" w:space="0" w:color="auto"/>
                    <w:right w:val="single" w:sz="4" w:space="0" w:color="auto"/>
                  </w:tcBorders>
                  <w:shd w:val="clear" w:color="auto" w:fill="auto"/>
                  <w:noWrap/>
                  <w:vAlign w:val="bottom"/>
                  <w:hideMark/>
                </w:tcPr>
                <w:p w14:paraId="5162FB9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D5BF36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w:t>
                  </w:r>
                </w:p>
              </w:tc>
              <w:tc>
                <w:tcPr>
                  <w:tcW w:w="567" w:type="dxa"/>
                  <w:tcBorders>
                    <w:top w:val="nil"/>
                    <w:left w:val="nil"/>
                    <w:bottom w:val="single" w:sz="4" w:space="0" w:color="auto"/>
                    <w:right w:val="single" w:sz="4" w:space="0" w:color="auto"/>
                  </w:tcBorders>
                  <w:shd w:val="clear" w:color="auto" w:fill="auto"/>
                  <w:noWrap/>
                  <w:vAlign w:val="bottom"/>
                  <w:hideMark/>
                </w:tcPr>
                <w:p w14:paraId="2B94AA4E" w14:textId="7AFC645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5474D1E3"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156328E" w14:textId="4208536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570" w:type="dxa"/>
                  <w:tcBorders>
                    <w:top w:val="nil"/>
                    <w:left w:val="nil"/>
                    <w:bottom w:val="single" w:sz="4" w:space="0" w:color="auto"/>
                    <w:right w:val="single" w:sz="4" w:space="0" w:color="auto"/>
                  </w:tcBorders>
                  <w:shd w:val="clear" w:color="auto" w:fill="auto"/>
                  <w:noWrap/>
                  <w:vAlign w:val="bottom"/>
                  <w:hideMark/>
                </w:tcPr>
                <w:p w14:paraId="62DE183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D551E9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4583C699" w14:textId="3FA289B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B66AE8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70" w:type="dxa"/>
                  <w:tcBorders>
                    <w:top w:val="nil"/>
                    <w:left w:val="nil"/>
                    <w:bottom w:val="single" w:sz="4" w:space="0" w:color="auto"/>
                    <w:right w:val="single" w:sz="4" w:space="0" w:color="auto"/>
                  </w:tcBorders>
                  <w:shd w:val="clear" w:color="auto" w:fill="auto"/>
                  <w:noWrap/>
                  <w:vAlign w:val="bottom"/>
                  <w:hideMark/>
                </w:tcPr>
                <w:p w14:paraId="5D424D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3AFACE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158813C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06C4DB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75EDCF0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F2B205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-16</w:t>
                  </w:r>
                </w:p>
              </w:tc>
              <w:tc>
                <w:tcPr>
                  <w:tcW w:w="543" w:type="dxa"/>
                  <w:tcBorders>
                    <w:top w:val="nil"/>
                    <w:left w:val="nil"/>
                    <w:bottom w:val="single" w:sz="4" w:space="0" w:color="auto"/>
                    <w:right w:val="single" w:sz="4" w:space="0" w:color="auto"/>
                  </w:tcBorders>
                  <w:shd w:val="clear" w:color="auto" w:fill="auto"/>
                  <w:noWrap/>
                  <w:vAlign w:val="bottom"/>
                  <w:hideMark/>
                </w:tcPr>
                <w:p w14:paraId="7483C43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E0BC81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509529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r>
            <w:tr w:rsidR="00837BD6" w:rsidRPr="009E5B39" w14:paraId="796AF4AC"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31D33AB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F816EC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7382B2E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781580F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6C0136C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059E7EC8" w14:textId="598A142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2C726B17" w14:textId="21344B3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3C83202E" w14:textId="6E35C95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D7661D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11949335" w14:textId="207A7C2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6FC4623A"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BE015C6" w14:textId="20A4DD2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2EB00547" w14:textId="055D3EA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1C73F0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43CA896C" w14:textId="6538294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C06DAD0" w14:textId="3693BE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3E052A97" w14:textId="5CFEADE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73FB23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11A45C7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697B35F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6D11EB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F93325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1CFFC6E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B7E000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4BD304C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5A6951BB"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739550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0D7FF92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0185766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781C1A3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6926B72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0D4D2C43" w14:textId="316151A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64A7B8B1" w14:textId="7D854C8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11653A8A" w14:textId="7DD4C17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3838A9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186971A5" w14:textId="660F9CF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0276B476"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0397ADE" w14:textId="5BF9351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582B6BC4" w14:textId="7666280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4D2253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5CEB18E8" w14:textId="481B272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2275944" w14:textId="54BA063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7A986F80" w14:textId="7F8D604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4FA6D9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564C4AC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47DE4C6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3624D7A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E7277F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4871051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2DD0C5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652F15E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37BD6" w:rsidRPr="009E5B39" w14:paraId="3B53BD28" w14:textId="77777777" w:rsidTr="00B32230">
              <w:trPr>
                <w:trHeight w:val="20"/>
              </w:trPr>
              <w:tc>
                <w:tcPr>
                  <w:tcW w:w="635" w:type="dxa"/>
                  <w:vMerge/>
                  <w:tcBorders>
                    <w:top w:val="nil"/>
                    <w:left w:val="single" w:sz="4" w:space="0" w:color="auto"/>
                    <w:bottom w:val="single" w:sz="4" w:space="0" w:color="000000"/>
                    <w:right w:val="single" w:sz="4" w:space="0" w:color="auto"/>
                  </w:tcBorders>
                  <w:vAlign w:val="center"/>
                  <w:hideMark/>
                </w:tcPr>
                <w:p w14:paraId="15715FF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1066" w:type="dxa"/>
                  <w:gridSpan w:val="2"/>
                  <w:vMerge/>
                  <w:tcBorders>
                    <w:top w:val="nil"/>
                    <w:left w:val="single" w:sz="4" w:space="0" w:color="auto"/>
                    <w:bottom w:val="single" w:sz="4" w:space="0" w:color="000000"/>
                    <w:right w:val="single" w:sz="4" w:space="0" w:color="auto"/>
                  </w:tcBorders>
                  <w:vAlign w:val="center"/>
                  <w:hideMark/>
                </w:tcPr>
                <w:p w14:paraId="397AF87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768" w:type="dxa"/>
                  <w:vMerge/>
                  <w:tcBorders>
                    <w:top w:val="nil"/>
                    <w:left w:val="single" w:sz="4" w:space="0" w:color="auto"/>
                    <w:bottom w:val="single" w:sz="4" w:space="0" w:color="000000"/>
                    <w:right w:val="single" w:sz="4" w:space="0" w:color="auto"/>
                  </w:tcBorders>
                  <w:vAlign w:val="center"/>
                  <w:hideMark/>
                </w:tcPr>
                <w:p w14:paraId="3D9BE65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0E09F6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644F04C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16" w:type="dxa"/>
                  <w:tcBorders>
                    <w:top w:val="nil"/>
                    <w:left w:val="nil"/>
                    <w:bottom w:val="single" w:sz="4" w:space="0" w:color="auto"/>
                    <w:right w:val="single" w:sz="4" w:space="0" w:color="auto"/>
                  </w:tcBorders>
                  <w:shd w:val="clear" w:color="auto" w:fill="auto"/>
                  <w:noWrap/>
                  <w:vAlign w:val="bottom"/>
                  <w:hideMark/>
                </w:tcPr>
                <w:p w14:paraId="4678585C" w14:textId="6DB30D4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20" w:type="dxa"/>
                  <w:tcBorders>
                    <w:top w:val="nil"/>
                    <w:left w:val="nil"/>
                    <w:bottom w:val="single" w:sz="4" w:space="0" w:color="auto"/>
                    <w:right w:val="single" w:sz="4" w:space="0" w:color="auto"/>
                  </w:tcBorders>
                  <w:shd w:val="clear" w:color="auto" w:fill="auto"/>
                  <w:noWrap/>
                  <w:vAlign w:val="bottom"/>
                  <w:hideMark/>
                </w:tcPr>
                <w:p w14:paraId="11E28F20" w14:textId="09126C3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2" w:type="dxa"/>
                  <w:tcBorders>
                    <w:top w:val="nil"/>
                    <w:left w:val="nil"/>
                    <w:bottom w:val="single" w:sz="4" w:space="0" w:color="auto"/>
                    <w:right w:val="single" w:sz="4" w:space="0" w:color="auto"/>
                  </w:tcBorders>
                  <w:shd w:val="clear" w:color="auto" w:fill="auto"/>
                  <w:noWrap/>
                  <w:vAlign w:val="bottom"/>
                  <w:hideMark/>
                </w:tcPr>
                <w:p w14:paraId="3B997FF7" w14:textId="22CF203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ACEE93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67" w:type="dxa"/>
                  <w:tcBorders>
                    <w:top w:val="nil"/>
                    <w:left w:val="nil"/>
                    <w:bottom w:val="single" w:sz="4" w:space="0" w:color="auto"/>
                    <w:right w:val="single" w:sz="4" w:space="0" w:color="auto"/>
                  </w:tcBorders>
                  <w:shd w:val="clear" w:color="auto" w:fill="auto"/>
                  <w:noWrap/>
                  <w:vAlign w:val="bottom"/>
                  <w:hideMark/>
                </w:tcPr>
                <w:p w14:paraId="3ED4DB10" w14:textId="7F14102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nil"/>
                  </w:tcBorders>
                </w:tcPr>
                <w:p w14:paraId="559611D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6E4BBA0" w14:textId="1EF5C51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0FFE8F31" w14:textId="48FD97E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3C808C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600" w:type="dxa"/>
                  <w:tcBorders>
                    <w:top w:val="nil"/>
                    <w:left w:val="nil"/>
                    <w:bottom w:val="single" w:sz="4" w:space="0" w:color="auto"/>
                    <w:right w:val="single" w:sz="4" w:space="0" w:color="auto"/>
                  </w:tcBorders>
                  <w:shd w:val="clear" w:color="auto" w:fill="auto"/>
                  <w:noWrap/>
                  <w:vAlign w:val="bottom"/>
                  <w:hideMark/>
                </w:tcPr>
                <w:p w14:paraId="1C05295D" w14:textId="43BA21A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0D108651" w14:textId="56A9291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70" w:type="dxa"/>
                  <w:tcBorders>
                    <w:top w:val="nil"/>
                    <w:left w:val="nil"/>
                    <w:bottom w:val="single" w:sz="4" w:space="0" w:color="auto"/>
                    <w:right w:val="single" w:sz="4" w:space="0" w:color="auto"/>
                  </w:tcBorders>
                  <w:shd w:val="clear" w:color="auto" w:fill="auto"/>
                  <w:noWrap/>
                  <w:vAlign w:val="bottom"/>
                  <w:hideMark/>
                </w:tcPr>
                <w:p w14:paraId="4DFD8760" w14:textId="3299CD5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23F3F5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1F6D17A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3730A2C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auto" w:fill="auto"/>
                  <w:noWrap/>
                  <w:vAlign w:val="bottom"/>
                  <w:hideMark/>
                </w:tcPr>
                <w:p w14:paraId="5FE2837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FDA42C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43" w:type="dxa"/>
                  <w:tcBorders>
                    <w:top w:val="nil"/>
                    <w:left w:val="nil"/>
                    <w:bottom w:val="single" w:sz="4" w:space="0" w:color="auto"/>
                    <w:right w:val="single" w:sz="4" w:space="0" w:color="auto"/>
                  </w:tcBorders>
                  <w:shd w:val="clear" w:color="auto" w:fill="auto"/>
                  <w:noWrap/>
                  <w:vAlign w:val="bottom"/>
                  <w:hideMark/>
                </w:tcPr>
                <w:p w14:paraId="434077E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B44A7D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33E6E10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r>
            <w:tr w:rsidR="00886E8F" w:rsidRPr="009E5B39" w14:paraId="2DDDCA43" w14:textId="77777777" w:rsidTr="00837BD6">
              <w:trPr>
                <w:trHeight w:val="20"/>
              </w:trPr>
              <w:tc>
                <w:tcPr>
                  <w:tcW w:w="2469"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68C8BCA" w14:textId="5166693A"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TOTAL</w:t>
                  </w:r>
                </w:p>
              </w:tc>
              <w:tc>
                <w:tcPr>
                  <w:tcW w:w="541" w:type="dxa"/>
                  <w:tcBorders>
                    <w:top w:val="nil"/>
                    <w:left w:val="nil"/>
                    <w:bottom w:val="single" w:sz="4" w:space="0" w:color="auto"/>
                    <w:right w:val="single" w:sz="4" w:space="0" w:color="auto"/>
                  </w:tcBorders>
                  <w:shd w:val="clear" w:color="000000" w:fill="E2EFDA"/>
                  <w:noWrap/>
                  <w:vAlign w:val="bottom"/>
                  <w:hideMark/>
                </w:tcPr>
                <w:p w14:paraId="28DB793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2016</w:t>
                  </w:r>
                </w:p>
              </w:tc>
              <w:tc>
                <w:tcPr>
                  <w:tcW w:w="671" w:type="dxa"/>
                  <w:tcBorders>
                    <w:top w:val="nil"/>
                    <w:left w:val="nil"/>
                    <w:bottom w:val="single" w:sz="4" w:space="0" w:color="auto"/>
                    <w:right w:val="single" w:sz="4" w:space="0" w:color="auto"/>
                  </w:tcBorders>
                  <w:shd w:val="clear" w:color="000000" w:fill="E2EFDA"/>
                  <w:noWrap/>
                  <w:vAlign w:val="bottom"/>
                  <w:hideMark/>
                </w:tcPr>
                <w:p w14:paraId="06C5C24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1100</w:t>
                  </w:r>
                </w:p>
              </w:tc>
              <w:tc>
                <w:tcPr>
                  <w:tcW w:w="516" w:type="dxa"/>
                  <w:tcBorders>
                    <w:top w:val="nil"/>
                    <w:left w:val="nil"/>
                    <w:bottom w:val="single" w:sz="4" w:space="0" w:color="auto"/>
                    <w:right w:val="single" w:sz="4" w:space="0" w:color="auto"/>
                  </w:tcBorders>
                  <w:shd w:val="clear" w:color="000000" w:fill="E2EFDA"/>
                  <w:noWrap/>
                  <w:vAlign w:val="bottom"/>
                  <w:hideMark/>
                </w:tcPr>
                <w:p w14:paraId="6BBA86A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w:t>
                  </w:r>
                </w:p>
              </w:tc>
              <w:tc>
                <w:tcPr>
                  <w:tcW w:w="620" w:type="dxa"/>
                  <w:tcBorders>
                    <w:top w:val="nil"/>
                    <w:left w:val="nil"/>
                    <w:bottom w:val="single" w:sz="4" w:space="0" w:color="auto"/>
                    <w:right w:val="single" w:sz="4" w:space="0" w:color="auto"/>
                  </w:tcBorders>
                  <w:shd w:val="clear" w:color="000000" w:fill="E2EFDA"/>
                  <w:noWrap/>
                  <w:vAlign w:val="bottom"/>
                  <w:hideMark/>
                </w:tcPr>
                <w:p w14:paraId="6DCC168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753</w:t>
                  </w:r>
                </w:p>
              </w:tc>
              <w:tc>
                <w:tcPr>
                  <w:tcW w:w="572" w:type="dxa"/>
                  <w:tcBorders>
                    <w:top w:val="nil"/>
                    <w:left w:val="nil"/>
                    <w:bottom w:val="single" w:sz="4" w:space="0" w:color="auto"/>
                    <w:right w:val="single" w:sz="4" w:space="0" w:color="auto"/>
                  </w:tcBorders>
                  <w:shd w:val="clear" w:color="000000" w:fill="E2EFDA"/>
                  <w:noWrap/>
                  <w:vAlign w:val="bottom"/>
                  <w:hideMark/>
                </w:tcPr>
                <w:p w14:paraId="4989D21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327</w:t>
                  </w:r>
                </w:p>
              </w:tc>
              <w:tc>
                <w:tcPr>
                  <w:tcW w:w="671" w:type="dxa"/>
                  <w:gridSpan w:val="2"/>
                  <w:tcBorders>
                    <w:top w:val="nil"/>
                    <w:left w:val="nil"/>
                    <w:bottom w:val="single" w:sz="4" w:space="0" w:color="auto"/>
                    <w:right w:val="single" w:sz="4" w:space="0" w:color="auto"/>
                  </w:tcBorders>
                  <w:shd w:val="clear" w:color="000000" w:fill="E2EFDA"/>
                  <w:noWrap/>
                  <w:vAlign w:val="bottom"/>
                  <w:hideMark/>
                </w:tcPr>
                <w:p w14:paraId="474DEFC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1100</w:t>
                  </w:r>
                </w:p>
              </w:tc>
              <w:tc>
                <w:tcPr>
                  <w:tcW w:w="567" w:type="dxa"/>
                  <w:tcBorders>
                    <w:top w:val="nil"/>
                    <w:left w:val="nil"/>
                    <w:bottom w:val="single" w:sz="4" w:space="0" w:color="auto"/>
                    <w:right w:val="single" w:sz="4" w:space="0" w:color="auto"/>
                  </w:tcBorders>
                  <w:shd w:val="clear" w:color="000000" w:fill="E2EFDA"/>
                  <w:noWrap/>
                  <w:vAlign w:val="bottom"/>
                  <w:hideMark/>
                </w:tcPr>
                <w:p w14:paraId="13F5B32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w:t>
                  </w:r>
                </w:p>
              </w:tc>
              <w:tc>
                <w:tcPr>
                  <w:tcW w:w="580" w:type="dxa"/>
                  <w:tcBorders>
                    <w:top w:val="nil"/>
                    <w:left w:val="nil"/>
                    <w:bottom w:val="single" w:sz="4" w:space="0" w:color="auto"/>
                    <w:right w:val="nil"/>
                  </w:tcBorders>
                  <w:shd w:val="clear" w:color="000000" w:fill="E2EFDA"/>
                </w:tcPr>
                <w:p w14:paraId="59D8002B"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000000" w:fill="E2EFDA"/>
                  <w:noWrap/>
                  <w:vAlign w:val="bottom"/>
                  <w:hideMark/>
                </w:tcPr>
                <w:p w14:paraId="53E7195D" w14:textId="79374ED3"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753</w:t>
                  </w:r>
                </w:p>
              </w:tc>
              <w:tc>
                <w:tcPr>
                  <w:tcW w:w="570" w:type="dxa"/>
                  <w:tcBorders>
                    <w:top w:val="nil"/>
                    <w:left w:val="nil"/>
                    <w:bottom w:val="single" w:sz="4" w:space="0" w:color="auto"/>
                    <w:right w:val="single" w:sz="4" w:space="0" w:color="auto"/>
                  </w:tcBorders>
                  <w:shd w:val="clear" w:color="000000" w:fill="E2EFDA"/>
                  <w:noWrap/>
                  <w:vAlign w:val="bottom"/>
                  <w:hideMark/>
                </w:tcPr>
                <w:p w14:paraId="63C4ED1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327</w:t>
                  </w:r>
                </w:p>
              </w:tc>
              <w:tc>
                <w:tcPr>
                  <w:tcW w:w="671" w:type="dxa"/>
                  <w:gridSpan w:val="2"/>
                  <w:tcBorders>
                    <w:top w:val="nil"/>
                    <w:left w:val="nil"/>
                    <w:bottom w:val="single" w:sz="4" w:space="0" w:color="auto"/>
                    <w:right w:val="single" w:sz="4" w:space="0" w:color="auto"/>
                  </w:tcBorders>
                  <w:shd w:val="clear" w:color="000000" w:fill="E2EFDA"/>
                  <w:noWrap/>
                  <w:vAlign w:val="bottom"/>
                  <w:hideMark/>
                </w:tcPr>
                <w:p w14:paraId="14C838D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898</w:t>
                  </w:r>
                </w:p>
              </w:tc>
              <w:tc>
                <w:tcPr>
                  <w:tcW w:w="600" w:type="dxa"/>
                  <w:tcBorders>
                    <w:top w:val="nil"/>
                    <w:left w:val="nil"/>
                    <w:bottom w:val="single" w:sz="4" w:space="0" w:color="auto"/>
                    <w:right w:val="single" w:sz="4" w:space="0" w:color="auto"/>
                  </w:tcBorders>
                  <w:shd w:val="clear" w:color="000000" w:fill="E2EFDA"/>
                  <w:noWrap/>
                  <w:vAlign w:val="bottom"/>
                  <w:hideMark/>
                </w:tcPr>
                <w:p w14:paraId="60394D6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17</w:t>
                  </w:r>
                </w:p>
              </w:tc>
              <w:tc>
                <w:tcPr>
                  <w:tcW w:w="580" w:type="dxa"/>
                  <w:tcBorders>
                    <w:top w:val="nil"/>
                    <w:left w:val="nil"/>
                    <w:bottom w:val="single" w:sz="4" w:space="0" w:color="auto"/>
                    <w:right w:val="single" w:sz="4" w:space="0" w:color="auto"/>
                  </w:tcBorders>
                  <w:shd w:val="clear" w:color="000000" w:fill="E2EFDA"/>
                  <w:noWrap/>
                  <w:vAlign w:val="bottom"/>
                  <w:hideMark/>
                </w:tcPr>
                <w:p w14:paraId="115B0BD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621</w:t>
                  </w:r>
                </w:p>
              </w:tc>
              <w:tc>
                <w:tcPr>
                  <w:tcW w:w="570" w:type="dxa"/>
                  <w:tcBorders>
                    <w:top w:val="nil"/>
                    <w:left w:val="nil"/>
                    <w:bottom w:val="single" w:sz="4" w:space="0" w:color="auto"/>
                    <w:right w:val="single" w:sz="4" w:space="0" w:color="auto"/>
                  </w:tcBorders>
                  <w:shd w:val="clear" w:color="000000" w:fill="E2EFDA"/>
                  <w:noWrap/>
                  <w:vAlign w:val="bottom"/>
                  <w:hideMark/>
                </w:tcPr>
                <w:p w14:paraId="6CE2CD8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260</w:t>
                  </w:r>
                </w:p>
              </w:tc>
              <w:tc>
                <w:tcPr>
                  <w:tcW w:w="541" w:type="dxa"/>
                  <w:gridSpan w:val="2"/>
                  <w:tcBorders>
                    <w:top w:val="nil"/>
                    <w:left w:val="nil"/>
                    <w:bottom w:val="single" w:sz="4" w:space="0" w:color="auto"/>
                    <w:right w:val="single" w:sz="4" w:space="0" w:color="auto"/>
                  </w:tcBorders>
                  <w:shd w:val="clear" w:color="000000" w:fill="E2EFDA"/>
                  <w:noWrap/>
                  <w:vAlign w:val="bottom"/>
                  <w:hideMark/>
                </w:tcPr>
                <w:p w14:paraId="53F4001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000000" w:fill="E2EFDA"/>
                  <w:noWrap/>
                  <w:vAlign w:val="bottom"/>
                  <w:hideMark/>
                </w:tcPr>
                <w:p w14:paraId="52B3A3C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000000" w:fill="E2EFDA"/>
                  <w:noWrap/>
                  <w:vAlign w:val="bottom"/>
                  <w:hideMark/>
                </w:tcPr>
                <w:p w14:paraId="509E0E8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40" w:type="dxa"/>
                  <w:tcBorders>
                    <w:top w:val="nil"/>
                    <w:left w:val="nil"/>
                    <w:bottom w:val="single" w:sz="4" w:space="0" w:color="auto"/>
                    <w:right w:val="single" w:sz="4" w:space="0" w:color="auto"/>
                  </w:tcBorders>
                  <w:shd w:val="clear" w:color="000000" w:fill="E2EFDA"/>
                  <w:noWrap/>
                  <w:vAlign w:val="bottom"/>
                  <w:hideMark/>
                </w:tcPr>
                <w:p w14:paraId="5AA16FE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000000" w:fill="E2EFDA"/>
                  <w:noWrap/>
                  <w:vAlign w:val="bottom"/>
                  <w:hideMark/>
                </w:tcPr>
                <w:p w14:paraId="7E4F80C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-202</w:t>
                  </w:r>
                </w:p>
              </w:tc>
              <w:tc>
                <w:tcPr>
                  <w:tcW w:w="543" w:type="dxa"/>
                  <w:tcBorders>
                    <w:top w:val="nil"/>
                    <w:left w:val="nil"/>
                    <w:bottom w:val="single" w:sz="4" w:space="0" w:color="auto"/>
                    <w:right w:val="single" w:sz="4" w:space="0" w:color="auto"/>
                  </w:tcBorders>
                  <w:shd w:val="clear" w:color="000000" w:fill="E2EFDA"/>
                  <w:noWrap/>
                  <w:vAlign w:val="bottom"/>
                  <w:hideMark/>
                </w:tcPr>
                <w:p w14:paraId="4B0B6C0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521" w:type="dxa"/>
                  <w:gridSpan w:val="2"/>
                  <w:tcBorders>
                    <w:top w:val="nil"/>
                    <w:left w:val="nil"/>
                    <w:bottom w:val="single" w:sz="4" w:space="0" w:color="auto"/>
                    <w:right w:val="single" w:sz="4" w:space="0" w:color="auto"/>
                  </w:tcBorders>
                  <w:shd w:val="clear" w:color="000000" w:fill="E2EFDA"/>
                  <w:noWrap/>
                  <w:vAlign w:val="bottom"/>
                  <w:hideMark/>
                </w:tcPr>
                <w:p w14:paraId="103BB1B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-132</w:t>
                  </w:r>
                </w:p>
              </w:tc>
              <w:tc>
                <w:tcPr>
                  <w:tcW w:w="668" w:type="dxa"/>
                  <w:gridSpan w:val="3"/>
                  <w:tcBorders>
                    <w:top w:val="nil"/>
                    <w:left w:val="nil"/>
                    <w:bottom w:val="single" w:sz="4" w:space="0" w:color="auto"/>
                    <w:right w:val="single" w:sz="4" w:space="0" w:color="auto"/>
                  </w:tcBorders>
                  <w:shd w:val="clear" w:color="000000" w:fill="E2EFDA"/>
                  <w:noWrap/>
                  <w:vAlign w:val="bottom"/>
                  <w:hideMark/>
                </w:tcPr>
                <w:p w14:paraId="5D1C9DC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-67</w:t>
                  </w:r>
                </w:p>
              </w:tc>
            </w:tr>
            <w:tr w:rsidR="00837BD6" w:rsidRPr="009E5B39" w14:paraId="54695AB8" w14:textId="77777777" w:rsidTr="00B32230">
              <w:trPr>
                <w:trHeight w:val="20"/>
              </w:trPr>
              <w:tc>
                <w:tcPr>
                  <w:tcW w:w="2469" w:type="dxa"/>
                  <w:gridSpan w:val="4"/>
                  <w:vMerge/>
                  <w:tcBorders>
                    <w:top w:val="single" w:sz="4" w:space="0" w:color="auto"/>
                    <w:left w:val="single" w:sz="4" w:space="0" w:color="auto"/>
                    <w:bottom w:val="single" w:sz="4" w:space="0" w:color="000000"/>
                    <w:right w:val="single" w:sz="4" w:space="0" w:color="000000"/>
                  </w:tcBorders>
                  <w:vAlign w:val="center"/>
                  <w:hideMark/>
                </w:tcPr>
                <w:p w14:paraId="30A5468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4F9083BC" w14:textId="77777777" w:rsidR="00837BD6" w:rsidRPr="009E5B39" w:rsidRDefault="00837BD6" w:rsidP="00B32230">
                  <w:pPr>
                    <w:spacing w:after="0" w:line="240" w:lineRule="auto"/>
                    <w:jc w:val="center"/>
                    <w:rPr>
                      <w:rFonts w:asciiTheme="majorHAnsi" w:eastAsia="Times New Roman" w:hAnsiTheme="majorHAnsi" w:cstheme="majorHAnsi"/>
                      <w:bCs/>
                      <w:i/>
                      <w:iCs/>
                      <w:sz w:val="16"/>
                      <w:szCs w:val="16"/>
                      <w:lang w:val="ro-MD"/>
                    </w:rPr>
                  </w:pPr>
                  <w:r w:rsidRPr="009E5B39">
                    <w:rPr>
                      <w:rFonts w:asciiTheme="majorHAnsi" w:eastAsia="Times New Roman" w:hAnsiTheme="majorHAnsi" w:cstheme="majorHAnsi"/>
                      <w:bCs/>
                      <w:i/>
                      <w:iCs/>
                      <w:sz w:val="16"/>
                      <w:szCs w:val="16"/>
                      <w:lang w:val="ro-MD"/>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761AAE7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1099</w:t>
                  </w:r>
                </w:p>
              </w:tc>
              <w:tc>
                <w:tcPr>
                  <w:tcW w:w="516" w:type="dxa"/>
                  <w:tcBorders>
                    <w:top w:val="nil"/>
                    <w:left w:val="nil"/>
                    <w:bottom w:val="single" w:sz="4" w:space="0" w:color="auto"/>
                    <w:right w:val="single" w:sz="4" w:space="0" w:color="auto"/>
                  </w:tcBorders>
                  <w:shd w:val="clear" w:color="auto" w:fill="auto"/>
                  <w:noWrap/>
                  <w:vAlign w:val="bottom"/>
                  <w:hideMark/>
                </w:tcPr>
                <w:p w14:paraId="78A31B8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w:t>
                  </w:r>
                </w:p>
              </w:tc>
              <w:tc>
                <w:tcPr>
                  <w:tcW w:w="620" w:type="dxa"/>
                  <w:tcBorders>
                    <w:top w:val="nil"/>
                    <w:left w:val="nil"/>
                    <w:bottom w:val="single" w:sz="4" w:space="0" w:color="auto"/>
                    <w:right w:val="single" w:sz="4" w:space="0" w:color="auto"/>
                  </w:tcBorders>
                  <w:shd w:val="clear" w:color="auto" w:fill="auto"/>
                  <w:noWrap/>
                  <w:vAlign w:val="bottom"/>
                  <w:hideMark/>
                </w:tcPr>
                <w:p w14:paraId="2463512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772</w:t>
                  </w:r>
                </w:p>
              </w:tc>
              <w:tc>
                <w:tcPr>
                  <w:tcW w:w="572" w:type="dxa"/>
                  <w:tcBorders>
                    <w:top w:val="nil"/>
                    <w:left w:val="nil"/>
                    <w:bottom w:val="single" w:sz="4" w:space="0" w:color="auto"/>
                    <w:right w:val="single" w:sz="4" w:space="0" w:color="auto"/>
                  </w:tcBorders>
                  <w:shd w:val="clear" w:color="auto" w:fill="auto"/>
                  <w:noWrap/>
                  <w:vAlign w:val="bottom"/>
                  <w:hideMark/>
                </w:tcPr>
                <w:p w14:paraId="112DE41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8934D46"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1101</w:t>
                  </w:r>
                </w:p>
              </w:tc>
              <w:tc>
                <w:tcPr>
                  <w:tcW w:w="567" w:type="dxa"/>
                  <w:tcBorders>
                    <w:top w:val="nil"/>
                    <w:left w:val="nil"/>
                    <w:bottom w:val="single" w:sz="4" w:space="0" w:color="auto"/>
                    <w:right w:val="single" w:sz="4" w:space="0" w:color="auto"/>
                  </w:tcBorders>
                  <w:shd w:val="clear" w:color="auto" w:fill="auto"/>
                  <w:noWrap/>
                  <w:vAlign w:val="bottom"/>
                  <w:hideMark/>
                </w:tcPr>
                <w:p w14:paraId="36083BE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w:t>
                  </w:r>
                </w:p>
              </w:tc>
              <w:tc>
                <w:tcPr>
                  <w:tcW w:w="580" w:type="dxa"/>
                  <w:tcBorders>
                    <w:top w:val="nil"/>
                    <w:left w:val="nil"/>
                    <w:bottom w:val="single" w:sz="4" w:space="0" w:color="auto"/>
                    <w:right w:val="nil"/>
                  </w:tcBorders>
                </w:tcPr>
                <w:p w14:paraId="521CB10E"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4EE5BE9" w14:textId="4E8B53D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774</w:t>
                  </w:r>
                </w:p>
              </w:tc>
              <w:tc>
                <w:tcPr>
                  <w:tcW w:w="570" w:type="dxa"/>
                  <w:tcBorders>
                    <w:top w:val="nil"/>
                    <w:left w:val="nil"/>
                    <w:bottom w:val="single" w:sz="4" w:space="0" w:color="auto"/>
                    <w:right w:val="single" w:sz="4" w:space="0" w:color="auto"/>
                  </w:tcBorders>
                  <w:shd w:val="clear" w:color="auto" w:fill="auto"/>
                  <w:noWrap/>
                  <w:vAlign w:val="bottom"/>
                  <w:hideMark/>
                </w:tcPr>
                <w:p w14:paraId="774901C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6D67DD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747,5</w:t>
                  </w:r>
                </w:p>
              </w:tc>
              <w:tc>
                <w:tcPr>
                  <w:tcW w:w="600" w:type="dxa"/>
                  <w:tcBorders>
                    <w:top w:val="nil"/>
                    <w:left w:val="nil"/>
                    <w:bottom w:val="single" w:sz="4" w:space="0" w:color="auto"/>
                    <w:right w:val="single" w:sz="4" w:space="0" w:color="auto"/>
                  </w:tcBorders>
                  <w:shd w:val="clear" w:color="auto" w:fill="auto"/>
                  <w:noWrap/>
                  <w:vAlign w:val="bottom"/>
                  <w:hideMark/>
                </w:tcPr>
                <w:p w14:paraId="2DA7A59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w:t>
                  </w:r>
                </w:p>
              </w:tc>
              <w:tc>
                <w:tcPr>
                  <w:tcW w:w="580" w:type="dxa"/>
                  <w:tcBorders>
                    <w:top w:val="nil"/>
                    <w:left w:val="nil"/>
                    <w:bottom w:val="single" w:sz="4" w:space="0" w:color="auto"/>
                    <w:right w:val="single" w:sz="4" w:space="0" w:color="auto"/>
                  </w:tcBorders>
                  <w:shd w:val="clear" w:color="auto" w:fill="auto"/>
                  <w:noWrap/>
                  <w:vAlign w:val="bottom"/>
                  <w:hideMark/>
                </w:tcPr>
                <w:p w14:paraId="1389241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523</w:t>
                  </w:r>
                </w:p>
              </w:tc>
              <w:tc>
                <w:tcPr>
                  <w:tcW w:w="570" w:type="dxa"/>
                  <w:tcBorders>
                    <w:top w:val="nil"/>
                    <w:left w:val="nil"/>
                    <w:bottom w:val="single" w:sz="4" w:space="0" w:color="auto"/>
                    <w:right w:val="single" w:sz="4" w:space="0" w:color="auto"/>
                  </w:tcBorders>
                  <w:shd w:val="clear" w:color="auto" w:fill="auto"/>
                  <w:noWrap/>
                  <w:vAlign w:val="bottom"/>
                  <w:hideMark/>
                </w:tcPr>
                <w:p w14:paraId="0F3A7F1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2297A8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w:t>
                  </w:r>
                </w:p>
              </w:tc>
              <w:tc>
                <w:tcPr>
                  <w:tcW w:w="580" w:type="dxa"/>
                  <w:tcBorders>
                    <w:top w:val="nil"/>
                    <w:left w:val="nil"/>
                    <w:bottom w:val="single" w:sz="4" w:space="0" w:color="auto"/>
                    <w:right w:val="single" w:sz="4" w:space="0" w:color="auto"/>
                  </w:tcBorders>
                  <w:shd w:val="clear" w:color="auto" w:fill="auto"/>
                  <w:noWrap/>
                  <w:vAlign w:val="bottom"/>
                  <w:hideMark/>
                </w:tcPr>
                <w:p w14:paraId="1C4F691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D7F401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540" w:type="dxa"/>
                  <w:tcBorders>
                    <w:top w:val="nil"/>
                    <w:left w:val="nil"/>
                    <w:bottom w:val="single" w:sz="4" w:space="0" w:color="auto"/>
                    <w:right w:val="single" w:sz="4" w:space="0" w:color="auto"/>
                  </w:tcBorders>
                  <w:shd w:val="clear" w:color="auto" w:fill="auto"/>
                  <w:noWrap/>
                  <w:vAlign w:val="bottom"/>
                  <w:hideMark/>
                </w:tcPr>
                <w:p w14:paraId="05CB918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D9B68B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-353,5</w:t>
                  </w:r>
                </w:p>
              </w:tc>
              <w:tc>
                <w:tcPr>
                  <w:tcW w:w="543" w:type="dxa"/>
                  <w:tcBorders>
                    <w:top w:val="nil"/>
                    <w:left w:val="nil"/>
                    <w:bottom w:val="single" w:sz="4" w:space="0" w:color="auto"/>
                    <w:right w:val="single" w:sz="4" w:space="0" w:color="auto"/>
                  </w:tcBorders>
                  <w:shd w:val="clear" w:color="auto" w:fill="auto"/>
                  <w:noWrap/>
                  <w:vAlign w:val="bottom"/>
                  <w:hideMark/>
                </w:tcPr>
                <w:p w14:paraId="7E0E4CC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5A3CBE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-251</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7D2288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-95,5</w:t>
                  </w:r>
                </w:p>
              </w:tc>
            </w:tr>
            <w:tr w:rsidR="00837BD6" w:rsidRPr="009E5B39" w14:paraId="43F9F999" w14:textId="77777777" w:rsidTr="00B32230">
              <w:trPr>
                <w:trHeight w:val="20"/>
              </w:trPr>
              <w:tc>
                <w:tcPr>
                  <w:tcW w:w="2469" w:type="dxa"/>
                  <w:gridSpan w:val="4"/>
                  <w:vMerge/>
                  <w:tcBorders>
                    <w:top w:val="single" w:sz="4" w:space="0" w:color="auto"/>
                    <w:left w:val="single" w:sz="4" w:space="0" w:color="auto"/>
                    <w:bottom w:val="single" w:sz="4" w:space="0" w:color="000000"/>
                    <w:right w:val="single" w:sz="4" w:space="0" w:color="000000"/>
                  </w:tcBorders>
                  <w:vAlign w:val="center"/>
                  <w:hideMark/>
                </w:tcPr>
                <w:p w14:paraId="68CA2DF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F5256DD" w14:textId="77777777" w:rsidR="00837BD6" w:rsidRPr="009E5B39" w:rsidRDefault="00837BD6" w:rsidP="00B32230">
                  <w:pPr>
                    <w:spacing w:after="0" w:line="240" w:lineRule="auto"/>
                    <w:jc w:val="center"/>
                    <w:rPr>
                      <w:rFonts w:asciiTheme="majorHAnsi" w:eastAsia="Times New Roman" w:hAnsiTheme="majorHAnsi" w:cstheme="majorHAnsi"/>
                      <w:bCs/>
                      <w:i/>
                      <w:iCs/>
                      <w:sz w:val="16"/>
                      <w:szCs w:val="16"/>
                      <w:lang w:val="ro-MD"/>
                    </w:rPr>
                  </w:pPr>
                  <w:r w:rsidRPr="009E5B39">
                    <w:rPr>
                      <w:rFonts w:asciiTheme="majorHAnsi" w:eastAsia="Times New Roman" w:hAnsiTheme="majorHAnsi" w:cstheme="majorHAnsi"/>
                      <w:bCs/>
                      <w:i/>
                      <w:iCs/>
                      <w:sz w:val="16"/>
                      <w:szCs w:val="16"/>
                      <w:lang w:val="ro-MD"/>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04DB38F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1117</w:t>
                  </w:r>
                </w:p>
              </w:tc>
              <w:tc>
                <w:tcPr>
                  <w:tcW w:w="516" w:type="dxa"/>
                  <w:tcBorders>
                    <w:top w:val="nil"/>
                    <w:left w:val="nil"/>
                    <w:bottom w:val="single" w:sz="4" w:space="0" w:color="auto"/>
                    <w:right w:val="single" w:sz="4" w:space="0" w:color="auto"/>
                  </w:tcBorders>
                  <w:shd w:val="clear" w:color="auto" w:fill="auto"/>
                  <w:noWrap/>
                  <w:vAlign w:val="bottom"/>
                  <w:hideMark/>
                </w:tcPr>
                <w:p w14:paraId="6925766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w:t>
                  </w:r>
                </w:p>
              </w:tc>
              <w:tc>
                <w:tcPr>
                  <w:tcW w:w="620" w:type="dxa"/>
                  <w:tcBorders>
                    <w:top w:val="nil"/>
                    <w:left w:val="nil"/>
                    <w:bottom w:val="single" w:sz="4" w:space="0" w:color="auto"/>
                    <w:right w:val="single" w:sz="4" w:space="0" w:color="auto"/>
                  </w:tcBorders>
                  <w:shd w:val="clear" w:color="auto" w:fill="auto"/>
                  <w:noWrap/>
                  <w:vAlign w:val="bottom"/>
                  <w:hideMark/>
                </w:tcPr>
                <w:p w14:paraId="5D3B63D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785</w:t>
                  </w:r>
                </w:p>
              </w:tc>
              <w:tc>
                <w:tcPr>
                  <w:tcW w:w="572" w:type="dxa"/>
                  <w:tcBorders>
                    <w:top w:val="nil"/>
                    <w:left w:val="nil"/>
                    <w:bottom w:val="single" w:sz="4" w:space="0" w:color="auto"/>
                    <w:right w:val="single" w:sz="4" w:space="0" w:color="auto"/>
                  </w:tcBorders>
                  <w:shd w:val="clear" w:color="auto" w:fill="auto"/>
                  <w:noWrap/>
                  <w:vAlign w:val="bottom"/>
                  <w:hideMark/>
                </w:tcPr>
                <w:p w14:paraId="4A7231E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9F256D9"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1117</w:t>
                  </w:r>
                </w:p>
              </w:tc>
              <w:tc>
                <w:tcPr>
                  <w:tcW w:w="567" w:type="dxa"/>
                  <w:tcBorders>
                    <w:top w:val="nil"/>
                    <w:left w:val="nil"/>
                    <w:bottom w:val="single" w:sz="4" w:space="0" w:color="auto"/>
                    <w:right w:val="single" w:sz="4" w:space="0" w:color="auto"/>
                  </w:tcBorders>
                  <w:shd w:val="clear" w:color="auto" w:fill="auto"/>
                  <w:noWrap/>
                  <w:vAlign w:val="bottom"/>
                  <w:hideMark/>
                </w:tcPr>
                <w:p w14:paraId="00FA7F1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w:t>
                  </w:r>
                </w:p>
              </w:tc>
              <w:tc>
                <w:tcPr>
                  <w:tcW w:w="580" w:type="dxa"/>
                  <w:tcBorders>
                    <w:top w:val="nil"/>
                    <w:left w:val="nil"/>
                    <w:bottom w:val="single" w:sz="4" w:space="0" w:color="auto"/>
                    <w:right w:val="nil"/>
                  </w:tcBorders>
                </w:tcPr>
                <w:p w14:paraId="5D7EFB9D"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4E9D73E" w14:textId="31C13E4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780</w:t>
                  </w:r>
                </w:p>
              </w:tc>
              <w:tc>
                <w:tcPr>
                  <w:tcW w:w="570" w:type="dxa"/>
                  <w:tcBorders>
                    <w:top w:val="nil"/>
                    <w:left w:val="nil"/>
                    <w:bottom w:val="single" w:sz="4" w:space="0" w:color="auto"/>
                    <w:right w:val="single" w:sz="4" w:space="0" w:color="auto"/>
                  </w:tcBorders>
                  <w:shd w:val="clear" w:color="auto" w:fill="auto"/>
                  <w:noWrap/>
                  <w:vAlign w:val="bottom"/>
                  <w:hideMark/>
                </w:tcPr>
                <w:p w14:paraId="39F3291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07CF65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790</w:t>
                  </w:r>
                </w:p>
              </w:tc>
              <w:tc>
                <w:tcPr>
                  <w:tcW w:w="600" w:type="dxa"/>
                  <w:tcBorders>
                    <w:top w:val="nil"/>
                    <w:left w:val="nil"/>
                    <w:bottom w:val="single" w:sz="4" w:space="0" w:color="auto"/>
                    <w:right w:val="single" w:sz="4" w:space="0" w:color="auto"/>
                  </w:tcBorders>
                  <w:shd w:val="clear" w:color="auto" w:fill="auto"/>
                  <w:noWrap/>
                  <w:vAlign w:val="bottom"/>
                  <w:hideMark/>
                </w:tcPr>
                <w:p w14:paraId="1504588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w:t>
                  </w:r>
                </w:p>
              </w:tc>
              <w:tc>
                <w:tcPr>
                  <w:tcW w:w="580" w:type="dxa"/>
                  <w:tcBorders>
                    <w:top w:val="nil"/>
                    <w:left w:val="nil"/>
                    <w:bottom w:val="single" w:sz="4" w:space="0" w:color="auto"/>
                    <w:right w:val="single" w:sz="4" w:space="0" w:color="auto"/>
                  </w:tcBorders>
                  <w:shd w:val="clear" w:color="auto" w:fill="auto"/>
                  <w:noWrap/>
                  <w:vAlign w:val="bottom"/>
                  <w:hideMark/>
                </w:tcPr>
                <w:p w14:paraId="62C6025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534</w:t>
                  </w:r>
                </w:p>
              </w:tc>
              <w:tc>
                <w:tcPr>
                  <w:tcW w:w="570" w:type="dxa"/>
                  <w:tcBorders>
                    <w:top w:val="nil"/>
                    <w:left w:val="nil"/>
                    <w:bottom w:val="single" w:sz="4" w:space="0" w:color="auto"/>
                    <w:right w:val="single" w:sz="4" w:space="0" w:color="auto"/>
                  </w:tcBorders>
                  <w:shd w:val="clear" w:color="auto" w:fill="auto"/>
                  <w:noWrap/>
                  <w:vAlign w:val="bottom"/>
                  <w:hideMark/>
                </w:tcPr>
                <w:p w14:paraId="6154E41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0BF962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20EF644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480" w:type="dxa"/>
                  <w:tcBorders>
                    <w:top w:val="nil"/>
                    <w:left w:val="nil"/>
                    <w:bottom w:val="single" w:sz="4" w:space="0" w:color="auto"/>
                    <w:right w:val="single" w:sz="4" w:space="0" w:color="auto"/>
                  </w:tcBorders>
                  <w:shd w:val="clear" w:color="auto" w:fill="auto"/>
                  <w:noWrap/>
                  <w:vAlign w:val="bottom"/>
                  <w:hideMark/>
                </w:tcPr>
                <w:p w14:paraId="1AE6CE0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40" w:type="dxa"/>
                  <w:tcBorders>
                    <w:top w:val="nil"/>
                    <w:left w:val="nil"/>
                    <w:bottom w:val="single" w:sz="4" w:space="0" w:color="auto"/>
                    <w:right w:val="single" w:sz="4" w:space="0" w:color="auto"/>
                  </w:tcBorders>
                  <w:shd w:val="clear" w:color="auto" w:fill="auto"/>
                  <w:noWrap/>
                  <w:vAlign w:val="bottom"/>
                  <w:hideMark/>
                </w:tcPr>
                <w:p w14:paraId="237B0BB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27DE45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-326,5</w:t>
                  </w:r>
                </w:p>
              </w:tc>
              <w:tc>
                <w:tcPr>
                  <w:tcW w:w="543" w:type="dxa"/>
                  <w:tcBorders>
                    <w:top w:val="nil"/>
                    <w:left w:val="nil"/>
                    <w:bottom w:val="single" w:sz="4" w:space="0" w:color="auto"/>
                    <w:right w:val="single" w:sz="4" w:space="0" w:color="auto"/>
                  </w:tcBorders>
                  <w:shd w:val="clear" w:color="auto" w:fill="auto"/>
                  <w:noWrap/>
                  <w:vAlign w:val="bottom"/>
                  <w:hideMark/>
                </w:tcPr>
                <w:p w14:paraId="72ACDA0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C35403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-246</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1EE748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-74,5</w:t>
                  </w:r>
                </w:p>
              </w:tc>
            </w:tr>
            <w:tr w:rsidR="00837BD6" w:rsidRPr="009E5B39" w14:paraId="18388B7F" w14:textId="77777777" w:rsidTr="00B32230">
              <w:trPr>
                <w:trHeight w:val="20"/>
              </w:trPr>
              <w:tc>
                <w:tcPr>
                  <w:tcW w:w="2469" w:type="dxa"/>
                  <w:gridSpan w:val="4"/>
                  <w:vMerge/>
                  <w:tcBorders>
                    <w:top w:val="single" w:sz="4" w:space="0" w:color="auto"/>
                    <w:left w:val="single" w:sz="4" w:space="0" w:color="auto"/>
                    <w:bottom w:val="single" w:sz="4" w:space="0" w:color="000000"/>
                    <w:right w:val="single" w:sz="4" w:space="0" w:color="000000"/>
                  </w:tcBorders>
                  <w:vAlign w:val="center"/>
                  <w:hideMark/>
                </w:tcPr>
                <w:p w14:paraId="67E93B2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798EEF1A" w14:textId="77777777" w:rsidR="00837BD6" w:rsidRPr="009E5B39" w:rsidRDefault="00837BD6" w:rsidP="00B32230">
                  <w:pPr>
                    <w:spacing w:after="0" w:line="240" w:lineRule="auto"/>
                    <w:jc w:val="center"/>
                    <w:rPr>
                      <w:rFonts w:asciiTheme="majorHAnsi" w:eastAsia="Times New Roman" w:hAnsiTheme="majorHAnsi" w:cstheme="majorHAnsi"/>
                      <w:bCs/>
                      <w:i/>
                      <w:iCs/>
                      <w:sz w:val="16"/>
                      <w:szCs w:val="16"/>
                      <w:lang w:val="ro-MD"/>
                    </w:rPr>
                  </w:pPr>
                  <w:r w:rsidRPr="009E5B39">
                    <w:rPr>
                      <w:rFonts w:asciiTheme="majorHAnsi" w:eastAsia="Times New Roman" w:hAnsiTheme="majorHAnsi" w:cstheme="majorHAnsi"/>
                      <w:bCs/>
                      <w:i/>
                      <w:iCs/>
                      <w:sz w:val="16"/>
                      <w:szCs w:val="16"/>
                      <w:lang w:val="ro-MD"/>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7B77B18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1217</w:t>
                  </w:r>
                </w:p>
              </w:tc>
              <w:tc>
                <w:tcPr>
                  <w:tcW w:w="516" w:type="dxa"/>
                  <w:tcBorders>
                    <w:top w:val="nil"/>
                    <w:left w:val="nil"/>
                    <w:bottom w:val="single" w:sz="4" w:space="0" w:color="auto"/>
                    <w:right w:val="single" w:sz="4" w:space="0" w:color="auto"/>
                  </w:tcBorders>
                  <w:shd w:val="clear" w:color="auto" w:fill="auto"/>
                  <w:noWrap/>
                  <w:vAlign w:val="bottom"/>
                  <w:hideMark/>
                </w:tcPr>
                <w:p w14:paraId="39E2764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w:t>
                  </w:r>
                </w:p>
              </w:tc>
              <w:tc>
                <w:tcPr>
                  <w:tcW w:w="620" w:type="dxa"/>
                  <w:tcBorders>
                    <w:top w:val="nil"/>
                    <w:left w:val="nil"/>
                    <w:bottom w:val="single" w:sz="4" w:space="0" w:color="auto"/>
                    <w:right w:val="single" w:sz="4" w:space="0" w:color="auto"/>
                  </w:tcBorders>
                  <w:shd w:val="clear" w:color="auto" w:fill="auto"/>
                  <w:noWrap/>
                  <w:vAlign w:val="bottom"/>
                  <w:hideMark/>
                </w:tcPr>
                <w:p w14:paraId="3FDFC9A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854</w:t>
                  </w:r>
                </w:p>
              </w:tc>
              <w:tc>
                <w:tcPr>
                  <w:tcW w:w="572" w:type="dxa"/>
                  <w:tcBorders>
                    <w:top w:val="nil"/>
                    <w:left w:val="nil"/>
                    <w:bottom w:val="single" w:sz="4" w:space="0" w:color="auto"/>
                    <w:right w:val="single" w:sz="4" w:space="0" w:color="auto"/>
                  </w:tcBorders>
                  <w:shd w:val="clear" w:color="auto" w:fill="auto"/>
                  <w:noWrap/>
                  <w:vAlign w:val="bottom"/>
                  <w:hideMark/>
                </w:tcPr>
                <w:p w14:paraId="0748A37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8B3561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1250</w:t>
                  </w:r>
                </w:p>
              </w:tc>
              <w:tc>
                <w:tcPr>
                  <w:tcW w:w="567" w:type="dxa"/>
                  <w:tcBorders>
                    <w:top w:val="nil"/>
                    <w:left w:val="nil"/>
                    <w:bottom w:val="single" w:sz="4" w:space="0" w:color="auto"/>
                    <w:right w:val="single" w:sz="4" w:space="0" w:color="auto"/>
                  </w:tcBorders>
                  <w:shd w:val="clear" w:color="auto" w:fill="auto"/>
                  <w:noWrap/>
                  <w:vAlign w:val="bottom"/>
                  <w:hideMark/>
                </w:tcPr>
                <w:p w14:paraId="62F94AC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w:t>
                  </w:r>
                </w:p>
              </w:tc>
              <w:tc>
                <w:tcPr>
                  <w:tcW w:w="580" w:type="dxa"/>
                  <w:tcBorders>
                    <w:top w:val="nil"/>
                    <w:left w:val="nil"/>
                    <w:bottom w:val="single" w:sz="4" w:space="0" w:color="auto"/>
                    <w:right w:val="nil"/>
                  </w:tcBorders>
                </w:tcPr>
                <w:p w14:paraId="4CACBEC5"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10B67928" w14:textId="6B879D5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873</w:t>
                  </w:r>
                </w:p>
              </w:tc>
              <w:tc>
                <w:tcPr>
                  <w:tcW w:w="570" w:type="dxa"/>
                  <w:tcBorders>
                    <w:top w:val="nil"/>
                    <w:left w:val="nil"/>
                    <w:bottom w:val="single" w:sz="4" w:space="0" w:color="auto"/>
                    <w:right w:val="single" w:sz="4" w:space="0" w:color="auto"/>
                  </w:tcBorders>
                  <w:shd w:val="clear" w:color="auto" w:fill="auto"/>
                  <w:noWrap/>
                  <w:vAlign w:val="bottom"/>
                  <w:hideMark/>
                </w:tcPr>
                <w:p w14:paraId="4352A43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339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4736E2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893</w:t>
                  </w:r>
                </w:p>
              </w:tc>
              <w:tc>
                <w:tcPr>
                  <w:tcW w:w="600" w:type="dxa"/>
                  <w:tcBorders>
                    <w:top w:val="nil"/>
                    <w:left w:val="nil"/>
                    <w:bottom w:val="single" w:sz="4" w:space="0" w:color="auto"/>
                    <w:right w:val="single" w:sz="4" w:space="0" w:color="auto"/>
                  </w:tcBorders>
                  <w:shd w:val="clear" w:color="auto" w:fill="auto"/>
                  <w:noWrap/>
                  <w:vAlign w:val="bottom"/>
                  <w:hideMark/>
                </w:tcPr>
                <w:p w14:paraId="6B56D97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w:t>
                  </w:r>
                </w:p>
              </w:tc>
              <w:tc>
                <w:tcPr>
                  <w:tcW w:w="580" w:type="dxa"/>
                  <w:tcBorders>
                    <w:top w:val="nil"/>
                    <w:left w:val="nil"/>
                    <w:bottom w:val="single" w:sz="4" w:space="0" w:color="auto"/>
                    <w:right w:val="single" w:sz="4" w:space="0" w:color="auto"/>
                  </w:tcBorders>
                  <w:shd w:val="clear" w:color="auto" w:fill="auto"/>
                  <w:noWrap/>
                  <w:vAlign w:val="bottom"/>
                  <w:hideMark/>
                </w:tcPr>
                <w:p w14:paraId="7DE2772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607</w:t>
                  </w:r>
                </w:p>
              </w:tc>
              <w:tc>
                <w:tcPr>
                  <w:tcW w:w="570" w:type="dxa"/>
                  <w:tcBorders>
                    <w:top w:val="nil"/>
                    <w:left w:val="nil"/>
                    <w:bottom w:val="single" w:sz="4" w:space="0" w:color="auto"/>
                    <w:right w:val="single" w:sz="4" w:space="0" w:color="auto"/>
                  </w:tcBorders>
                  <w:shd w:val="clear" w:color="auto" w:fill="auto"/>
                  <w:noWrap/>
                  <w:vAlign w:val="bottom"/>
                  <w:hideMark/>
                </w:tcPr>
                <w:p w14:paraId="740154C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21D3E4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33</w:t>
                  </w:r>
                </w:p>
              </w:tc>
              <w:tc>
                <w:tcPr>
                  <w:tcW w:w="580" w:type="dxa"/>
                  <w:tcBorders>
                    <w:top w:val="nil"/>
                    <w:left w:val="nil"/>
                    <w:bottom w:val="single" w:sz="4" w:space="0" w:color="auto"/>
                    <w:right w:val="single" w:sz="4" w:space="0" w:color="auto"/>
                  </w:tcBorders>
                  <w:shd w:val="clear" w:color="auto" w:fill="auto"/>
                  <w:noWrap/>
                  <w:vAlign w:val="bottom"/>
                  <w:hideMark/>
                </w:tcPr>
                <w:p w14:paraId="66EA7B8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4C931A7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w:t>
                  </w:r>
                </w:p>
              </w:tc>
              <w:tc>
                <w:tcPr>
                  <w:tcW w:w="540" w:type="dxa"/>
                  <w:tcBorders>
                    <w:top w:val="nil"/>
                    <w:left w:val="nil"/>
                    <w:bottom w:val="single" w:sz="4" w:space="0" w:color="auto"/>
                    <w:right w:val="single" w:sz="4" w:space="0" w:color="auto"/>
                  </w:tcBorders>
                  <w:shd w:val="clear" w:color="auto" w:fill="auto"/>
                  <w:noWrap/>
                  <w:vAlign w:val="bottom"/>
                  <w:hideMark/>
                </w:tcPr>
                <w:p w14:paraId="426AB77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30E576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-357</w:t>
                  </w:r>
                </w:p>
              </w:tc>
              <w:tc>
                <w:tcPr>
                  <w:tcW w:w="543" w:type="dxa"/>
                  <w:tcBorders>
                    <w:top w:val="nil"/>
                    <w:left w:val="nil"/>
                    <w:bottom w:val="single" w:sz="4" w:space="0" w:color="auto"/>
                    <w:right w:val="single" w:sz="4" w:space="0" w:color="auto"/>
                  </w:tcBorders>
                  <w:shd w:val="clear" w:color="auto" w:fill="auto"/>
                  <w:noWrap/>
                  <w:vAlign w:val="bottom"/>
                  <w:hideMark/>
                </w:tcPr>
                <w:p w14:paraId="283CFE1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6EB8341"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-266</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54172D7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-90</w:t>
                  </w:r>
                </w:p>
              </w:tc>
            </w:tr>
            <w:tr w:rsidR="00837BD6" w:rsidRPr="009E5B39" w14:paraId="5D41D5E7" w14:textId="77777777" w:rsidTr="00B32230">
              <w:trPr>
                <w:trHeight w:val="20"/>
              </w:trPr>
              <w:tc>
                <w:tcPr>
                  <w:tcW w:w="2469" w:type="dxa"/>
                  <w:gridSpan w:val="4"/>
                  <w:vMerge/>
                  <w:tcBorders>
                    <w:top w:val="single" w:sz="4" w:space="0" w:color="auto"/>
                    <w:left w:val="single" w:sz="4" w:space="0" w:color="auto"/>
                    <w:bottom w:val="single" w:sz="4" w:space="0" w:color="000000"/>
                    <w:right w:val="single" w:sz="4" w:space="0" w:color="000000"/>
                  </w:tcBorders>
                  <w:vAlign w:val="center"/>
                  <w:hideMark/>
                </w:tcPr>
                <w:p w14:paraId="4C4C495F"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1" w:type="dxa"/>
                  <w:tcBorders>
                    <w:top w:val="nil"/>
                    <w:left w:val="nil"/>
                    <w:bottom w:val="single" w:sz="4" w:space="0" w:color="auto"/>
                    <w:right w:val="single" w:sz="4" w:space="0" w:color="auto"/>
                  </w:tcBorders>
                  <w:shd w:val="clear" w:color="auto" w:fill="auto"/>
                  <w:noWrap/>
                  <w:vAlign w:val="bottom"/>
                  <w:hideMark/>
                </w:tcPr>
                <w:p w14:paraId="25A7B13B" w14:textId="77777777" w:rsidR="00837BD6" w:rsidRPr="009E5B39" w:rsidRDefault="00837BD6" w:rsidP="00B32230">
                  <w:pPr>
                    <w:spacing w:after="0" w:line="240" w:lineRule="auto"/>
                    <w:jc w:val="center"/>
                    <w:rPr>
                      <w:rFonts w:asciiTheme="majorHAnsi" w:eastAsia="Times New Roman" w:hAnsiTheme="majorHAnsi" w:cstheme="majorHAnsi"/>
                      <w:bCs/>
                      <w:i/>
                      <w:iCs/>
                      <w:sz w:val="16"/>
                      <w:szCs w:val="16"/>
                      <w:lang w:val="ro-MD"/>
                    </w:rPr>
                  </w:pPr>
                  <w:r w:rsidRPr="009E5B39">
                    <w:rPr>
                      <w:rFonts w:asciiTheme="majorHAnsi" w:eastAsia="Times New Roman" w:hAnsiTheme="majorHAnsi" w:cstheme="majorHAnsi"/>
                      <w:bCs/>
                      <w:i/>
                      <w:iCs/>
                      <w:sz w:val="16"/>
                      <w:szCs w:val="16"/>
                      <w:lang w:val="ro-MD"/>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2D46F79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1172</w:t>
                  </w:r>
                </w:p>
              </w:tc>
              <w:tc>
                <w:tcPr>
                  <w:tcW w:w="516" w:type="dxa"/>
                  <w:tcBorders>
                    <w:top w:val="nil"/>
                    <w:left w:val="nil"/>
                    <w:bottom w:val="single" w:sz="4" w:space="0" w:color="auto"/>
                    <w:right w:val="single" w:sz="4" w:space="0" w:color="auto"/>
                  </w:tcBorders>
                  <w:shd w:val="clear" w:color="auto" w:fill="auto"/>
                  <w:noWrap/>
                  <w:vAlign w:val="bottom"/>
                  <w:hideMark/>
                </w:tcPr>
                <w:p w14:paraId="1695C09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620" w:type="dxa"/>
                  <w:tcBorders>
                    <w:top w:val="nil"/>
                    <w:left w:val="nil"/>
                    <w:bottom w:val="single" w:sz="4" w:space="0" w:color="auto"/>
                    <w:right w:val="single" w:sz="4" w:space="0" w:color="auto"/>
                  </w:tcBorders>
                  <w:shd w:val="clear" w:color="auto" w:fill="auto"/>
                  <w:noWrap/>
                  <w:vAlign w:val="bottom"/>
                  <w:hideMark/>
                </w:tcPr>
                <w:p w14:paraId="0A0B0F9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827</w:t>
                  </w:r>
                </w:p>
              </w:tc>
              <w:tc>
                <w:tcPr>
                  <w:tcW w:w="572" w:type="dxa"/>
                  <w:tcBorders>
                    <w:top w:val="nil"/>
                    <w:left w:val="nil"/>
                    <w:bottom w:val="single" w:sz="4" w:space="0" w:color="auto"/>
                    <w:right w:val="single" w:sz="4" w:space="0" w:color="auto"/>
                  </w:tcBorders>
                  <w:shd w:val="clear" w:color="auto" w:fill="auto"/>
                  <w:noWrap/>
                  <w:vAlign w:val="bottom"/>
                  <w:hideMark/>
                </w:tcPr>
                <w:p w14:paraId="656100E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307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56D300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1272</w:t>
                  </w:r>
                </w:p>
              </w:tc>
              <w:tc>
                <w:tcPr>
                  <w:tcW w:w="567" w:type="dxa"/>
                  <w:tcBorders>
                    <w:top w:val="nil"/>
                    <w:left w:val="nil"/>
                    <w:bottom w:val="single" w:sz="4" w:space="0" w:color="auto"/>
                    <w:right w:val="single" w:sz="4" w:space="0" w:color="auto"/>
                  </w:tcBorders>
                  <w:shd w:val="clear" w:color="auto" w:fill="auto"/>
                  <w:noWrap/>
                  <w:vAlign w:val="bottom"/>
                  <w:hideMark/>
                </w:tcPr>
                <w:p w14:paraId="58D78123"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w:t>
                  </w:r>
                </w:p>
              </w:tc>
              <w:tc>
                <w:tcPr>
                  <w:tcW w:w="580" w:type="dxa"/>
                  <w:tcBorders>
                    <w:top w:val="nil"/>
                    <w:left w:val="nil"/>
                    <w:bottom w:val="single" w:sz="4" w:space="0" w:color="auto"/>
                    <w:right w:val="nil"/>
                  </w:tcBorders>
                </w:tcPr>
                <w:p w14:paraId="3F882F37"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5E81EF55" w14:textId="1A1F5838"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849</w:t>
                  </w:r>
                </w:p>
              </w:tc>
              <w:tc>
                <w:tcPr>
                  <w:tcW w:w="570" w:type="dxa"/>
                  <w:tcBorders>
                    <w:top w:val="nil"/>
                    <w:left w:val="nil"/>
                    <w:bottom w:val="single" w:sz="4" w:space="0" w:color="auto"/>
                    <w:right w:val="single" w:sz="4" w:space="0" w:color="auto"/>
                  </w:tcBorders>
                  <w:shd w:val="clear" w:color="auto" w:fill="auto"/>
                  <w:noWrap/>
                  <w:vAlign w:val="bottom"/>
                  <w:hideMark/>
                </w:tcPr>
                <w:p w14:paraId="39C784F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645DA71"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883</w:t>
                  </w:r>
                </w:p>
              </w:tc>
              <w:tc>
                <w:tcPr>
                  <w:tcW w:w="600" w:type="dxa"/>
                  <w:tcBorders>
                    <w:top w:val="nil"/>
                    <w:left w:val="nil"/>
                    <w:bottom w:val="single" w:sz="4" w:space="0" w:color="auto"/>
                    <w:right w:val="single" w:sz="4" w:space="0" w:color="auto"/>
                  </w:tcBorders>
                  <w:shd w:val="clear" w:color="auto" w:fill="auto"/>
                  <w:noWrap/>
                  <w:vAlign w:val="bottom"/>
                  <w:hideMark/>
                </w:tcPr>
                <w:p w14:paraId="30D9F68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37</w:t>
                  </w:r>
                </w:p>
              </w:tc>
              <w:tc>
                <w:tcPr>
                  <w:tcW w:w="580" w:type="dxa"/>
                  <w:tcBorders>
                    <w:top w:val="nil"/>
                    <w:left w:val="nil"/>
                    <w:bottom w:val="single" w:sz="4" w:space="0" w:color="auto"/>
                    <w:right w:val="single" w:sz="4" w:space="0" w:color="auto"/>
                  </w:tcBorders>
                  <w:shd w:val="clear" w:color="auto" w:fill="auto"/>
                  <w:noWrap/>
                  <w:vAlign w:val="bottom"/>
                  <w:hideMark/>
                </w:tcPr>
                <w:p w14:paraId="34D4160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586</w:t>
                  </w:r>
                </w:p>
              </w:tc>
              <w:tc>
                <w:tcPr>
                  <w:tcW w:w="570" w:type="dxa"/>
                  <w:tcBorders>
                    <w:top w:val="nil"/>
                    <w:left w:val="nil"/>
                    <w:bottom w:val="single" w:sz="4" w:space="0" w:color="auto"/>
                    <w:right w:val="single" w:sz="4" w:space="0" w:color="auto"/>
                  </w:tcBorders>
                  <w:shd w:val="clear" w:color="auto" w:fill="auto"/>
                  <w:noWrap/>
                  <w:vAlign w:val="bottom"/>
                  <w:hideMark/>
                </w:tcPr>
                <w:p w14:paraId="475CE03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260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113164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100</w:t>
                  </w:r>
                </w:p>
              </w:tc>
              <w:tc>
                <w:tcPr>
                  <w:tcW w:w="580" w:type="dxa"/>
                  <w:tcBorders>
                    <w:top w:val="nil"/>
                    <w:left w:val="nil"/>
                    <w:bottom w:val="single" w:sz="4" w:space="0" w:color="auto"/>
                    <w:right w:val="single" w:sz="4" w:space="0" w:color="auto"/>
                  </w:tcBorders>
                  <w:shd w:val="clear" w:color="auto" w:fill="auto"/>
                  <w:noWrap/>
                  <w:vAlign w:val="bottom"/>
                  <w:hideMark/>
                </w:tcPr>
                <w:p w14:paraId="644B136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480" w:type="dxa"/>
                  <w:tcBorders>
                    <w:top w:val="nil"/>
                    <w:left w:val="nil"/>
                    <w:bottom w:val="single" w:sz="4" w:space="0" w:color="auto"/>
                    <w:right w:val="single" w:sz="4" w:space="0" w:color="auto"/>
                  </w:tcBorders>
                  <w:shd w:val="clear" w:color="auto" w:fill="auto"/>
                  <w:noWrap/>
                  <w:vAlign w:val="bottom"/>
                  <w:hideMark/>
                </w:tcPr>
                <w:p w14:paraId="2F35818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w:t>
                  </w:r>
                </w:p>
              </w:tc>
              <w:tc>
                <w:tcPr>
                  <w:tcW w:w="540" w:type="dxa"/>
                  <w:tcBorders>
                    <w:top w:val="nil"/>
                    <w:left w:val="nil"/>
                    <w:bottom w:val="single" w:sz="4" w:space="0" w:color="auto"/>
                    <w:right w:val="single" w:sz="4" w:space="0" w:color="auto"/>
                  </w:tcBorders>
                  <w:shd w:val="clear" w:color="auto" w:fill="auto"/>
                  <w:noWrap/>
                  <w:vAlign w:val="bottom"/>
                  <w:hideMark/>
                </w:tcPr>
                <w:p w14:paraId="32B63F8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78</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4B0F09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-388,5</w:t>
                  </w:r>
                </w:p>
              </w:tc>
              <w:tc>
                <w:tcPr>
                  <w:tcW w:w="543" w:type="dxa"/>
                  <w:tcBorders>
                    <w:top w:val="nil"/>
                    <w:left w:val="nil"/>
                    <w:bottom w:val="single" w:sz="4" w:space="0" w:color="auto"/>
                    <w:right w:val="single" w:sz="4" w:space="0" w:color="auto"/>
                  </w:tcBorders>
                  <w:shd w:val="clear" w:color="auto" w:fill="auto"/>
                  <w:noWrap/>
                  <w:vAlign w:val="bottom"/>
                  <w:hideMark/>
                </w:tcPr>
                <w:p w14:paraId="6309DD8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C84E26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-263</w:t>
                  </w: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60EF73F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-125</w:t>
                  </w:r>
                </w:p>
              </w:tc>
            </w:tr>
            <w:tr w:rsidR="00837BD6" w:rsidRPr="009E5B39" w14:paraId="3128BCC0" w14:textId="77777777" w:rsidTr="00B32230">
              <w:trPr>
                <w:trHeight w:val="2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41B7D7B5" w14:textId="60DFB6E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237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4DB1DF6"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2019-2018</w:t>
                  </w:r>
                </w:p>
              </w:tc>
              <w:tc>
                <w:tcPr>
                  <w:tcW w:w="671" w:type="dxa"/>
                  <w:tcBorders>
                    <w:top w:val="nil"/>
                    <w:left w:val="nil"/>
                    <w:bottom w:val="single" w:sz="4" w:space="0" w:color="auto"/>
                    <w:right w:val="single" w:sz="4" w:space="0" w:color="auto"/>
                  </w:tcBorders>
                  <w:shd w:val="clear" w:color="auto" w:fill="auto"/>
                  <w:noWrap/>
                  <w:vAlign w:val="bottom"/>
                  <w:hideMark/>
                </w:tcPr>
                <w:p w14:paraId="25192CB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17,5</w:t>
                  </w:r>
                </w:p>
              </w:tc>
              <w:tc>
                <w:tcPr>
                  <w:tcW w:w="516" w:type="dxa"/>
                  <w:tcBorders>
                    <w:top w:val="nil"/>
                    <w:left w:val="nil"/>
                    <w:bottom w:val="single" w:sz="4" w:space="0" w:color="auto"/>
                    <w:right w:val="single" w:sz="4" w:space="0" w:color="auto"/>
                  </w:tcBorders>
                  <w:shd w:val="clear" w:color="auto" w:fill="auto"/>
                  <w:noWrap/>
                  <w:vAlign w:val="bottom"/>
                  <w:hideMark/>
                </w:tcPr>
                <w:p w14:paraId="51D5A48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20" w:type="dxa"/>
                  <w:tcBorders>
                    <w:top w:val="nil"/>
                    <w:left w:val="nil"/>
                    <w:bottom w:val="single" w:sz="4" w:space="0" w:color="auto"/>
                    <w:right w:val="single" w:sz="4" w:space="0" w:color="auto"/>
                  </w:tcBorders>
                  <w:shd w:val="clear" w:color="auto" w:fill="auto"/>
                  <w:noWrap/>
                  <w:vAlign w:val="bottom"/>
                  <w:hideMark/>
                </w:tcPr>
                <w:p w14:paraId="0C168BE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w:t>
                  </w:r>
                </w:p>
              </w:tc>
              <w:tc>
                <w:tcPr>
                  <w:tcW w:w="572" w:type="dxa"/>
                  <w:tcBorders>
                    <w:top w:val="nil"/>
                    <w:left w:val="nil"/>
                    <w:bottom w:val="single" w:sz="4" w:space="0" w:color="auto"/>
                    <w:right w:val="single" w:sz="4" w:space="0" w:color="auto"/>
                  </w:tcBorders>
                  <w:shd w:val="clear" w:color="auto" w:fill="auto"/>
                  <w:noWrap/>
                  <w:vAlign w:val="bottom"/>
                  <w:hideMark/>
                </w:tcPr>
                <w:p w14:paraId="58026FE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08C510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15,5</w:t>
                  </w:r>
                </w:p>
              </w:tc>
              <w:tc>
                <w:tcPr>
                  <w:tcW w:w="567" w:type="dxa"/>
                  <w:tcBorders>
                    <w:top w:val="nil"/>
                    <w:left w:val="nil"/>
                    <w:bottom w:val="single" w:sz="4" w:space="0" w:color="auto"/>
                    <w:right w:val="single" w:sz="4" w:space="0" w:color="auto"/>
                  </w:tcBorders>
                  <w:shd w:val="clear" w:color="auto" w:fill="auto"/>
                  <w:noWrap/>
                  <w:vAlign w:val="bottom"/>
                  <w:hideMark/>
                </w:tcPr>
                <w:p w14:paraId="520D5E6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580" w:type="dxa"/>
                  <w:tcBorders>
                    <w:top w:val="nil"/>
                    <w:left w:val="nil"/>
                    <w:bottom w:val="single" w:sz="4" w:space="0" w:color="auto"/>
                    <w:right w:val="nil"/>
                  </w:tcBorders>
                </w:tcPr>
                <w:p w14:paraId="104452F3"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5EB3569" w14:textId="668826C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570" w:type="dxa"/>
                  <w:tcBorders>
                    <w:top w:val="nil"/>
                    <w:left w:val="nil"/>
                    <w:bottom w:val="single" w:sz="4" w:space="0" w:color="auto"/>
                    <w:right w:val="single" w:sz="4" w:space="0" w:color="auto"/>
                  </w:tcBorders>
                  <w:shd w:val="clear" w:color="auto" w:fill="auto"/>
                  <w:noWrap/>
                  <w:vAlign w:val="bottom"/>
                  <w:hideMark/>
                </w:tcPr>
                <w:p w14:paraId="0B6CEC7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CB94E1A"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42,5</w:t>
                  </w:r>
                </w:p>
              </w:tc>
              <w:tc>
                <w:tcPr>
                  <w:tcW w:w="600" w:type="dxa"/>
                  <w:tcBorders>
                    <w:top w:val="nil"/>
                    <w:left w:val="nil"/>
                    <w:bottom w:val="single" w:sz="4" w:space="0" w:color="auto"/>
                    <w:right w:val="single" w:sz="4" w:space="0" w:color="auto"/>
                  </w:tcBorders>
                  <w:shd w:val="clear" w:color="auto" w:fill="auto"/>
                  <w:noWrap/>
                  <w:vAlign w:val="bottom"/>
                  <w:hideMark/>
                </w:tcPr>
                <w:p w14:paraId="1BF61B5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w:t>
                  </w:r>
                </w:p>
              </w:tc>
              <w:tc>
                <w:tcPr>
                  <w:tcW w:w="580" w:type="dxa"/>
                  <w:tcBorders>
                    <w:top w:val="nil"/>
                    <w:left w:val="nil"/>
                    <w:bottom w:val="single" w:sz="4" w:space="0" w:color="auto"/>
                    <w:right w:val="single" w:sz="4" w:space="0" w:color="auto"/>
                  </w:tcBorders>
                  <w:shd w:val="clear" w:color="auto" w:fill="auto"/>
                  <w:noWrap/>
                  <w:vAlign w:val="bottom"/>
                  <w:hideMark/>
                </w:tcPr>
                <w:p w14:paraId="4B8438B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570" w:type="dxa"/>
                  <w:tcBorders>
                    <w:top w:val="nil"/>
                    <w:left w:val="nil"/>
                    <w:bottom w:val="single" w:sz="4" w:space="0" w:color="auto"/>
                    <w:right w:val="single" w:sz="4" w:space="0" w:color="auto"/>
                  </w:tcBorders>
                  <w:shd w:val="clear" w:color="auto" w:fill="auto"/>
                  <w:noWrap/>
                  <w:vAlign w:val="bottom"/>
                  <w:hideMark/>
                </w:tcPr>
                <w:p w14:paraId="2A80A956"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4ED0E74" w14:textId="0177A34B"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3550332F" w14:textId="65C027A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480" w:type="dxa"/>
                  <w:tcBorders>
                    <w:top w:val="nil"/>
                    <w:left w:val="nil"/>
                    <w:bottom w:val="single" w:sz="4" w:space="0" w:color="auto"/>
                    <w:right w:val="single" w:sz="4" w:space="0" w:color="auto"/>
                  </w:tcBorders>
                  <w:shd w:val="clear" w:color="auto" w:fill="auto"/>
                  <w:noWrap/>
                  <w:vAlign w:val="bottom"/>
                  <w:hideMark/>
                </w:tcPr>
                <w:p w14:paraId="60C87102" w14:textId="17BDD60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0" w:type="dxa"/>
                  <w:tcBorders>
                    <w:top w:val="nil"/>
                    <w:left w:val="nil"/>
                    <w:bottom w:val="single" w:sz="4" w:space="0" w:color="auto"/>
                    <w:right w:val="single" w:sz="4" w:space="0" w:color="auto"/>
                  </w:tcBorders>
                  <w:shd w:val="clear" w:color="auto" w:fill="auto"/>
                  <w:noWrap/>
                  <w:vAlign w:val="bottom"/>
                  <w:hideMark/>
                </w:tcPr>
                <w:p w14:paraId="04A438E4" w14:textId="68C7F3B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B272A2B" w14:textId="59DD0639"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3" w:type="dxa"/>
                  <w:tcBorders>
                    <w:top w:val="nil"/>
                    <w:left w:val="nil"/>
                    <w:bottom w:val="single" w:sz="4" w:space="0" w:color="auto"/>
                    <w:right w:val="single" w:sz="4" w:space="0" w:color="auto"/>
                  </w:tcBorders>
                  <w:shd w:val="clear" w:color="auto" w:fill="auto"/>
                  <w:noWrap/>
                  <w:vAlign w:val="bottom"/>
                  <w:hideMark/>
                </w:tcPr>
                <w:p w14:paraId="188974F6" w14:textId="0F449DA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C58C3D4" w14:textId="5660436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45D7A47" w14:textId="4606309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r>
            <w:tr w:rsidR="00837BD6" w:rsidRPr="009E5B39" w14:paraId="7D664287" w14:textId="77777777" w:rsidTr="00B32230">
              <w:trPr>
                <w:trHeight w:val="2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02DDEC1E" w14:textId="7683D65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237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6B7F0A0"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2020-2019</w:t>
                  </w:r>
                </w:p>
              </w:tc>
              <w:tc>
                <w:tcPr>
                  <w:tcW w:w="671" w:type="dxa"/>
                  <w:tcBorders>
                    <w:top w:val="nil"/>
                    <w:left w:val="nil"/>
                    <w:bottom w:val="single" w:sz="4" w:space="0" w:color="auto"/>
                    <w:right w:val="single" w:sz="4" w:space="0" w:color="auto"/>
                  </w:tcBorders>
                  <w:shd w:val="clear" w:color="auto" w:fill="auto"/>
                  <w:noWrap/>
                  <w:vAlign w:val="bottom"/>
                  <w:hideMark/>
                </w:tcPr>
                <w:p w14:paraId="2996E6AC"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100,5</w:t>
                  </w:r>
                </w:p>
              </w:tc>
              <w:tc>
                <w:tcPr>
                  <w:tcW w:w="516" w:type="dxa"/>
                  <w:tcBorders>
                    <w:top w:val="nil"/>
                    <w:left w:val="nil"/>
                    <w:bottom w:val="single" w:sz="4" w:space="0" w:color="auto"/>
                    <w:right w:val="single" w:sz="4" w:space="0" w:color="auto"/>
                  </w:tcBorders>
                  <w:shd w:val="clear" w:color="auto" w:fill="auto"/>
                  <w:noWrap/>
                  <w:vAlign w:val="bottom"/>
                  <w:hideMark/>
                </w:tcPr>
                <w:p w14:paraId="1D1C15F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620" w:type="dxa"/>
                  <w:tcBorders>
                    <w:top w:val="nil"/>
                    <w:left w:val="nil"/>
                    <w:bottom w:val="single" w:sz="4" w:space="0" w:color="auto"/>
                    <w:right w:val="single" w:sz="4" w:space="0" w:color="auto"/>
                  </w:tcBorders>
                  <w:shd w:val="clear" w:color="auto" w:fill="auto"/>
                  <w:noWrap/>
                  <w:vAlign w:val="bottom"/>
                  <w:hideMark/>
                </w:tcPr>
                <w:p w14:paraId="5983C1D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69</w:t>
                  </w:r>
                </w:p>
              </w:tc>
              <w:tc>
                <w:tcPr>
                  <w:tcW w:w="572" w:type="dxa"/>
                  <w:tcBorders>
                    <w:top w:val="nil"/>
                    <w:left w:val="nil"/>
                    <w:bottom w:val="single" w:sz="4" w:space="0" w:color="auto"/>
                    <w:right w:val="single" w:sz="4" w:space="0" w:color="auto"/>
                  </w:tcBorders>
                  <w:shd w:val="clear" w:color="auto" w:fill="auto"/>
                  <w:noWrap/>
                  <w:vAlign w:val="bottom"/>
                  <w:hideMark/>
                </w:tcPr>
                <w:p w14:paraId="2EB0C49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E72295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133,5</w:t>
                  </w:r>
                </w:p>
              </w:tc>
              <w:tc>
                <w:tcPr>
                  <w:tcW w:w="567" w:type="dxa"/>
                  <w:tcBorders>
                    <w:top w:val="nil"/>
                    <w:left w:val="nil"/>
                    <w:bottom w:val="single" w:sz="4" w:space="0" w:color="auto"/>
                    <w:right w:val="single" w:sz="4" w:space="0" w:color="auto"/>
                  </w:tcBorders>
                  <w:shd w:val="clear" w:color="auto" w:fill="auto"/>
                  <w:noWrap/>
                  <w:vAlign w:val="bottom"/>
                  <w:hideMark/>
                </w:tcPr>
                <w:p w14:paraId="0CA81A8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80" w:type="dxa"/>
                  <w:tcBorders>
                    <w:top w:val="nil"/>
                    <w:left w:val="nil"/>
                    <w:bottom w:val="single" w:sz="4" w:space="0" w:color="auto"/>
                    <w:right w:val="nil"/>
                  </w:tcBorders>
                </w:tcPr>
                <w:p w14:paraId="294736C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80EDB41" w14:textId="282EDFA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93</w:t>
                  </w:r>
                </w:p>
              </w:tc>
              <w:tc>
                <w:tcPr>
                  <w:tcW w:w="570" w:type="dxa"/>
                  <w:tcBorders>
                    <w:top w:val="nil"/>
                    <w:left w:val="nil"/>
                    <w:bottom w:val="single" w:sz="4" w:space="0" w:color="auto"/>
                    <w:right w:val="single" w:sz="4" w:space="0" w:color="auto"/>
                  </w:tcBorders>
                  <w:shd w:val="clear" w:color="auto" w:fill="auto"/>
                  <w:noWrap/>
                  <w:vAlign w:val="bottom"/>
                  <w:hideMark/>
                </w:tcPr>
                <w:p w14:paraId="5CFE0C2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9250F35"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103</w:t>
                  </w:r>
                </w:p>
              </w:tc>
              <w:tc>
                <w:tcPr>
                  <w:tcW w:w="600" w:type="dxa"/>
                  <w:tcBorders>
                    <w:top w:val="nil"/>
                    <w:left w:val="nil"/>
                    <w:bottom w:val="single" w:sz="4" w:space="0" w:color="auto"/>
                    <w:right w:val="single" w:sz="4" w:space="0" w:color="auto"/>
                  </w:tcBorders>
                  <w:shd w:val="clear" w:color="auto" w:fill="auto"/>
                  <w:noWrap/>
                  <w:vAlign w:val="bottom"/>
                  <w:hideMark/>
                </w:tcPr>
                <w:p w14:paraId="3DC5325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580" w:type="dxa"/>
                  <w:tcBorders>
                    <w:top w:val="nil"/>
                    <w:left w:val="nil"/>
                    <w:bottom w:val="single" w:sz="4" w:space="0" w:color="auto"/>
                    <w:right w:val="single" w:sz="4" w:space="0" w:color="auto"/>
                  </w:tcBorders>
                  <w:shd w:val="clear" w:color="auto" w:fill="auto"/>
                  <w:noWrap/>
                  <w:vAlign w:val="bottom"/>
                  <w:hideMark/>
                </w:tcPr>
                <w:p w14:paraId="5128A4B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73</w:t>
                  </w:r>
                </w:p>
              </w:tc>
              <w:tc>
                <w:tcPr>
                  <w:tcW w:w="570" w:type="dxa"/>
                  <w:tcBorders>
                    <w:top w:val="nil"/>
                    <w:left w:val="nil"/>
                    <w:bottom w:val="single" w:sz="4" w:space="0" w:color="auto"/>
                    <w:right w:val="single" w:sz="4" w:space="0" w:color="auto"/>
                  </w:tcBorders>
                  <w:shd w:val="clear" w:color="auto" w:fill="auto"/>
                  <w:noWrap/>
                  <w:vAlign w:val="bottom"/>
                  <w:hideMark/>
                </w:tcPr>
                <w:p w14:paraId="1F4314E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B85023B" w14:textId="3AC2C99B"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8B3935B" w14:textId="5DBD1ED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480" w:type="dxa"/>
                  <w:tcBorders>
                    <w:top w:val="nil"/>
                    <w:left w:val="nil"/>
                    <w:bottom w:val="single" w:sz="4" w:space="0" w:color="auto"/>
                    <w:right w:val="single" w:sz="4" w:space="0" w:color="auto"/>
                  </w:tcBorders>
                  <w:shd w:val="clear" w:color="auto" w:fill="auto"/>
                  <w:noWrap/>
                  <w:vAlign w:val="bottom"/>
                  <w:hideMark/>
                </w:tcPr>
                <w:p w14:paraId="4C290910" w14:textId="3B550EA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0" w:type="dxa"/>
                  <w:tcBorders>
                    <w:top w:val="nil"/>
                    <w:left w:val="nil"/>
                    <w:bottom w:val="single" w:sz="4" w:space="0" w:color="auto"/>
                    <w:right w:val="single" w:sz="4" w:space="0" w:color="auto"/>
                  </w:tcBorders>
                  <w:shd w:val="clear" w:color="auto" w:fill="auto"/>
                  <w:noWrap/>
                  <w:vAlign w:val="bottom"/>
                  <w:hideMark/>
                </w:tcPr>
                <w:p w14:paraId="5D4D8014" w14:textId="491FC96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137743C" w14:textId="637E38C0"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3" w:type="dxa"/>
                  <w:tcBorders>
                    <w:top w:val="nil"/>
                    <w:left w:val="nil"/>
                    <w:bottom w:val="single" w:sz="4" w:space="0" w:color="auto"/>
                    <w:right w:val="single" w:sz="4" w:space="0" w:color="auto"/>
                  </w:tcBorders>
                  <w:shd w:val="clear" w:color="auto" w:fill="auto"/>
                  <w:noWrap/>
                  <w:vAlign w:val="bottom"/>
                  <w:hideMark/>
                </w:tcPr>
                <w:p w14:paraId="4772C3AA" w14:textId="7C5410C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8C92E7F" w14:textId="4014021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790985FD" w14:textId="5AA068D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r>
            <w:tr w:rsidR="00837BD6" w:rsidRPr="009E5B39" w14:paraId="3A05128A" w14:textId="77777777" w:rsidTr="00B32230">
              <w:trPr>
                <w:trHeight w:val="2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57132C8D" w14:textId="56E30D6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237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5A112A3"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2021-2020</w:t>
                  </w:r>
                </w:p>
              </w:tc>
              <w:tc>
                <w:tcPr>
                  <w:tcW w:w="671" w:type="dxa"/>
                  <w:tcBorders>
                    <w:top w:val="nil"/>
                    <w:left w:val="nil"/>
                    <w:bottom w:val="single" w:sz="4" w:space="0" w:color="auto"/>
                    <w:right w:val="single" w:sz="4" w:space="0" w:color="auto"/>
                  </w:tcBorders>
                  <w:shd w:val="clear" w:color="auto" w:fill="auto"/>
                  <w:noWrap/>
                  <w:vAlign w:val="bottom"/>
                  <w:hideMark/>
                </w:tcPr>
                <w:p w14:paraId="5F54C2E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-45,5</w:t>
                  </w:r>
                </w:p>
              </w:tc>
              <w:tc>
                <w:tcPr>
                  <w:tcW w:w="516" w:type="dxa"/>
                  <w:tcBorders>
                    <w:top w:val="nil"/>
                    <w:left w:val="nil"/>
                    <w:bottom w:val="single" w:sz="4" w:space="0" w:color="auto"/>
                    <w:right w:val="single" w:sz="4" w:space="0" w:color="auto"/>
                  </w:tcBorders>
                  <w:shd w:val="clear" w:color="auto" w:fill="auto"/>
                  <w:noWrap/>
                  <w:vAlign w:val="bottom"/>
                  <w:hideMark/>
                </w:tcPr>
                <w:p w14:paraId="51C5903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620" w:type="dxa"/>
                  <w:tcBorders>
                    <w:top w:val="nil"/>
                    <w:left w:val="nil"/>
                    <w:bottom w:val="single" w:sz="4" w:space="0" w:color="auto"/>
                    <w:right w:val="single" w:sz="4" w:space="0" w:color="auto"/>
                  </w:tcBorders>
                  <w:shd w:val="clear" w:color="auto" w:fill="auto"/>
                  <w:noWrap/>
                  <w:vAlign w:val="bottom"/>
                  <w:hideMark/>
                </w:tcPr>
                <w:p w14:paraId="2339D988"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w:t>
                  </w:r>
                </w:p>
              </w:tc>
              <w:tc>
                <w:tcPr>
                  <w:tcW w:w="572" w:type="dxa"/>
                  <w:tcBorders>
                    <w:top w:val="nil"/>
                    <w:left w:val="nil"/>
                    <w:bottom w:val="single" w:sz="4" w:space="0" w:color="auto"/>
                    <w:right w:val="single" w:sz="4" w:space="0" w:color="auto"/>
                  </w:tcBorders>
                  <w:shd w:val="clear" w:color="auto" w:fill="auto"/>
                  <w:noWrap/>
                  <w:vAlign w:val="bottom"/>
                  <w:hideMark/>
                </w:tcPr>
                <w:p w14:paraId="7D5B0A8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8B09C6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21,5</w:t>
                  </w:r>
                </w:p>
              </w:tc>
              <w:tc>
                <w:tcPr>
                  <w:tcW w:w="567" w:type="dxa"/>
                  <w:tcBorders>
                    <w:top w:val="nil"/>
                    <w:left w:val="nil"/>
                    <w:bottom w:val="single" w:sz="4" w:space="0" w:color="auto"/>
                    <w:right w:val="single" w:sz="4" w:space="0" w:color="auto"/>
                  </w:tcBorders>
                  <w:shd w:val="clear" w:color="auto" w:fill="auto"/>
                  <w:noWrap/>
                  <w:vAlign w:val="bottom"/>
                  <w:hideMark/>
                </w:tcPr>
                <w:p w14:paraId="1A6C61C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80" w:type="dxa"/>
                  <w:tcBorders>
                    <w:top w:val="nil"/>
                    <w:left w:val="nil"/>
                    <w:bottom w:val="single" w:sz="4" w:space="0" w:color="auto"/>
                    <w:right w:val="nil"/>
                  </w:tcBorders>
                </w:tcPr>
                <w:p w14:paraId="7007B478"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4AF0B529" w14:textId="2C0C543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w:t>
                  </w:r>
                </w:p>
              </w:tc>
              <w:tc>
                <w:tcPr>
                  <w:tcW w:w="570" w:type="dxa"/>
                  <w:tcBorders>
                    <w:top w:val="nil"/>
                    <w:left w:val="nil"/>
                    <w:bottom w:val="single" w:sz="4" w:space="0" w:color="auto"/>
                    <w:right w:val="single" w:sz="4" w:space="0" w:color="auto"/>
                  </w:tcBorders>
                  <w:shd w:val="clear" w:color="auto" w:fill="auto"/>
                  <w:noWrap/>
                  <w:vAlign w:val="bottom"/>
                  <w:hideMark/>
                </w:tcPr>
                <w:p w14:paraId="0F62CED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CA706D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-10</w:t>
                  </w:r>
                </w:p>
              </w:tc>
              <w:tc>
                <w:tcPr>
                  <w:tcW w:w="600" w:type="dxa"/>
                  <w:tcBorders>
                    <w:top w:val="nil"/>
                    <w:left w:val="nil"/>
                    <w:bottom w:val="single" w:sz="4" w:space="0" w:color="auto"/>
                    <w:right w:val="single" w:sz="4" w:space="0" w:color="auto"/>
                  </w:tcBorders>
                  <w:shd w:val="clear" w:color="auto" w:fill="auto"/>
                  <w:noWrap/>
                  <w:vAlign w:val="bottom"/>
                  <w:hideMark/>
                </w:tcPr>
                <w:p w14:paraId="0EBE716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w:t>
                  </w:r>
                </w:p>
              </w:tc>
              <w:tc>
                <w:tcPr>
                  <w:tcW w:w="580" w:type="dxa"/>
                  <w:tcBorders>
                    <w:top w:val="nil"/>
                    <w:left w:val="nil"/>
                    <w:bottom w:val="single" w:sz="4" w:space="0" w:color="auto"/>
                    <w:right w:val="single" w:sz="4" w:space="0" w:color="auto"/>
                  </w:tcBorders>
                  <w:shd w:val="clear" w:color="auto" w:fill="auto"/>
                  <w:noWrap/>
                  <w:vAlign w:val="bottom"/>
                  <w:hideMark/>
                </w:tcPr>
                <w:p w14:paraId="3B11233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w:t>
                  </w:r>
                </w:p>
              </w:tc>
              <w:tc>
                <w:tcPr>
                  <w:tcW w:w="570" w:type="dxa"/>
                  <w:tcBorders>
                    <w:top w:val="nil"/>
                    <w:left w:val="nil"/>
                    <w:bottom w:val="single" w:sz="4" w:space="0" w:color="auto"/>
                    <w:right w:val="single" w:sz="4" w:space="0" w:color="auto"/>
                  </w:tcBorders>
                  <w:shd w:val="clear" w:color="auto" w:fill="auto"/>
                  <w:noWrap/>
                  <w:vAlign w:val="bottom"/>
                  <w:hideMark/>
                </w:tcPr>
                <w:p w14:paraId="1B816BB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F0E5127" w14:textId="5F86B1BD"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34C20CD" w14:textId="4D5D80C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480" w:type="dxa"/>
                  <w:tcBorders>
                    <w:top w:val="nil"/>
                    <w:left w:val="nil"/>
                    <w:bottom w:val="single" w:sz="4" w:space="0" w:color="auto"/>
                    <w:right w:val="single" w:sz="4" w:space="0" w:color="auto"/>
                  </w:tcBorders>
                  <w:shd w:val="clear" w:color="auto" w:fill="auto"/>
                  <w:noWrap/>
                  <w:vAlign w:val="bottom"/>
                  <w:hideMark/>
                </w:tcPr>
                <w:p w14:paraId="4A935E4B" w14:textId="1721C8A1"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0" w:type="dxa"/>
                  <w:tcBorders>
                    <w:top w:val="nil"/>
                    <w:left w:val="nil"/>
                    <w:bottom w:val="single" w:sz="4" w:space="0" w:color="auto"/>
                    <w:right w:val="single" w:sz="4" w:space="0" w:color="auto"/>
                  </w:tcBorders>
                  <w:shd w:val="clear" w:color="auto" w:fill="auto"/>
                  <w:noWrap/>
                  <w:vAlign w:val="bottom"/>
                  <w:hideMark/>
                </w:tcPr>
                <w:p w14:paraId="12954CF9" w14:textId="061A91C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4B6AB40" w14:textId="4456FEC5"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3" w:type="dxa"/>
                  <w:tcBorders>
                    <w:top w:val="nil"/>
                    <w:left w:val="nil"/>
                    <w:bottom w:val="single" w:sz="4" w:space="0" w:color="auto"/>
                    <w:right w:val="single" w:sz="4" w:space="0" w:color="auto"/>
                  </w:tcBorders>
                  <w:shd w:val="clear" w:color="auto" w:fill="auto"/>
                  <w:noWrap/>
                  <w:vAlign w:val="bottom"/>
                  <w:hideMark/>
                </w:tcPr>
                <w:p w14:paraId="6ED471F7" w14:textId="58789AF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7250804" w14:textId="25DECA6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2B161E4" w14:textId="6F08B4B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r>
            <w:tr w:rsidR="00837BD6" w:rsidRPr="009E5B39" w14:paraId="607F29CD" w14:textId="77777777" w:rsidTr="00B32230">
              <w:trPr>
                <w:trHeight w:val="2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6FA50023" w14:textId="3C0A2A7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237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8032DE9"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2020-2018</w:t>
                  </w:r>
                </w:p>
              </w:tc>
              <w:tc>
                <w:tcPr>
                  <w:tcW w:w="671" w:type="dxa"/>
                  <w:tcBorders>
                    <w:top w:val="nil"/>
                    <w:left w:val="nil"/>
                    <w:bottom w:val="single" w:sz="4" w:space="0" w:color="auto"/>
                    <w:right w:val="single" w:sz="4" w:space="0" w:color="auto"/>
                  </w:tcBorders>
                  <w:shd w:val="clear" w:color="auto" w:fill="auto"/>
                  <w:noWrap/>
                  <w:vAlign w:val="bottom"/>
                  <w:hideMark/>
                </w:tcPr>
                <w:p w14:paraId="1D050C67"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118</w:t>
                  </w:r>
                </w:p>
              </w:tc>
              <w:tc>
                <w:tcPr>
                  <w:tcW w:w="516" w:type="dxa"/>
                  <w:tcBorders>
                    <w:top w:val="nil"/>
                    <w:left w:val="nil"/>
                    <w:bottom w:val="single" w:sz="4" w:space="0" w:color="auto"/>
                    <w:right w:val="single" w:sz="4" w:space="0" w:color="auto"/>
                  </w:tcBorders>
                  <w:shd w:val="clear" w:color="auto" w:fill="auto"/>
                  <w:noWrap/>
                  <w:vAlign w:val="bottom"/>
                  <w:hideMark/>
                </w:tcPr>
                <w:p w14:paraId="65B98D3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620" w:type="dxa"/>
                  <w:tcBorders>
                    <w:top w:val="nil"/>
                    <w:left w:val="nil"/>
                    <w:bottom w:val="single" w:sz="4" w:space="0" w:color="auto"/>
                    <w:right w:val="single" w:sz="4" w:space="0" w:color="auto"/>
                  </w:tcBorders>
                  <w:shd w:val="clear" w:color="auto" w:fill="auto"/>
                  <w:noWrap/>
                  <w:vAlign w:val="bottom"/>
                  <w:hideMark/>
                </w:tcPr>
                <w:p w14:paraId="1A6AF02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82</w:t>
                  </w:r>
                </w:p>
              </w:tc>
              <w:tc>
                <w:tcPr>
                  <w:tcW w:w="572" w:type="dxa"/>
                  <w:tcBorders>
                    <w:top w:val="nil"/>
                    <w:left w:val="nil"/>
                    <w:bottom w:val="single" w:sz="4" w:space="0" w:color="auto"/>
                    <w:right w:val="single" w:sz="4" w:space="0" w:color="auto"/>
                  </w:tcBorders>
                  <w:shd w:val="clear" w:color="auto" w:fill="auto"/>
                  <w:noWrap/>
                  <w:vAlign w:val="bottom"/>
                  <w:hideMark/>
                </w:tcPr>
                <w:p w14:paraId="138C40C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69E74CE"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149</w:t>
                  </w:r>
                </w:p>
              </w:tc>
              <w:tc>
                <w:tcPr>
                  <w:tcW w:w="567" w:type="dxa"/>
                  <w:tcBorders>
                    <w:top w:val="nil"/>
                    <w:left w:val="nil"/>
                    <w:bottom w:val="single" w:sz="4" w:space="0" w:color="auto"/>
                    <w:right w:val="single" w:sz="4" w:space="0" w:color="auto"/>
                  </w:tcBorders>
                  <w:shd w:val="clear" w:color="auto" w:fill="auto"/>
                  <w:noWrap/>
                  <w:vAlign w:val="bottom"/>
                  <w:hideMark/>
                </w:tcPr>
                <w:p w14:paraId="07F3BA23"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580" w:type="dxa"/>
                  <w:tcBorders>
                    <w:top w:val="nil"/>
                    <w:left w:val="nil"/>
                    <w:bottom w:val="single" w:sz="4" w:space="0" w:color="auto"/>
                    <w:right w:val="nil"/>
                  </w:tcBorders>
                </w:tcPr>
                <w:p w14:paraId="7E0404DB"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2C388624" w14:textId="72A34E6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99</w:t>
                  </w:r>
                </w:p>
              </w:tc>
              <w:tc>
                <w:tcPr>
                  <w:tcW w:w="570" w:type="dxa"/>
                  <w:tcBorders>
                    <w:top w:val="nil"/>
                    <w:left w:val="nil"/>
                    <w:bottom w:val="single" w:sz="4" w:space="0" w:color="auto"/>
                    <w:right w:val="single" w:sz="4" w:space="0" w:color="auto"/>
                  </w:tcBorders>
                  <w:shd w:val="clear" w:color="auto" w:fill="auto"/>
                  <w:noWrap/>
                  <w:vAlign w:val="bottom"/>
                  <w:hideMark/>
                </w:tcPr>
                <w:p w14:paraId="0F7EDA1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0824582"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145,5</w:t>
                  </w:r>
                </w:p>
              </w:tc>
              <w:tc>
                <w:tcPr>
                  <w:tcW w:w="600" w:type="dxa"/>
                  <w:tcBorders>
                    <w:top w:val="nil"/>
                    <w:left w:val="nil"/>
                    <w:bottom w:val="single" w:sz="4" w:space="0" w:color="auto"/>
                    <w:right w:val="single" w:sz="4" w:space="0" w:color="auto"/>
                  </w:tcBorders>
                  <w:shd w:val="clear" w:color="auto" w:fill="auto"/>
                  <w:noWrap/>
                  <w:vAlign w:val="bottom"/>
                  <w:hideMark/>
                </w:tcPr>
                <w:p w14:paraId="70B13DD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w:t>
                  </w:r>
                </w:p>
              </w:tc>
              <w:tc>
                <w:tcPr>
                  <w:tcW w:w="580" w:type="dxa"/>
                  <w:tcBorders>
                    <w:top w:val="nil"/>
                    <w:left w:val="nil"/>
                    <w:bottom w:val="single" w:sz="4" w:space="0" w:color="auto"/>
                    <w:right w:val="single" w:sz="4" w:space="0" w:color="auto"/>
                  </w:tcBorders>
                  <w:shd w:val="clear" w:color="auto" w:fill="auto"/>
                  <w:noWrap/>
                  <w:vAlign w:val="bottom"/>
                  <w:hideMark/>
                </w:tcPr>
                <w:p w14:paraId="5A9DD14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84</w:t>
                  </w:r>
                </w:p>
              </w:tc>
              <w:tc>
                <w:tcPr>
                  <w:tcW w:w="570" w:type="dxa"/>
                  <w:tcBorders>
                    <w:top w:val="nil"/>
                    <w:left w:val="nil"/>
                    <w:bottom w:val="single" w:sz="4" w:space="0" w:color="auto"/>
                    <w:right w:val="single" w:sz="4" w:space="0" w:color="auto"/>
                  </w:tcBorders>
                  <w:shd w:val="clear" w:color="auto" w:fill="auto"/>
                  <w:noWrap/>
                  <w:vAlign w:val="bottom"/>
                  <w:hideMark/>
                </w:tcPr>
                <w:p w14:paraId="73731E0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25324EB" w14:textId="6D0B4063"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ABC1E50" w14:textId="63B2022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480" w:type="dxa"/>
                  <w:tcBorders>
                    <w:top w:val="nil"/>
                    <w:left w:val="nil"/>
                    <w:bottom w:val="single" w:sz="4" w:space="0" w:color="auto"/>
                    <w:right w:val="single" w:sz="4" w:space="0" w:color="auto"/>
                  </w:tcBorders>
                  <w:shd w:val="clear" w:color="auto" w:fill="auto"/>
                  <w:noWrap/>
                  <w:vAlign w:val="bottom"/>
                  <w:hideMark/>
                </w:tcPr>
                <w:p w14:paraId="4DE3E630" w14:textId="3F09C3D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0" w:type="dxa"/>
                  <w:tcBorders>
                    <w:top w:val="nil"/>
                    <w:left w:val="nil"/>
                    <w:bottom w:val="single" w:sz="4" w:space="0" w:color="auto"/>
                    <w:right w:val="single" w:sz="4" w:space="0" w:color="auto"/>
                  </w:tcBorders>
                  <w:shd w:val="clear" w:color="auto" w:fill="auto"/>
                  <w:noWrap/>
                  <w:vAlign w:val="bottom"/>
                  <w:hideMark/>
                </w:tcPr>
                <w:p w14:paraId="3B029455" w14:textId="74AA42D3"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D0152FF" w14:textId="42D29C4D"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3" w:type="dxa"/>
                  <w:tcBorders>
                    <w:top w:val="nil"/>
                    <w:left w:val="nil"/>
                    <w:bottom w:val="single" w:sz="4" w:space="0" w:color="auto"/>
                    <w:right w:val="single" w:sz="4" w:space="0" w:color="auto"/>
                  </w:tcBorders>
                  <w:shd w:val="clear" w:color="auto" w:fill="auto"/>
                  <w:noWrap/>
                  <w:vAlign w:val="bottom"/>
                  <w:hideMark/>
                </w:tcPr>
                <w:p w14:paraId="66DA03D6" w14:textId="24C3155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4D204AE" w14:textId="6B1726A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180A5C2F" w14:textId="7233231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r>
            <w:tr w:rsidR="00837BD6" w:rsidRPr="009E5B39" w14:paraId="61F86D8C" w14:textId="77777777" w:rsidTr="00B32230">
              <w:trPr>
                <w:trHeight w:val="2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09737631" w14:textId="2ED639BE"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237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D89EBAD"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2021-2018</w:t>
                  </w:r>
                </w:p>
              </w:tc>
              <w:tc>
                <w:tcPr>
                  <w:tcW w:w="671" w:type="dxa"/>
                  <w:tcBorders>
                    <w:top w:val="nil"/>
                    <w:left w:val="nil"/>
                    <w:bottom w:val="single" w:sz="4" w:space="0" w:color="auto"/>
                    <w:right w:val="single" w:sz="4" w:space="0" w:color="auto"/>
                  </w:tcBorders>
                  <w:shd w:val="clear" w:color="auto" w:fill="auto"/>
                  <w:noWrap/>
                  <w:vAlign w:val="bottom"/>
                  <w:hideMark/>
                </w:tcPr>
                <w:p w14:paraId="1F231654"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72,5</w:t>
                  </w:r>
                </w:p>
              </w:tc>
              <w:tc>
                <w:tcPr>
                  <w:tcW w:w="516" w:type="dxa"/>
                  <w:tcBorders>
                    <w:top w:val="nil"/>
                    <w:left w:val="nil"/>
                    <w:bottom w:val="single" w:sz="4" w:space="0" w:color="auto"/>
                    <w:right w:val="single" w:sz="4" w:space="0" w:color="auto"/>
                  </w:tcBorders>
                  <w:shd w:val="clear" w:color="auto" w:fill="auto"/>
                  <w:noWrap/>
                  <w:vAlign w:val="bottom"/>
                  <w:hideMark/>
                </w:tcPr>
                <w:p w14:paraId="201C5D20"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620" w:type="dxa"/>
                  <w:tcBorders>
                    <w:top w:val="nil"/>
                    <w:left w:val="nil"/>
                    <w:bottom w:val="single" w:sz="4" w:space="0" w:color="auto"/>
                    <w:right w:val="single" w:sz="4" w:space="0" w:color="auto"/>
                  </w:tcBorders>
                  <w:shd w:val="clear" w:color="auto" w:fill="auto"/>
                  <w:noWrap/>
                  <w:vAlign w:val="bottom"/>
                  <w:hideMark/>
                </w:tcPr>
                <w:p w14:paraId="7B2D487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55</w:t>
                  </w:r>
                </w:p>
              </w:tc>
              <w:tc>
                <w:tcPr>
                  <w:tcW w:w="572" w:type="dxa"/>
                  <w:tcBorders>
                    <w:top w:val="nil"/>
                    <w:left w:val="nil"/>
                    <w:bottom w:val="single" w:sz="4" w:space="0" w:color="auto"/>
                    <w:right w:val="single" w:sz="4" w:space="0" w:color="auto"/>
                  </w:tcBorders>
                  <w:shd w:val="clear" w:color="auto" w:fill="auto"/>
                  <w:noWrap/>
                  <w:vAlign w:val="bottom"/>
                  <w:hideMark/>
                </w:tcPr>
                <w:p w14:paraId="13423E79"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F636CD0"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170,5</w:t>
                  </w:r>
                </w:p>
              </w:tc>
              <w:tc>
                <w:tcPr>
                  <w:tcW w:w="567" w:type="dxa"/>
                  <w:tcBorders>
                    <w:top w:val="nil"/>
                    <w:left w:val="nil"/>
                    <w:bottom w:val="single" w:sz="4" w:space="0" w:color="auto"/>
                    <w:right w:val="single" w:sz="4" w:space="0" w:color="auto"/>
                  </w:tcBorders>
                  <w:shd w:val="clear" w:color="auto" w:fill="auto"/>
                  <w:noWrap/>
                  <w:vAlign w:val="bottom"/>
                  <w:hideMark/>
                </w:tcPr>
                <w:p w14:paraId="545264FE"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580" w:type="dxa"/>
                  <w:tcBorders>
                    <w:top w:val="nil"/>
                    <w:left w:val="nil"/>
                    <w:bottom w:val="single" w:sz="4" w:space="0" w:color="auto"/>
                    <w:right w:val="nil"/>
                  </w:tcBorders>
                </w:tcPr>
                <w:p w14:paraId="2C7A1561"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7F940CF" w14:textId="7B3B495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75</w:t>
                  </w:r>
                </w:p>
              </w:tc>
              <w:tc>
                <w:tcPr>
                  <w:tcW w:w="570" w:type="dxa"/>
                  <w:tcBorders>
                    <w:top w:val="nil"/>
                    <w:left w:val="nil"/>
                    <w:bottom w:val="single" w:sz="4" w:space="0" w:color="auto"/>
                    <w:right w:val="single" w:sz="4" w:space="0" w:color="auto"/>
                  </w:tcBorders>
                  <w:shd w:val="clear" w:color="auto" w:fill="auto"/>
                  <w:noWrap/>
                  <w:vAlign w:val="bottom"/>
                  <w:hideMark/>
                </w:tcPr>
                <w:p w14:paraId="30382B8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5EB9EDB"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135,5</w:t>
                  </w:r>
                </w:p>
              </w:tc>
              <w:tc>
                <w:tcPr>
                  <w:tcW w:w="600" w:type="dxa"/>
                  <w:tcBorders>
                    <w:top w:val="nil"/>
                    <w:left w:val="nil"/>
                    <w:bottom w:val="single" w:sz="4" w:space="0" w:color="auto"/>
                    <w:right w:val="single" w:sz="4" w:space="0" w:color="auto"/>
                  </w:tcBorders>
                  <w:shd w:val="clear" w:color="auto" w:fill="auto"/>
                  <w:noWrap/>
                  <w:vAlign w:val="bottom"/>
                  <w:hideMark/>
                </w:tcPr>
                <w:p w14:paraId="6B3A213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w:t>
                  </w:r>
                </w:p>
              </w:tc>
              <w:tc>
                <w:tcPr>
                  <w:tcW w:w="580" w:type="dxa"/>
                  <w:tcBorders>
                    <w:top w:val="nil"/>
                    <w:left w:val="nil"/>
                    <w:bottom w:val="single" w:sz="4" w:space="0" w:color="auto"/>
                    <w:right w:val="single" w:sz="4" w:space="0" w:color="auto"/>
                  </w:tcBorders>
                  <w:shd w:val="clear" w:color="auto" w:fill="auto"/>
                  <w:noWrap/>
                  <w:vAlign w:val="bottom"/>
                  <w:hideMark/>
                </w:tcPr>
                <w:p w14:paraId="3018CC9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63</w:t>
                  </w:r>
                </w:p>
              </w:tc>
              <w:tc>
                <w:tcPr>
                  <w:tcW w:w="570" w:type="dxa"/>
                  <w:tcBorders>
                    <w:top w:val="nil"/>
                    <w:left w:val="nil"/>
                    <w:bottom w:val="single" w:sz="4" w:space="0" w:color="auto"/>
                    <w:right w:val="single" w:sz="4" w:space="0" w:color="auto"/>
                  </w:tcBorders>
                  <w:shd w:val="clear" w:color="auto" w:fill="auto"/>
                  <w:noWrap/>
                  <w:vAlign w:val="bottom"/>
                  <w:hideMark/>
                </w:tcPr>
                <w:p w14:paraId="426D8AB5"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48,5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F6F1106" w14:textId="6B7208C2"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2ED1A20" w14:textId="10C6F969"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480" w:type="dxa"/>
                  <w:tcBorders>
                    <w:top w:val="nil"/>
                    <w:left w:val="nil"/>
                    <w:bottom w:val="single" w:sz="4" w:space="0" w:color="auto"/>
                    <w:right w:val="single" w:sz="4" w:space="0" w:color="auto"/>
                  </w:tcBorders>
                  <w:shd w:val="clear" w:color="auto" w:fill="auto"/>
                  <w:noWrap/>
                  <w:vAlign w:val="bottom"/>
                  <w:hideMark/>
                </w:tcPr>
                <w:p w14:paraId="3D101CB6" w14:textId="3C5AD93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0" w:type="dxa"/>
                  <w:tcBorders>
                    <w:top w:val="nil"/>
                    <w:left w:val="nil"/>
                    <w:bottom w:val="single" w:sz="4" w:space="0" w:color="auto"/>
                    <w:right w:val="single" w:sz="4" w:space="0" w:color="auto"/>
                  </w:tcBorders>
                  <w:shd w:val="clear" w:color="auto" w:fill="auto"/>
                  <w:noWrap/>
                  <w:vAlign w:val="bottom"/>
                  <w:hideMark/>
                </w:tcPr>
                <w:p w14:paraId="2E2A38DA" w14:textId="044C8D18"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4D3C8A8" w14:textId="07CD9156"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p>
              </w:tc>
              <w:tc>
                <w:tcPr>
                  <w:tcW w:w="543" w:type="dxa"/>
                  <w:tcBorders>
                    <w:top w:val="nil"/>
                    <w:left w:val="nil"/>
                    <w:bottom w:val="single" w:sz="4" w:space="0" w:color="auto"/>
                    <w:right w:val="single" w:sz="4" w:space="0" w:color="auto"/>
                  </w:tcBorders>
                  <w:shd w:val="clear" w:color="auto" w:fill="auto"/>
                  <w:noWrap/>
                  <w:vAlign w:val="bottom"/>
                  <w:hideMark/>
                </w:tcPr>
                <w:p w14:paraId="6BC5971E" w14:textId="744D4BE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6433BAF" w14:textId="54650D6B"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2C555DB3" w14:textId="43C0A68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r>
            <w:tr w:rsidR="00837BD6" w:rsidRPr="009E5B39" w14:paraId="0DB3F849" w14:textId="77777777" w:rsidTr="00B32230">
              <w:trPr>
                <w:trHeight w:val="2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128F85AE" w14:textId="50C0542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237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7081451" w14:textId="77777777" w:rsidR="00837BD6" w:rsidRPr="009E5B39" w:rsidRDefault="00837BD6" w:rsidP="00837BD6">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2020-2016</w:t>
                  </w:r>
                </w:p>
              </w:tc>
              <w:tc>
                <w:tcPr>
                  <w:tcW w:w="671" w:type="dxa"/>
                  <w:tcBorders>
                    <w:top w:val="nil"/>
                    <w:left w:val="nil"/>
                    <w:bottom w:val="single" w:sz="4" w:space="0" w:color="auto"/>
                    <w:right w:val="single" w:sz="4" w:space="0" w:color="auto"/>
                  </w:tcBorders>
                  <w:shd w:val="clear" w:color="auto" w:fill="auto"/>
                  <w:noWrap/>
                  <w:vAlign w:val="bottom"/>
                  <w:hideMark/>
                </w:tcPr>
                <w:p w14:paraId="7C00326D"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117</w:t>
                  </w:r>
                </w:p>
              </w:tc>
              <w:tc>
                <w:tcPr>
                  <w:tcW w:w="516" w:type="dxa"/>
                  <w:tcBorders>
                    <w:top w:val="nil"/>
                    <w:left w:val="nil"/>
                    <w:bottom w:val="single" w:sz="4" w:space="0" w:color="auto"/>
                    <w:right w:val="single" w:sz="4" w:space="0" w:color="auto"/>
                  </w:tcBorders>
                  <w:shd w:val="clear" w:color="auto" w:fill="auto"/>
                  <w:noWrap/>
                  <w:vAlign w:val="bottom"/>
                  <w:hideMark/>
                </w:tcPr>
                <w:p w14:paraId="2E9B78FC"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620" w:type="dxa"/>
                  <w:tcBorders>
                    <w:top w:val="nil"/>
                    <w:left w:val="nil"/>
                    <w:bottom w:val="single" w:sz="4" w:space="0" w:color="auto"/>
                    <w:right w:val="single" w:sz="4" w:space="0" w:color="auto"/>
                  </w:tcBorders>
                  <w:shd w:val="clear" w:color="auto" w:fill="auto"/>
                  <w:noWrap/>
                  <w:vAlign w:val="bottom"/>
                  <w:hideMark/>
                </w:tcPr>
                <w:p w14:paraId="1D7D18EA"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101</w:t>
                  </w:r>
                </w:p>
              </w:tc>
              <w:tc>
                <w:tcPr>
                  <w:tcW w:w="572" w:type="dxa"/>
                  <w:tcBorders>
                    <w:top w:val="nil"/>
                    <w:left w:val="nil"/>
                    <w:bottom w:val="single" w:sz="4" w:space="0" w:color="auto"/>
                    <w:right w:val="single" w:sz="4" w:space="0" w:color="auto"/>
                  </w:tcBorders>
                  <w:shd w:val="clear" w:color="auto" w:fill="auto"/>
                  <w:noWrap/>
                  <w:vAlign w:val="bottom"/>
                  <w:hideMark/>
                </w:tcPr>
                <w:p w14:paraId="633199C7"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0E56028" w14:textId="77777777" w:rsidR="00837BD6" w:rsidRPr="009E5B39" w:rsidRDefault="00837BD6" w:rsidP="00B32230">
                  <w:pPr>
                    <w:spacing w:after="0" w:line="240" w:lineRule="auto"/>
                    <w:jc w:val="center"/>
                    <w:rPr>
                      <w:rFonts w:asciiTheme="majorHAnsi" w:eastAsia="Times New Roman" w:hAnsiTheme="majorHAnsi" w:cstheme="majorHAnsi"/>
                      <w:bCs/>
                      <w:sz w:val="16"/>
                      <w:szCs w:val="16"/>
                      <w:lang w:val="ro-MD"/>
                    </w:rPr>
                  </w:pPr>
                  <w:r w:rsidRPr="009E5B39">
                    <w:rPr>
                      <w:rFonts w:asciiTheme="majorHAnsi" w:eastAsia="Times New Roman" w:hAnsiTheme="majorHAnsi" w:cstheme="majorHAnsi"/>
                      <w:bCs/>
                      <w:sz w:val="16"/>
                      <w:szCs w:val="16"/>
                      <w:lang w:val="ro-MD"/>
                    </w:rPr>
                    <w:t>150</w:t>
                  </w:r>
                </w:p>
              </w:tc>
              <w:tc>
                <w:tcPr>
                  <w:tcW w:w="567" w:type="dxa"/>
                  <w:tcBorders>
                    <w:top w:val="nil"/>
                    <w:left w:val="nil"/>
                    <w:bottom w:val="single" w:sz="4" w:space="0" w:color="auto"/>
                    <w:right w:val="single" w:sz="4" w:space="0" w:color="auto"/>
                  </w:tcBorders>
                  <w:shd w:val="clear" w:color="auto" w:fill="auto"/>
                  <w:noWrap/>
                  <w:vAlign w:val="bottom"/>
                  <w:hideMark/>
                </w:tcPr>
                <w:p w14:paraId="7AA6917B"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w:t>
                  </w:r>
                </w:p>
              </w:tc>
              <w:tc>
                <w:tcPr>
                  <w:tcW w:w="580" w:type="dxa"/>
                  <w:tcBorders>
                    <w:top w:val="nil"/>
                    <w:left w:val="nil"/>
                    <w:bottom w:val="single" w:sz="4" w:space="0" w:color="auto"/>
                    <w:right w:val="nil"/>
                  </w:tcBorders>
                </w:tcPr>
                <w:p w14:paraId="3D2743E7" w14:textId="77777777" w:rsidR="00837BD6" w:rsidRPr="009E5B39" w:rsidRDefault="00837BD6" w:rsidP="00837BD6">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6328094E" w14:textId="629304AD"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120</w:t>
                  </w:r>
                </w:p>
              </w:tc>
              <w:tc>
                <w:tcPr>
                  <w:tcW w:w="570" w:type="dxa"/>
                  <w:tcBorders>
                    <w:top w:val="nil"/>
                    <w:left w:val="nil"/>
                    <w:bottom w:val="single" w:sz="4" w:space="0" w:color="auto"/>
                    <w:right w:val="single" w:sz="4" w:space="0" w:color="auto"/>
                  </w:tcBorders>
                  <w:shd w:val="clear" w:color="auto" w:fill="auto"/>
                  <w:noWrap/>
                  <w:vAlign w:val="bottom"/>
                  <w:hideMark/>
                </w:tcPr>
                <w:p w14:paraId="11F9D0D4"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7CD002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600" w:type="dxa"/>
                  <w:tcBorders>
                    <w:top w:val="nil"/>
                    <w:left w:val="nil"/>
                    <w:bottom w:val="single" w:sz="4" w:space="0" w:color="auto"/>
                    <w:right w:val="single" w:sz="4" w:space="0" w:color="auto"/>
                  </w:tcBorders>
                  <w:shd w:val="clear" w:color="auto" w:fill="auto"/>
                  <w:noWrap/>
                  <w:vAlign w:val="bottom"/>
                  <w:hideMark/>
                </w:tcPr>
                <w:p w14:paraId="4E8C89CD"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w:t>
                  </w:r>
                </w:p>
              </w:tc>
              <w:tc>
                <w:tcPr>
                  <w:tcW w:w="580" w:type="dxa"/>
                  <w:tcBorders>
                    <w:top w:val="nil"/>
                    <w:left w:val="nil"/>
                    <w:bottom w:val="single" w:sz="4" w:space="0" w:color="auto"/>
                    <w:right w:val="single" w:sz="4" w:space="0" w:color="auto"/>
                  </w:tcBorders>
                  <w:shd w:val="clear" w:color="auto" w:fill="auto"/>
                  <w:noWrap/>
                  <w:vAlign w:val="bottom"/>
                  <w:hideMark/>
                </w:tcPr>
                <w:p w14:paraId="008F53F2"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570" w:type="dxa"/>
                  <w:tcBorders>
                    <w:top w:val="nil"/>
                    <w:left w:val="nil"/>
                    <w:bottom w:val="single" w:sz="4" w:space="0" w:color="auto"/>
                    <w:right w:val="single" w:sz="4" w:space="0" w:color="auto"/>
                  </w:tcBorders>
                  <w:shd w:val="clear" w:color="auto" w:fill="auto"/>
                  <w:noWrap/>
                  <w:vAlign w:val="bottom"/>
                  <w:hideMark/>
                </w:tcPr>
                <w:p w14:paraId="15940F8F" w14:textId="77777777"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C258D9B" w14:textId="7D69BD0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80" w:type="dxa"/>
                  <w:tcBorders>
                    <w:top w:val="nil"/>
                    <w:left w:val="nil"/>
                    <w:bottom w:val="single" w:sz="4" w:space="0" w:color="auto"/>
                    <w:right w:val="single" w:sz="4" w:space="0" w:color="auto"/>
                  </w:tcBorders>
                  <w:shd w:val="clear" w:color="auto" w:fill="auto"/>
                  <w:noWrap/>
                  <w:vAlign w:val="bottom"/>
                  <w:hideMark/>
                </w:tcPr>
                <w:p w14:paraId="77B66289" w14:textId="5C85935A"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480" w:type="dxa"/>
                  <w:tcBorders>
                    <w:top w:val="nil"/>
                    <w:left w:val="nil"/>
                    <w:bottom w:val="single" w:sz="4" w:space="0" w:color="auto"/>
                    <w:right w:val="single" w:sz="4" w:space="0" w:color="auto"/>
                  </w:tcBorders>
                  <w:shd w:val="clear" w:color="auto" w:fill="auto"/>
                  <w:noWrap/>
                  <w:vAlign w:val="bottom"/>
                  <w:hideMark/>
                </w:tcPr>
                <w:p w14:paraId="2AEF27AB" w14:textId="0B72CD6C"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0" w:type="dxa"/>
                  <w:tcBorders>
                    <w:top w:val="nil"/>
                    <w:left w:val="nil"/>
                    <w:bottom w:val="single" w:sz="4" w:space="0" w:color="auto"/>
                    <w:right w:val="single" w:sz="4" w:space="0" w:color="auto"/>
                  </w:tcBorders>
                  <w:shd w:val="clear" w:color="auto" w:fill="auto"/>
                  <w:noWrap/>
                  <w:vAlign w:val="bottom"/>
                  <w:hideMark/>
                </w:tcPr>
                <w:p w14:paraId="33D19560" w14:textId="4E3F6706"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A5C5DF1" w14:textId="71603342"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43" w:type="dxa"/>
                  <w:tcBorders>
                    <w:top w:val="nil"/>
                    <w:left w:val="nil"/>
                    <w:bottom w:val="single" w:sz="4" w:space="0" w:color="auto"/>
                    <w:right w:val="single" w:sz="4" w:space="0" w:color="auto"/>
                  </w:tcBorders>
                  <w:shd w:val="clear" w:color="auto" w:fill="auto"/>
                  <w:noWrap/>
                  <w:vAlign w:val="bottom"/>
                  <w:hideMark/>
                </w:tcPr>
                <w:p w14:paraId="148CA6C4" w14:textId="129B6244"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2E67A3A" w14:textId="6E1584C5"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c>
                <w:tcPr>
                  <w:tcW w:w="668" w:type="dxa"/>
                  <w:gridSpan w:val="3"/>
                  <w:tcBorders>
                    <w:top w:val="nil"/>
                    <w:left w:val="nil"/>
                    <w:bottom w:val="single" w:sz="4" w:space="0" w:color="auto"/>
                    <w:right w:val="single" w:sz="4" w:space="0" w:color="auto"/>
                  </w:tcBorders>
                  <w:shd w:val="clear" w:color="auto" w:fill="auto"/>
                  <w:noWrap/>
                  <w:vAlign w:val="bottom"/>
                  <w:hideMark/>
                </w:tcPr>
                <w:p w14:paraId="0EEBF8C9" w14:textId="4A937100" w:rsidR="00837BD6" w:rsidRPr="009E5B39" w:rsidRDefault="00837BD6" w:rsidP="00B32230">
                  <w:pPr>
                    <w:spacing w:after="0" w:line="240" w:lineRule="auto"/>
                    <w:jc w:val="center"/>
                    <w:rPr>
                      <w:rFonts w:asciiTheme="majorHAnsi" w:eastAsia="Times New Roman" w:hAnsiTheme="majorHAnsi" w:cstheme="majorHAnsi"/>
                      <w:sz w:val="16"/>
                      <w:szCs w:val="16"/>
                      <w:lang w:val="ro-MD"/>
                    </w:rPr>
                  </w:pPr>
                </w:p>
              </w:tc>
            </w:tr>
            <w:tr w:rsidR="00837BD6" w:rsidRPr="009E5B39" w14:paraId="57F3675D" w14:textId="77777777" w:rsidTr="00B32230">
              <w:trPr>
                <w:trHeight w:val="20"/>
              </w:trPr>
              <w:tc>
                <w:tcPr>
                  <w:tcW w:w="635" w:type="dxa"/>
                  <w:tcBorders>
                    <w:top w:val="nil"/>
                    <w:left w:val="nil"/>
                    <w:bottom w:val="nil"/>
                    <w:right w:val="nil"/>
                  </w:tcBorders>
                  <w:shd w:val="clear" w:color="auto" w:fill="auto"/>
                  <w:noWrap/>
                  <w:vAlign w:val="bottom"/>
                  <w:hideMark/>
                </w:tcPr>
                <w:p w14:paraId="4C48C403"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c>
                <w:tcPr>
                  <w:tcW w:w="580" w:type="dxa"/>
                  <w:tcBorders>
                    <w:top w:val="nil"/>
                    <w:left w:val="nil"/>
                    <w:bottom w:val="nil"/>
                    <w:right w:val="nil"/>
                  </w:tcBorders>
                </w:tcPr>
                <w:p w14:paraId="051A719E" w14:textId="77777777" w:rsidR="00837BD6" w:rsidRPr="009E5B39" w:rsidRDefault="00837BD6" w:rsidP="00837BD6">
                  <w:pPr>
                    <w:spacing w:after="0" w:line="240" w:lineRule="auto"/>
                    <w:jc w:val="center"/>
                    <w:rPr>
                      <w:rFonts w:asciiTheme="majorHAnsi" w:eastAsia="Times New Roman" w:hAnsiTheme="majorHAnsi" w:cstheme="majorHAnsi"/>
                      <w:bCs/>
                      <w:i/>
                      <w:iCs/>
                      <w:sz w:val="18"/>
                      <w:szCs w:val="18"/>
                      <w:lang w:val="ro-MD"/>
                    </w:rPr>
                  </w:pPr>
                </w:p>
              </w:tc>
              <w:tc>
                <w:tcPr>
                  <w:tcW w:w="12928" w:type="dxa"/>
                  <w:gridSpan w:val="27"/>
                  <w:tcBorders>
                    <w:top w:val="nil"/>
                    <w:left w:val="nil"/>
                    <w:bottom w:val="nil"/>
                    <w:right w:val="nil"/>
                  </w:tcBorders>
                  <w:shd w:val="clear" w:color="auto" w:fill="auto"/>
                  <w:noWrap/>
                  <w:vAlign w:val="bottom"/>
                  <w:hideMark/>
                </w:tcPr>
                <w:p w14:paraId="1E948979" w14:textId="0C79D7F5" w:rsidR="00837BD6" w:rsidRPr="009E5B39" w:rsidRDefault="00837BD6" w:rsidP="00B32230">
                  <w:pPr>
                    <w:spacing w:after="0" w:line="240" w:lineRule="auto"/>
                    <w:jc w:val="center"/>
                    <w:rPr>
                      <w:rFonts w:asciiTheme="majorHAnsi" w:eastAsia="Times New Roman" w:hAnsiTheme="majorHAnsi" w:cstheme="majorHAnsi"/>
                      <w:i/>
                      <w:iCs/>
                      <w:sz w:val="18"/>
                      <w:szCs w:val="18"/>
                      <w:lang w:val="ro-MD"/>
                    </w:rPr>
                  </w:pPr>
                  <w:r w:rsidRPr="009E5B39">
                    <w:rPr>
                      <w:rFonts w:asciiTheme="majorHAnsi" w:eastAsia="Times New Roman" w:hAnsiTheme="majorHAnsi" w:cstheme="majorHAnsi"/>
                      <w:bCs/>
                      <w:i/>
                      <w:iCs/>
                      <w:sz w:val="18"/>
                      <w:szCs w:val="18"/>
                      <w:lang w:val="ro-MD"/>
                    </w:rPr>
                    <w:t>Sursa:</w:t>
                  </w:r>
                  <w:r w:rsidRPr="009E5B39">
                    <w:rPr>
                      <w:rFonts w:asciiTheme="majorHAnsi" w:eastAsia="Times New Roman" w:hAnsiTheme="majorHAnsi" w:cstheme="majorHAnsi"/>
                      <w:i/>
                      <w:iCs/>
                      <w:sz w:val="18"/>
                      <w:szCs w:val="18"/>
                      <w:lang w:val="ro-MD"/>
                    </w:rPr>
                    <w:t xml:space="preserve"> Rețea, state și contingente ale instituțiilor (Forma FD-048-BL); Raportul nr.3-1 privind statele și efectivul de personal ale autorităților publice locale pentru an</w:t>
                  </w:r>
                  <w:r w:rsidR="00D2036D" w:rsidRPr="009E5B39">
                    <w:rPr>
                      <w:rFonts w:asciiTheme="majorHAnsi" w:eastAsia="Times New Roman" w:hAnsiTheme="majorHAnsi" w:cstheme="majorHAnsi"/>
                      <w:i/>
                      <w:iCs/>
                      <w:sz w:val="18"/>
                      <w:szCs w:val="18"/>
                      <w:lang w:val="ro-MD"/>
                    </w:rPr>
                    <w:t>ii</w:t>
                  </w:r>
                  <w:r w:rsidRPr="009E5B39">
                    <w:rPr>
                      <w:rFonts w:asciiTheme="majorHAnsi" w:eastAsia="Times New Roman" w:hAnsiTheme="majorHAnsi" w:cstheme="majorHAnsi"/>
                      <w:i/>
                      <w:iCs/>
                      <w:sz w:val="18"/>
                      <w:szCs w:val="18"/>
                      <w:lang w:val="ro-MD"/>
                    </w:rPr>
                    <w:t xml:space="preserve"> 2016, 2018, 2019, 2020 și 2021.</w:t>
                  </w:r>
                </w:p>
              </w:tc>
              <w:tc>
                <w:tcPr>
                  <w:tcW w:w="521" w:type="dxa"/>
                  <w:gridSpan w:val="2"/>
                  <w:tcBorders>
                    <w:top w:val="nil"/>
                    <w:left w:val="nil"/>
                    <w:bottom w:val="nil"/>
                    <w:right w:val="nil"/>
                  </w:tcBorders>
                  <w:shd w:val="clear" w:color="auto" w:fill="auto"/>
                  <w:noWrap/>
                  <w:vAlign w:val="bottom"/>
                  <w:hideMark/>
                </w:tcPr>
                <w:p w14:paraId="436AAD64" w14:textId="77777777" w:rsidR="00837BD6" w:rsidRPr="009E5B39" w:rsidRDefault="00837BD6" w:rsidP="00B32230">
                  <w:pPr>
                    <w:spacing w:after="0" w:line="240" w:lineRule="auto"/>
                    <w:jc w:val="center"/>
                    <w:rPr>
                      <w:rFonts w:asciiTheme="majorHAnsi" w:eastAsia="Times New Roman" w:hAnsiTheme="majorHAnsi" w:cstheme="majorHAnsi"/>
                      <w:i/>
                      <w:iCs/>
                      <w:sz w:val="18"/>
                      <w:szCs w:val="18"/>
                      <w:lang w:val="ro-MD"/>
                    </w:rPr>
                  </w:pPr>
                </w:p>
              </w:tc>
              <w:tc>
                <w:tcPr>
                  <w:tcW w:w="658" w:type="dxa"/>
                  <w:gridSpan w:val="2"/>
                  <w:tcBorders>
                    <w:top w:val="nil"/>
                    <w:left w:val="nil"/>
                    <w:bottom w:val="nil"/>
                    <w:right w:val="nil"/>
                  </w:tcBorders>
                  <w:shd w:val="clear" w:color="auto" w:fill="auto"/>
                  <w:noWrap/>
                  <w:vAlign w:val="bottom"/>
                  <w:hideMark/>
                </w:tcPr>
                <w:p w14:paraId="6E8AA546" w14:textId="77777777" w:rsidR="00837BD6" w:rsidRPr="009E5B39" w:rsidRDefault="00837BD6" w:rsidP="00B32230">
                  <w:pPr>
                    <w:spacing w:after="0" w:line="240" w:lineRule="auto"/>
                    <w:jc w:val="center"/>
                    <w:rPr>
                      <w:rFonts w:asciiTheme="majorHAnsi" w:eastAsia="Times New Roman" w:hAnsiTheme="majorHAnsi" w:cstheme="majorHAnsi"/>
                      <w:sz w:val="20"/>
                      <w:szCs w:val="20"/>
                      <w:lang w:val="ro-MD"/>
                    </w:rPr>
                  </w:pPr>
                </w:p>
              </w:tc>
            </w:tr>
          </w:tbl>
          <w:p w14:paraId="6BA4A18B" w14:textId="78A447BF" w:rsidR="008107EA" w:rsidRPr="009E5B39" w:rsidRDefault="008107EA" w:rsidP="00B32230">
            <w:pPr>
              <w:spacing w:after="0" w:line="240" w:lineRule="auto"/>
              <w:jc w:val="center"/>
              <w:rPr>
                <w:rFonts w:asciiTheme="majorHAnsi" w:eastAsia="Times New Roman" w:hAnsiTheme="majorHAnsi" w:cstheme="majorHAnsi"/>
                <w:sz w:val="16"/>
                <w:szCs w:val="16"/>
                <w:lang w:val="ro-MD"/>
              </w:rPr>
            </w:pPr>
          </w:p>
        </w:tc>
      </w:tr>
    </w:tbl>
    <w:p w14:paraId="266ABBF1" w14:textId="6FE46453" w:rsidR="004F3DDF" w:rsidRPr="009E5B39" w:rsidRDefault="004F3DDF" w:rsidP="008107EA">
      <w:pPr>
        <w:spacing w:after="0" w:line="276" w:lineRule="auto"/>
        <w:rPr>
          <w:rFonts w:asciiTheme="majorHAnsi" w:hAnsiTheme="majorHAnsi" w:cstheme="majorHAnsi"/>
          <w:b/>
          <w:i/>
          <w:sz w:val="24"/>
          <w:szCs w:val="24"/>
          <w:lang w:val="ro-MD"/>
        </w:rPr>
        <w:sectPr w:rsidR="004F3DDF" w:rsidRPr="009E5B39" w:rsidSect="008107EA">
          <w:pgSz w:w="16840" w:h="11907" w:orient="landscape" w:code="9"/>
          <w:pgMar w:top="1701" w:right="1134" w:bottom="851" w:left="1134" w:header="709" w:footer="709" w:gutter="0"/>
          <w:cols w:space="708"/>
          <w:docGrid w:linePitch="360"/>
        </w:sectPr>
      </w:pPr>
    </w:p>
    <w:p w14:paraId="47FCB9BC" w14:textId="52F76460" w:rsidR="00D82E26" w:rsidRPr="009E5B39" w:rsidRDefault="007C0A8A" w:rsidP="00EF4BC3">
      <w:pPr>
        <w:pStyle w:val="Heading1"/>
        <w:spacing w:before="0"/>
        <w:jc w:val="right"/>
        <w:rPr>
          <w:rFonts w:cstheme="majorHAnsi"/>
          <w:b/>
          <w:color w:val="auto"/>
          <w:lang w:val="ro-MD"/>
        </w:rPr>
      </w:pPr>
      <w:bookmarkStart w:id="24" w:name="_Toc116026889"/>
      <w:r w:rsidRPr="009E5B39">
        <w:rPr>
          <w:rFonts w:cstheme="majorHAnsi"/>
          <w:b/>
          <w:color w:val="auto"/>
          <w:lang w:val="ro-MD"/>
        </w:rPr>
        <w:t>Anexa nr.</w:t>
      </w:r>
      <w:r w:rsidR="00930FE2" w:rsidRPr="009E5B39">
        <w:rPr>
          <w:rFonts w:cstheme="majorHAnsi"/>
          <w:b/>
          <w:color w:val="auto"/>
          <w:lang w:val="ro-MD"/>
        </w:rPr>
        <w:t>7</w:t>
      </w:r>
      <w:bookmarkEnd w:id="24"/>
    </w:p>
    <w:tbl>
      <w:tblPr>
        <w:tblW w:w="14601" w:type="dxa"/>
        <w:tblLook w:val="04A0" w:firstRow="1" w:lastRow="0" w:firstColumn="1" w:lastColumn="0" w:noHBand="0" w:noVBand="1"/>
      </w:tblPr>
      <w:tblGrid>
        <w:gridCol w:w="687"/>
        <w:gridCol w:w="4275"/>
        <w:gridCol w:w="1554"/>
        <w:gridCol w:w="12"/>
        <w:gridCol w:w="949"/>
        <w:gridCol w:w="12"/>
        <w:gridCol w:w="1235"/>
        <w:gridCol w:w="12"/>
        <w:gridCol w:w="1378"/>
        <w:gridCol w:w="12"/>
        <w:gridCol w:w="1522"/>
        <w:gridCol w:w="12"/>
        <w:gridCol w:w="1174"/>
        <w:gridCol w:w="12"/>
        <w:gridCol w:w="1755"/>
      </w:tblGrid>
      <w:tr w:rsidR="00EF4BC3" w:rsidRPr="009E5B39" w14:paraId="6AB12520" w14:textId="77777777" w:rsidTr="00C95667">
        <w:trPr>
          <w:trHeight w:val="420"/>
        </w:trPr>
        <w:tc>
          <w:tcPr>
            <w:tcW w:w="14601" w:type="dxa"/>
            <w:gridSpan w:val="15"/>
            <w:tcBorders>
              <w:top w:val="nil"/>
              <w:left w:val="nil"/>
              <w:bottom w:val="single" w:sz="4" w:space="0" w:color="auto"/>
              <w:right w:val="nil"/>
            </w:tcBorders>
            <w:shd w:val="clear" w:color="auto" w:fill="auto"/>
            <w:vAlign w:val="center"/>
            <w:hideMark/>
          </w:tcPr>
          <w:p w14:paraId="6CF76A2D" w14:textId="77777777" w:rsidR="007C0A8A" w:rsidRPr="009E5B39" w:rsidRDefault="007C0A8A" w:rsidP="00EF4BC3">
            <w:pPr>
              <w:spacing w:after="0" w:line="240" w:lineRule="auto"/>
              <w:jc w:val="center"/>
              <w:rPr>
                <w:rFonts w:asciiTheme="majorHAnsi" w:eastAsia="Times New Roman" w:hAnsiTheme="majorHAnsi" w:cstheme="majorHAnsi"/>
                <w:b/>
                <w:bCs/>
                <w:sz w:val="24"/>
                <w:szCs w:val="24"/>
                <w:lang w:val="ro-MD"/>
              </w:rPr>
            </w:pPr>
            <w:r w:rsidRPr="009E5B39">
              <w:rPr>
                <w:rFonts w:asciiTheme="majorHAnsi" w:eastAsia="Times New Roman" w:hAnsiTheme="majorHAnsi" w:cstheme="majorHAnsi"/>
                <w:b/>
                <w:bCs/>
                <w:sz w:val="24"/>
                <w:szCs w:val="24"/>
                <w:lang w:val="ro-MD"/>
              </w:rPr>
              <w:t>Analiza modului de corelare a Planurilor de achiziții publice cu bugetul instituțiilor din subordinea Primăriei mun. Chișinău</w:t>
            </w:r>
          </w:p>
        </w:tc>
      </w:tr>
      <w:tr w:rsidR="00EF4BC3" w:rsidRPr="009E5B39" w14:paraId="7D55B73A" w14:textId="77777777" w:rsidTr="00C95667">
        <w:trPr>
          <w:trHeight w:val="801"/>
        </w:trPr>
        <w:tc>
          <w:tcPr>
            <w:tcW w:w="68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8EA224E" w14:textId="02D8A767" w:rsidR="007C0A8A" w:rsidRPr="009E5B39" w:rsidRDefault="007C0A8A" w:rsidP="00EF4BC3">
            <w:pPr>
              <w:spacing w:after="0" w:line="240" w:lineRule="auto"/>
              <w:jc w:val="center"/>
              <w:rPr>
                <w:rFonts w:asciiTheme="majorHAnsi" w:eastAsia="Times New Roman" w:hAnsiTheme="majorHAnsi" w:cstheme="majorHAnsi"/>
                <w:b/>
                <w:lang w:val="ro-MD"/>
              </w:rPr>
            </w:pPr>
            <w:r w:rsidRPr="009E5B39">
              <w:rPr>
                <w:rFonts w:asciiTheme="majorHAnsi" w:eastAsia="Times New Roman" w:hAnsiTheme="majorHAnsi" w:cstheme="majorHAnsi"/>
                <w:b/>
                <w:lang w:val="ro-MD"/>
              </w:rPr>
              <w:t xml:space="preserve">Nr. </w:t>
            </w:r>
            <w:r w:rsidR="009F3608" w:rsidRPr="009E5B39">
              <w:rPr>
                <w:rFonts w:asciiTheme="majorHAnsi" w:eastAsia="Times New Roman" w:hAnsiTheme="majorHAnsi" w:cstheme="majorHAnsi"/>
                <w:b/>
                <w:lang w:val="ro-MD"/>
              </w:rPr>
              <w:t>d/o</w:t>
            </w:r>
          </w:p>
        </w:tc>
        <w:tc>
          <w:tcPr>
            <w:tcW w:w="4275"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14:paraId="3932D078" w14:textId="77777777" w:rsidR="007C0A8A" w:rsidRPr="009E5B39" w:rsidRDefault="007C0A8A" w:rsidP="00EF4BC3">
            <w:pPr>
              <w:spacing w:after="0" w:line="240" w:lineRule="auto"/>
              <w:jc w:val="center"/>
              <w:rPr>
                <w:rFonts w:asciiTheme="majorHAnsi" w:eastAsia="Times New Roman" w:hAnsiTheme="majorHAnsi" w:cstheme="majorHAnsi"/>
                <w:b/>
                <w:lang w:val="ro-MD"/>
              </w:rPr>
            </w:pPr>
            <w:r w:rsidRPr="009E5B39">
              <w:rPr>
                <w:rFonts w:asciiTheme="majorHAnsi" w:eastAsia="Times New Roman" w:hAnsiTheme="majorHAnsi" w:cstheme="majorHAnsi"/>
                <w:b/>
                <w:lang w:val="ro-MD"/>
              </w:rPr>
              <w:t xml:space="preserve">Entitatea </w:t>
            </w:r>
          </w:p>
        </w:tc>
        <w:tc>
          <w:tcPr>
            <w:tcW w:w="1554"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14:paraId="6D746608" w14:textId="77777777" w:rsidR="007C0A8A" w:rsidRPr="009E5B39" w:rsidRDefault="007C0A8A" w:rsidP="00EF4BC3">
            <w:pPr>
              <w:spacing w:after="0" w:line="240" w:lineRule="auto"/>
              <w:jc w:val="center"/>
              <w:rPr>
                <w:rFonts w:asciiTheme="majorHAnsi" w:eastAsia="Times New Roman" w:hAnsiTheme="majorHAnsi" w:cstheme="majorHAnsi"/>
                <w:b/>
                <w:lang w:val="ro-MD"/>
              </w:rPr>
            </w:pPr>
            <w:r w:rsidRPr="009E5B39">
              <w:rPr>
                <w:rFonts w:asciiTheme="majorHAnsi" w:eastAsia="Times New Roman" w:hAnsiTheme="majorHAnsi" w:cstheme="majorHAnsi"/>
                <w:b/>
                <w:lang w:val="ro-MD"/>
              </w:rPr>
              <w:t>Codul instituției</w:t>
            </w:r>
          </w:p>
        </w:tc>
        <w:tc>
          <w:tcPr>
            <w:tcW w:w="961" w:type="dxa"/>
            <w:gridSpan w:val="2"/>
            <w:vMerge w:val="restart"/>
            <w:tcBorders>
              <w:top w:val="nil"/>
              <w:left w:val="single" w:sz="4" w:space="0" w:color="auto"/>
              <w:bottom w:val="single" w:sz="4" w:space="0" w:color="000000"/>
              <w:right w:val="single" w:sz="4" w:space="0" w:color="auto"/>
            </w:tcBorders>
            <w:shd w:val="clear" w:color="000000" w:fill="FCE4D6"/>
            <w:vAlign w:val="center"/>
            <w:hideMark/>
          </w:tcPr>
          <w:p w14:paraId="257B23F7" w14:textId="77777777" w:rsidR="007C0A8A" w:rsidRPr="009E5B39" w:rsidRDefault="007C0A8A" w:rsidP="00EF4BC3">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Perioada</w:t>
            </w:r>
          </w:p>
        </w:tc>
        <w:tc>
          <w:tcPr>
            <w:tcW w:w="1247" w:type="dxa"/>
            <w:gridSpan w:val="2"/>
            <w:vMerge w:val="restart"/>
            <w:tcBorders>
              <w:top w:val="nil"/>
              <w:left w:val="single" w:sz="4" w:space="0" w:color="auto"/>
              <w:bottom w:val="single" w:sz="4" w:space="0" w:color="000000"/>
              <w:right w:val="single" w:sz="4" w:space="0" w:color="auto"/>
            </w:tcBorders>
            <w:shd w:val="clear" w:color="000000" w:fill="FCE4D6"/>
            <w:vAlign w:val="center"/>
            <w:hideMark/>
          </w:tcPr>
          <w:p w14:paraId="001F734E" w14:textId="77777777" w:rsidR="007C0A8A" w:rsidRPr="009E5B39" w:rsidRDefault="007C0A8A" w:rsidP="00EF4BC3">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Planul de achiziții, mii lei</w:t>
            </w:r>
          </w:p>
        </w:tc>
        <w:tc>
          <w:tcPr>
            <w:tcW w:w="1390" w:type="dxa"/>
            <w:gridSpan w:val="2"/>
            <w:vMerge w:val="restart"/>
            <w:tcBorders>
              <w:top w:val="nil"/>
              <w:left w:val="single" w:sz="4" w:space="0" w:color="auto"/>
              <w:bottom w:val="single" w:sz="4" w:space="0" w:color="000000"/>
              <w:right w:val="single" w:sz="4" w:space="0" w:color="auto"/>
            </w:tcBorders>
            <w:shd w:val="clear" w:color="000000" w:fill="FCE4D6"/>
            <w:vAlign w:val="center"/>
            <w:hideMark/>
          </w:tcPr>
          <w:p w14:paraId="51973021" w14:textId="77777777" w:rsidR="007C0A8A" w:rsidRPr="009E5B39" w:rsidRDefault="007C0A8A" w:rsidP="00EF4BC3">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FD-044 precizat, mii lei</w:t>
            </w:r>
          </w:p>
        </w:tc>
        <w:tc>
          <w:tcPr>
            <w:tcW w:w="1534" w:type="dxa"/>
            <w:gridSpan w:val="2"/>
            <w:vMerge w:val="restart"/>
            <w:tcBorders>
              <w:top w:val="nil"/>
              <w:left w:val="single" w:sz="4" w:space="0" w:color="auto"/>
              <w:bottom w:val="single" w:sz="4" w:space="0" w:color="000000"/>
              <w:right w:val="single" w:sz="4" w:space="0" w:color="auto"/>
            </w:tcBorders>
            <w:shd w:val="clear" w:color="000000" w:fill="FCE4D6"/>
            <w:vAlign w:val="center"/>
            <w:hideMark/>
          </w:tcPr>
          <w:p w14:paraId="301E560E" w14:textId="77777777" w:rsidR="007C0A8A" w:rsidRPr="009E5B39" w:rsidRDefault="007C0A8A" w:rsidP="00EF4BC3">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Abateri, mii lei (precizat față de plan)</w:t>
            </w:r>
          </w:p>
        </w:tc>
        <w:tc>
          <w:tcPr>
            <w:tcW w:w="2953" w:type="dxa"/>
            <w:gridSpan w:val="4"/>
            <w:tcBorders>
              <w:top w:val="single" w:sz="4" w:space="0" w:color="auto"/>
              <w:left w:val="nil"/>
              <w:bottom w:val="single" w:sz="4" w:space="0" w:color="auto"/>
              <w:right w:val="single" w:sz="4" w:space="0" w:color="auto"/>
            </w:tcBorders>
            <w:shd w:val="clear" w:color="000000" w:fill="FCE4D6"/>
            <w:vAlign w:val="center"/>
            <w:hideMark/>
          </w:tcPr>
          <w:p w14:paraId="16D826D0" w14:textId="77777777" w:rsidR="007C0A8A" w:rsidRPr="009E5B39" w:rsidRDefault="007C0A8A" w:rsidP="00EF4BC3">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Corespunderea cu Anexa nr.1 la Regulamentul  aprobat prin HG nr.1419 din 28.12.2016</w:t>
            </w:r>
          </w:p>
        </w:tc>
      </w:tr>
      <w:tr w:rsidR="00EF4BC3" w:rsidRPr="009E5B39" w14:paraId="03452693" w14:textId="77777777" w:rsidTr="00C95667">
        <w:trPr>
          <w:trHeight w:val="330"/>
        </w:trPr>
        <w:tc>
          <w:tcPr>
            <w:tcW w:w="687" w:type="dxa"/>
            <w:vMerge/>
            <w:tcBorders>
              <w:top w:val="nil"/>
              <w:left w:val="single" w:sz="4" w:space="0" w:color="auto"/>
              <w:bottom w:val="single" w:sz="4" w:space="0" w:color="000000"/>
              <w:right w:val="single" w:sz="4" w:space="0" w:color="auto"/>
            </w:tcBorders>
            <w:vAlign w:val="center"/>
            <w:hideMark/>
          </w:tcPr>
          <w:p w14:paraId="5C6318B7" w14:textId="77777777" w:rsidR="007C0A8A" w:rsidRPr="009E5B39" w:rsidRDefault="007C0A8A" w:rsidP="00EF4BC3">
            <w:pPr>
              <w:spacing w:after="0" w:line="240" w:lineRule="auto"/>
              <w:rPr>
                <w:rFonts w:asciiTheme="majorHAnsi" w:eastAsia="Times New Roman" w:hAnsiTheme="majorHAnsi" w:cstheme="majorHAnsi"/>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60B80D01" w14:textId="77777777" w:rsidR="007C0A8A" w:rsidRPr="009E5B39" w:rsidRDefault="007C0A8A" w:rsidP="00EF4BC3">
            <w:pPr>
              <w:spacing w:after="0" w:line="240" w:lineRule="auto"/>
              <w:rPr>
                <w:rFonts w:asciiTheme="majorHAnsi" w:eastAsia="Times New Roman" w:hAnsiTheme="majorHAnsi" w:cstheme="majorHAnsi"/>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0FD7C81E" w14:textId="77777777" w:rsidR="007C0A8A" w:rsidRPr="009E5B39" w:rsidRDefault="007C0A8A" w:rsidP="00EF4BC3">
            <w:pPr>
              <w:spacing w:after="0" w:line="240" w:lineRule="auto"/>
              <w:rPr>
                <w:rFonts w:asciiTheme="majorHAnsi" w:eastAsia="Times New Roman" w:hAnsiTheme="majorHAnsi" w:cstheme="majorHAnsi"/>
                <w:lang w:val="ro-MD"/>
              </w:rPr>
            </w:pPr>
          </w:p>
        </w:tc>
        <w:tc>
          <w:tcPr>
            <w:tcW w:w="961" w:type="dxa"/>
            <w:gridSpan w:val="2"/>
            <w:vMerge/>
            <w:tcBorders>
              <w:top w:val="nil"/>
              <w:left w:val="single" w:sz="4" w:space="0" w:color="auto"/>
              <w:bottom w:val="single" w:sz="4" w:space="0" w:color="000000"/>
              <w:right w:val="single" w:sz="4" w:space="0" w:color="auto"/>
            </w:tcBorders>
            <w:vAlign w:val="center"/>
            <w:hideMark/>
          </w:tcPr>
          <w:p w14:paraId="6424D7D3" w14:textId="77777777" w:rsidR="007C0A8A" w:rsidRPr="009E5B39" w:rsidRDefault="007C0A8A" w:rsidP="00EF4BC3">
            <w:pPr>
              <w:spacing w:after="0" w:line="240" w:lineRule="auto"/>
              <w:rPr>
                <w:rFonts w:asciiTheme="majorHAnsi" w:eastAsia="Times New Roman" w:hAnsiTheme="majorHAnsi" w:cstheme="majorHAnsi"/>
                <w:b/>
                <w:bCs/>
                <w:sz w:val="20"/>
                <w:szCs w:val="20"/>
                <w:lang w:val="ro-MD"/>
              </w:rPr>
            </w:pPr>
          </w:p>
        </w:tc>
        <w:tc>
          <w:tcPr>
            <w:tcW w:w="1247" w:type="dxa"/>
            <w:gridSpan w:val="2"/>
            <w:vMerge/>
            <w:tcBorders>
              <w:top w:val="nil"/>
              <w:left w:val="single" w:sz="4" w:space="0" w:color="auto"/>
              <w:bottom w:val="single" w:sz="4" w:space="0" w:color="000000"/>
              <w:right w:val="single" w:sz="4" w:space="0" w:color="auto"/>
            </w:tcBorders>
            <w:vAlign w:val="center"/>
            <w:hideMark/>
          </w:tcPr>
          <w:p w14:paraId="7478AAF1" w14:textId="77777777" w:rsidR="007C0A8A" w:rsidRPr="009E5B39" w:rsidRDefault="007C0A8A" w:rsidP="00EF4BC3">
            <w:pPr>
              <w:spacing w:after="0" w:line="240" w:lineRule="auto"/>
              <w:rPr>
                <w:rFonts w:asciiTheme="majorHAnsi" w:eastAsia="Times New Roman" w:hAnsiTheme="majorHAnsi" w:cstheme="majorHAnsi"/>
                <w:b/>
                <w:bCs/>
                <w:sz w:val="20"/>
                <w:szCs w:val="20"/>
                <w:lang w:val="ro-MD"/>
              </w:rPr>
            </w:pPr>
          </w:p>
        </w:tc>
        <w:tc>
          <w:tcPr>
            <w:tcW w:w="1390" w:type="dxa"/>
            <w:gridSpan w:val="2"/>
            <w:vMerge/>
            <w:tcBorders>
              <w:top w:val="nil"/>
              <w:left w:val="single" w:sz="4" w:space="0" w:color="auto"/>
              <w:bottom w:val="single" w:sz="4" w:space="0" w:color="000000"/>
              <w:right w:val="single" w:sz="4" w:space="0" w:color="auto"/>
            </w:tcBorders>
            <w:vAlign w:val="center"/>
            <w:hideMark/>
          </w:tcPr>
          <w:p w14:paraId="5442D1F7" w14:textId="77777777" w:rsidR="007C0A8A" w:rsidRPr="009E5B39" w:rsidRDefault="007C0A8A" w:rsidP="00EF4BC3">
            <w:pPr>
              <w:spacing w:after="0" w:line="240" w:lineRule="auto"/>
              <w:rPr>
                <w:rFonts w:asciiTheme="majorHAnsi" w:eastAsia="Times New Roman" w:hAnsiTheme="majorHAnsi" w:cstheme="majorHAnsi"/>
                <w:b/>
                <w:bCs/>
                <w:sz w:val="20"/>
                <w:szCs w:val="20"/>
                <w:lang w:val="ro-MD"/>
              </w:rPr>
            </w:pPr>
          </w:p>
        </w:tc>
        <w:tc>
          <w:tcPr>
            <w:tcW w:w="1534" w:type="dxa"/>
            <w:gridSpan w:val="2"/>
            <w:vMerge/>
            <w:tcBorders>
              <w:top w:val="nil"/>
              <w:left w:val="single" w:sz="4" w:space="0" w:color="auto"/>
              <w:bottom w:val="single" w:sz="4" w:space="0" w:color="000000"/>
              <w:right w:val="single" w:sz="4" w:space="0" w:color="auto"/>
            </w:tcBorders>
            <w:vAlign w:val="center"/>
            <w:hideMark/>
          </w:tcPr>
          <w:p w14:paraId="227DD8A8" w14:textId="77777777" w:rsidR="007C0A8A" w:rsidRPr="009E5B39" w:rsidRDefault="007C0A8A" w:rsidP="00EF4BC3">
            <w:pPr>
              <w:spacing w:after="0" w:line="240" w:lineRule="auto"/>
              <w:rPr>
                <w:rFonts w:asciiTheme="majorHAnsi" w:eastAsia="Times New Roman" w:hAnsiTheme="majorHAnsi" w:cstheme="majorHAnsi"/>
                <w:b/>
                <w:bCs/>
                <w:sz w:val="20"/>
                <w:szCs w:val="20"/>
                <w:lang w:val="ro-MD"/>
              </w:rPr>
            </w:pPr>
          </w:p>
        </w:tc>
        <w:tc>
          <w:tcPr>
            <w:tcW w:w="1186" w:type="dxa"/>
            <w:gridSpan w:val="2"/>
            <w:tcBorders>
              <w:top w:val="nil"/>
              <w:left w:val="nil"/>
              <w:bottom w:val="single" w:sz="4" w:space="0" w:color="auto"/>
              <w:right w:val="single" w:sz="4" w:space="0" w:color="auto"/>
            </w:tcBorders>
            <w:shd w:val="clear" w:color="000000" w:fill="FCE4D6"/>
            <w:vAlign w:val="center"/>
            <w:hideMark/>
          </w:tcPr>
          <w:p w14:paraId="50ED7C66" w14:textId="77777777" w:rsidR="007C0A8A" w:rsidRPr="009E5B39" w:rsidRDefault="007C0A8A" w:rsidP="00EF4BC3">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codul CPV</w:t>
            </w:r>
          </w:p>
        </w:tc>
        <w:tc>
          <w:tcPr>
            <w:tcW w:w="1767" w:type="dxa"/>
            <w:gridSpan w:val="2"/>
            <w:tcBorders>
              <w:top w:val="nil"/>
              <w:left w:val="nil"/>
              <w:bottom w:val="single" w:sz="4" w:space="0" w:color="auto"/>
              <w:right w:val="single" w:sz="4" w:space="0" w:color="auto"/>
            </w:tcBorders>
            <w:shd w:val="clear" w:color="000000" w:fill="FCE4D6"/>
            <w:vAlign w:val="center"/>
            <w:hideMark/>
          </w:tcPr>
          <w:p w14:paraId="41CA26F4" w14:textId="77777777" w:rsidR="007C0A8A" w:rsidRPr="009E5B39" w:rsidRDefault="007C0A8A" w:rsidP="00EF4BC3">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valoare fără TVA</w:t>
            </w:r>
          </w:p>
        </w:tc>
      </w:tr>
      <w:tr w:rsidR="00EF4BC3" w:rsidRPr="009E5B39" w14:paraId="4CD4CD7D"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E5974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8E8D896"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Pretura sect. Botanica</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C9A48C"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1001 - 07290</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4DBA4F39"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vAlign w:val="center"/>
            <w:hideMark/>
          </w:tcPr>
          <w:p w14:paraId="7F7E18A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1.437,50</w:t>
            </w:r>
          </w:p>
        </w:tc>
        <w:tc>
          <w:tcPr>
            <w:tcW w:w="1390" w:type="dxa"/>
            <w:gridSpan w:val="2"/>
            <w:tcBorders>
              <w:top w:val="nil"/>
              <w:left w:val="nil"/>
              <w:bottom w:val="single" w:sz="4" w:space="0" w:color="auto"/>
              <w:right w:val="single" w:sz="4" w:space="0" w:color="auto"/>
            </w:tcBorders>
            <w:shd w:val="clear" w:color="000000" w:fill="FFFFFF"/>
            <w:vAlign w:val="center"/>
            <w:hideMark/>
          </w:tcPr>
          <w:p w14:paraId="23854598"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8.953,93</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ACB9A3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7.516,43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FE8A43E" w14:textId="69254870" w:rsidR="007C0A8A" w:rsidRPr="009E5B39" w:rsidRDefault="00E60FA2"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AF1E46C" w14:textId="4C9AD4F0"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E60FA2" w:rsidRPr="009E5B39">
              <w:rPr>
                <w:rFonts w:asciiTheme="majorHAnsi" w:eastAsia="Times New Roman" w:hAnsiTheme="majorHAnsi" w:cstheme="majorHAnsi"/>
                <w:lang w:val="ro-MD"/>
              </w:rPr>
              <w:t>u</w:t>
            </w:r>
          </w:p>
        </w:tc>
      </w:tr>
      <w:tr w:rsidR="00EF4BC3" w:rsidRPr="009E5B39" w14:paraId="6C5D8F38"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ADC0E7A"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07241E8A"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0FB43ACD"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10407376"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nil"/>
              <w:right w:val="single" w:sz="4" w:space="0" w:color="auto"/>
            </w:tcBorders>
            <w:shd w:val="clear" w:color="000000" w:fill="FFFFFF"/>
            <w:vAlign w:val="center"/>
            <w:hideMark/>
          </w:tcPr>
          <w:p w14:paraId="139A370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1.553,70</w:t>
            </w:r>
          </w:p>
        </w:tc>
        <w:tc>
          <w:tcPr>
            <w:tcW w:w="1390" w:type="dxa"/>
            <w:gridSpan w:val="2"/>
            <w:tcBorders>
              <w:top w:val="nil"/>
              <w:left w:val="nil"/>
              <w:bottom w:val="nil"/>
              <w:right w:val="single" w:sz="4" w:space="0" w:color="auto"/>
            </w:tcBorders>
            <w:shd w:val="clear" w:color="000000" w:fill="FFFFFF"/>
            <w:vAlign w:val="center"/>
            <w:hideMark/>
          </w:tcPr>
          <w:p w14:paraId="1E3EEEFA"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10.278,98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F62ACF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8.725,28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7921F6D" w14:textId="6B164F01" w:rsidR="007C0A8A" w:rsidRPr="009E5B39" w:rsidRDefault="00E60FA2"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r w:rsidR="007C0A8A" w:rsidRPr="009E5B39">
              <w:rPr>
                <w:rFonts w:asciiTheme="majorHAnsi" w:eastAsia="Times New Roman" w:hAnsiTheme="majorHAnsi" w:cstheme="majorHAnsi"/>
                <w:lang w:val="ro-MD"/>
              </w:rPr>
              <w:t>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BCC6C24" w14:textId="6AE7CFB5"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 </w:t>
            </w:r>
            <w:r w:rsidR="00D2036D" w:rsidRPr="009E5B39">
              <w:rPr>
                <w:rFonts w:asciiTheme="majorHAnsi" w:eastAsia="Times New Roman" w:hAnsiTheme="majorHAnsi" w:cstheme="majorHAnsi"/>
                <w:lang w:val="ro-MD"/>
              </w:rPr>
              <w:t>n</w:t>
            </w:r>
            <w:r w:rsidR="00E60FA2" w:rsidRPr="009E5B39">
              <w:rPr>
                <w:rFonts w:asciiTheme="majorHAnsi" w:eastAsia="Times New Roman" w:hAnsiTheme="majorHAnsi" w:cstheme="majorHAnsi"/>
                <w:lang w:val="ro-MD"/>
              </w:rPr>
              <w:t>u</w:t>
            </w:r>
          </w:p>
        </w:tc>
      </w:tr>
      <w:tr w:rsidR="00EF4BC3" w:rsidRPr="009E5B39" w14:paraId="58C8FDF2"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C4C582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7DE6692"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Pretura sect. Ciocana</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A11D4CB"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1001 - 07459</w:t>
            </w:r>
          </w:p>
        </w:tc>
        <w:tc>
          <w:tcPr>
            <w:tcW w:w="961" w:type="dxa"/>
            <w:gridSpan w:val="2"/>
            <w:tcBorders>
              <w:top w:val="nil"/>
              <w:left w:val="nil"/>
              <w:bottom w:val="single" w:sz="4" w:space="0" w:color="auto"/>
              <w:right w:val="nil"/>
            </w:tcBorders>
            <w:shd w:val="clear" w:color="000000" w:fill="FFFFFF"/>
            <w:vAlign w:val="center"/>
            <w:hideMark/>
          </w:tcPr>
          <w:p w14:paraId="091D3D00"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1B9E6E4"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1.886,00</w:t>
            </w:r>
          </w:p>
        </w:tc>
        <w:tc>
          <w:tcPr>
            <w:tcW w:w="1390" w:type="dxa"/>
            <w:gridSpan w:val="2"/>
            <w:tcBorders>
              <w:top w:val="single" w:sz="4" w:space="0" w:color="auto"/>
              <w:left w:val="nil"/>
              <w:bottom w:val="single" w:sz="4" w:space="0" w:color="auto"/>
              <w:right w:val="single" w:sz="4" w:space="0" w:color="auto"/>
            </w:tcBorders>
            <w:shd w:val="clear" w:color="000000" w:fill="FFFFFF"/>
            <w:vAlign w:val="center"/>
            <w:hideMark/>
          </w:tcPr>
          <w:p w14:paraId="13DB940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2.904,36</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9CA3976"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1.018,36</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E0B662C"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65B5496" w14:textId="5A183F66"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w:t>
            </w:r>
            <w:r w:rsidR="007C0A8A" w:rsidRPr="009E5B39">
              <w:rPr>
                <w:rFonts w:asciiTheme="majorHAnsi" w:eastAsia="Times New Roman" w:hAnsiTheme="majorHAnsi" w:cstheme="majorHAnsi"/>
                <w:lang w:val="ro-MD"/>
              </w:rPr>
              <w:t>a</w:t>
            </w:r>
          </w:p>
        </w:tc>
      </w:tr>
      <w:tr w:rsidR="00EF4BC3" w:rsidRPr="009E5B39" w14:paraId="03F7B616"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31C305A1"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21BBCDBA"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3CD0230D"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nil"/>
            </w:tcBorders>
            <w:shd w:val="clear" w:color="000000" w:fill="FFFFFF"/>
            <w:vAlign w:val="center"/>
            <w:hideMark/>
          </w:tcPr>
          <w:p w14:paraId="17DD725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single" w:sz="4" w:space="0" w:color="auto"/>
              <w:bottom w:val="nil"/>
              <w:right w:val="single" w:sz="4" w:space="0" w:color="auto"/>
            </w:tcBorders>
            <w:shd w:val="clear" w:color="000000" w:fill="FFFFFF"/>
            <w:vAlign w:val="center"/>
            <w:hideMark/>
          </w:tcPr>
          <w:p w14:paraId="2577DAB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6.614,00</w:t>
            </w:r>
          </w:p>
        </w:tc>
        <w:tc>
          <w:tcPr>
            <w:tcW w:w="1390" w:type="dxa"/>
            <w:gridSpan w:val="2"/>
            <w:tcBorders>
              <w:top w:val="nil"/>
              <w:left w:val="nil"/>
              <w:bottom w:val="nil"/>
              <w:right w:val="single" w:sz="4" w:space="0" w:color="auto"/>
            </w:tcBorders>
            <w:shd w:val="clear" w:color="000000" w:fill="FFFFFF"/>
            <w:vAlign w:val="center"/>
            <w:hideMark/>
          </w:tcPr>
          <w:p w14:paraId="020F0617"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8.542,61</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5693EC7"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1.928,61</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19A2866"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20C7BD8" w14:textId="6F451494"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w:t>
            </w:r>
            <w:r w:rsidR="007C0A8A" w:rsidRPr="009E5B39">
              <w:rPr>
                <w:rFonts w:asciiTheme="majorHAnsi" w:eastAsia="Times New Roman" w:hAnsiTheme="majorHAnsi" w:cstheme="majorHAnsi"/>
                <w:lang w:val="ro-MD"/>
              </w:rPr>
              <w:t>a</w:t>
            </w:r>
          </w:p>
        </w:tc>
      </w:tr>
      <w:tr w:rsidR="00EF4BC3" w:rsidRPr="009E5B39" w14:paraId="5DC4FEB7"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11113D7"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732F6E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Pretura sect. Rîșcani</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936211C"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1001 - 07355</w:t>
            </w:r>
          </w:p>
        </w:tc>
        <w:tc>
          <w:tcPr>
            <w:tcW w:w="961" w:type="dxa"/>
            <w:gridSpan w:val="2"/>
            <w:tcBorders>
              <w:top w:val="nil"/>
              <w:left w:val="nil"/>
              <w:bottom w:val="single" w:sz="4" w:space="0" w:color="auto"/>
              <w:right w:val="nil"/>
            </w:tcBorders>
            <w:shd w:val="clear" w:color="000000" w:fill="FFFFFF"/>
            <w:vAlign w:val="center"/>
            <w:hideMark/>
          </w:tcPr>
          <w:p w14:paraId="4CA0DCF4"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4955C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6.182,91</w:t>
            </w:r>
          </w:p>
        </w:tc>
        <w:tc>
          <w:tcPr>
            <w:tcW w:w="1390" w:type="dxa"/>
            <w:gridSpan w:val="2"/>
            <w:tcBorders>
              <w:top w:val="single" w:sz="4" w:space="0" w:color="auto"/>
              <w:left w:val="nil"/>
              <w:bottom w:val="single" w:sz="4" w:space="0" w:color="auto"/>
              <w:right w:val="single" w:sz="4" w:space="0" w:color="auto"/>
            </w:tcBorders>
            <w:shd w:val="clear" w:color="000000" w:fill="FFFFFF"/>
            <w:vAlign w:val="center"/>
            <w:hideMark/>
          </w:tcPr>
          <w:p w14:paraId="626D9F8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7.021,48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28D896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838,57</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ADE322E"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937D3CC" w14:textId="48335A84"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0094D9DA"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696CA8DD"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08972631"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29A0DB9A"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nil"/>
            </w:tcBorders>
            <w:shd w:val="clear" w:color="000000" w:fill="FFFFFF"/>
            <w:vAlign w:val="center"/>
            <w:hideMark/>
          </w:tcPr>
          <w:p w14:paraId="1B15667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single" w:sz="4" w:space="0" w:color="auto"/>
              <w:bottom w:val="nil"/>
              <w:right w:val="single" w:sz="4" w:space="0" w:color="auto"/>
            </w:tcBorders>
            <w:shd w:val="clear" w:color="000000" w:fill="FFFFFF"/>
            <w:vAlign w:val="center"/>
            <w:hideMark/>
          </w:tcPr>
          <w:p w14:paraId="1F08633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6.678,39</w:t>
            </w:r>
          </w:p>
        </w:tc>
        <w:tc>
          <w:tcPr>
            <w:tcW w:w="1390" w:type="dxa"/>
            <w:gridSpan w:val="2"/>
            <w:tcBorders>
              <w:top w:val="nil"/>
              <w:left w:val="nil"/>
              <w:bottom w:val="nil"/>
              <w:right w:val="single" w:sz="4" w:space="0" w:color="auto"/>
            </w:tcBorders>
            <w:shd w:val="clear" w:color="000000" w:fill="FFFFFF"/>
            <w:vAlign w:val="center"/>
            <w:hideMark/>
          </w:tcPr>
          <w:p w14:paraId="1FD3A846"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11.947,79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5EB571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5.269,40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07959D7"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A7834F8" w14:textId="75245164"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0537A8BC" w14:textId="77777777" w:rsidTr="00C95667">
        <w:trPr>
          <w:trHeight w:val="27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976314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4D234B"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Direcția generală locativ-comunală și amenajare</w:t>
            </w:r>
          </w:p>
        </w:tc>
        <w:tc>
          <w:tcPr>
            <w:tcW w:w="15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4FE9E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1001 - 07284</w:t>
            </w:r>
          </w:p>
        </w:tc>
        <w:tc>
          <w:tcPr>
            <w:tcW w:w="961" w:type="dxa"/>
            <w:gridSpan w:val="2"/>
            <w:tcBorders>
              <w:top w:val="nil"/>
              <w:left w:val="nil"/>
              <w:bottom w:val="single" w:sz="4" w:space="0" w:color="auto"/>
              <w:right w:val="nil"/>
            </w:tcBorders>
            <w:shd w:val="clear" w:color="000000" w:fill="FFFFFF"/>
            <w:vAlign w:val="center"/>
            <w:hideMark/>
          </w:tcPr>
          <w:p w14:paraId="7CCC63D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81ECF5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111.337,42</w:t>
            </w:r>
          </w:p>
        </w:tc>
        <w:tc>
          <w:tcPr>
            <w:tcW w:w="1390" w:type="dxa"/>
            <w:gridSpan w:val="2"/>
            <w:tcBorders>
              <w:top w:val="single" w:sz="4" w:space="0" w:color="auto"/>
              <w:left w:val="nil"/>
              <w:bottom w:val="single" w:sz="4" w:space="0" w:color="auto"/>
              <w:right w:val="single" w:sz="4" w:space="0" w:color="auto"/>
            </w:tcBorders>
            <w:shd w:val="clear" w:color="000000" w:fill="FFFFFF"/>
            <w:vAlign w:val="center"/>
            <w:hideMark/>
          </w:tcPr>
          <w:p w14:paraId="61048130"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276.938,72</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4DCE6B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165.601,30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98B602F"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2F5A7EA" w14:textId="0D53688F"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w:t>
            </w:r>
            <w:r w:rsidR="007C0A8A" w:rsidRPr="009E5B39">
              <w:rPr>
                <w:rFonts w:asciiTheme="majorHAnsi" w:eastAsia="Times New Roman" w:hAnsiTheme="majorHAnsi" w:cstheme="majorHAnsi"/>
                <w:lang w:val="ro-MD"/>
              </w:rPr>
              <w:t>a</w:t>
            </w:r>
          </w:p>
        </w:tc>
      </w:tr>
      <w:tr w:rsidR="00EF4BC3" w:rsidRPr="009E5B39" w14:paraId="72133955"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4350D6EA"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0F51A5B4"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4A4EA3EF"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nil"/>
            </w:tcBorders>
            <w:shd w:val="clear" w:color="000000" w:fill="FFFFFF"/>
            <w:vAlign w:val="center"/>
            <w:hideMark/>
          </w:tcPr>
          <w:p w14:paraId="45F3F4D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single" w:sz="4" w:space="0" w:color="auto"/>
              <w:bottom w:val="nil"/>
              <w:right w:val="single" w:sz="4" w:space="0" w:color="auto"/>
            </w:tcBorders>
            <w:shd w:val="clear" w:color="000000" w:fill="FFFFFF"/>
            <w:vAlign w:val="center"/>
            <w:hideMark/>
          </w:tcPr>
          <w:p w14:paraId="3B04E75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240.075,69</w:t>
            </w:r>
          </w:p>
        </w:tc>
        <w:tc>
          <w:tcPr>
            <w:tcW w:w="1390" w:type="dxa"/>
            <w:gridSpan w:val="2"/>
            <w:tcBorders>
              <w:top w:val="nil"/>
              <w:left w:val="nil"/>
              <w:bottom w:val="nil"/>
              <w:right w:val="single" w:sz="4" w:space="0" w:color="auto"/>
            </w:tcBorders>
            <w:shd w:val="clear" w:color="000000" w:fill="FFFFFF"/>
            <w:vAlign w:val="center"/>
            <w:hideMark/>
          </w:tcPr>
          <w:p w14:paraId="462B215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320.544,10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FABA7D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80.468,41</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7524EF2"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BAB9F83" w14:textId="53DEF9E9"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w:t>
            </w:r>
            <w:r w:rsidR="007C0A8A" w:rsidRPr="009E5B39">
              <w:rPr>
                <w:rFonts w:asciiTheme="majorHAnsi" w:eastAsia="Times New Roman" w:hAnsiTheme="majorHAnsi" w:cstheme="majorHAnsi"/>
                <w:lang w:val="ro-MD"/>
              </w:rPr>
              <w:t>a</w:t>
            </w:r>
          </w:p>
        </w:tc>
      </w:tr>
      <w:tr w:rsidR="00EF4BC3" w:rsidRPr="009E5B39" w14:paraId="65307721"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68B5C6D"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B65A6D4"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Pretura sect. Buiucani</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5BDD5B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1001 - 07413</w:t>
            </w:r>
          </w:p>
        </w:tc>
        <w:tc>
          <w:tcPr>
            <w:tcW w:w="961" w:type="dxa"/>
            <w:gridSpan w:val="2"/>
            <w:tcBorders>
              <w:top w:val="nil"/>
              <w:left w:val="nil"/>
              <w:bottom w:val="single" w:sz="4" w:space="0" w:color="auto"/>
              <w:right w:val="nil"/>
            </w:tcBorders>
            <w:shd w:val="clear" w:color="000000" w:fill="FFFFFF"/>
            <w:vAlign w:val="center"/>
            <w:hideMark/>
          </w:tcPr>
          <w:p w14:paraId="6EBC2731"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338639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2.002,90</w:t>
            </w:r>
          </w:p>
        </w:tc>
        <w:tc>
          <w:tcPr>
            <w:tcW w:w="1390" w:type="dxa"/>
            <w:gridSpan w:val="2"/>
            <w:tcBorders>
              <w:top w:val="single" w:sz="4" w:space="0" w:color="auto"/>
              <w:left w:val="nil"/>
              <w:bottom w:val="single" w:sz="4" w:space="0" w:color="auto"/>
              <w:right w:val="single" w:sz="4" w:space="0" w:color="auto"/>
            </w:tcBorders>
            <w:shd w:val="clear" w:color="000000" w:fill="FFFFFF"/>
            <w:vAlign w:val="center"/>
            <w:hideMark/>
          </w:tcPr>
          <w:p w14:paraId="65522539"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9.225,58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B6AD579"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7.222,68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C8C4DA8"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D8C29E7" w14:textId="2C262FD2"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7A918D4E"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0F5722A1"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1CD834B6"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2D6AE2C4"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nil"/>
            </w:tcBorders>
            <w:shd w:val="clear" w:color="000000" w:fill="FFFFFF"/>
            <w:vAlign w:val="center"/>
            <w:hideMark/>
          </w:tcPr>
          <w:p w14:paraId="788A38F7"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single" w:sz="4" w:space="0" w:color="auto"/>
              <w:bottom w:val="single" w:sz="4" w:space="0" w:color="auto"/>
              <w:right w:val="single" w:sz="4" w:space="0" w:color="auto"/>
            </w:tcBorders>
            <w:shd w:val="clear" w:color="000000" w:fill="FFFFFF"/>
            <w:vAlign w:val="center"/>
            <w:hideMark/>
          </w:tcPr>
          <w:p w14:paraId="69B84BA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6.955,00</w:t>
            </w:r>
          </w:p>
        </w:tc>
        <w:tc>
          <w:tcPr>
            <w:tcW w:w="1390" w:type="dxa"/>
            <w:gridSpan w:val="2"/>
            <w:tcBorders>
              <w:top w:val="nil"/>
              <w:left w:val="nil"/>
              <w:bottom w:val="single" w:sz="4" w:space="0" w:color="auto"/>
              <w:right w:val="single" w:sz="4" w:space="0" w:color="auto"/>
            </w:tcBorders>
            <w:shd w:val="clear" w:color="000000" w:fill="FFFFFF"/>
            <w:vAlign w:val="center"/>
            <w:hideMark/>
          </w:tcPr>
          <w:p w14:paraId="5E3BEDB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13.412,63</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C1B2BF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6.457,63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973970C"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2769727" w14:textId="50054C67"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360FB6BD"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CE6D6E2"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ECE6527"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Pretura sect. Centru</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F0B8D31"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1001 - 07498</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09346CB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B3C63A1"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1.482,70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6C6F09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14.126,98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908367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12.644,28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B1EE8EB"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BDA7036" w14:textId="7650DF56"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00991D0C"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3E23286"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67B90B8E"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40FD2E5D"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4BE86F37"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EFF6B1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7.135,00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7BD4B72"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10.850,40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4041D52"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3.715,40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CE5A283"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0985F9E" w14:textId="1794D0DE"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0EEDBEFD"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CFC1760"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E197254"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„Gheorghe Asachi”</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143C52F"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1001 - 15290</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4FF09B4D"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5C82C34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5.423,30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F8B0AC9"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5.845,90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4298222"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422,60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7722646"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1330FB1" w14:textId="431D9A68"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1F1D29FA"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51C4A08A"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7F4FA38C"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2D4234C3"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5FEEDCE7"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99D6F5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4.416,80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7C6671A"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4.597,40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16E373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180,60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C4A4DD2"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998345A" w14:textId="61B965BD"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3F8AF090"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CE02806"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E6C3D9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„Petru Rareș”</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9842B7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1001 - 14243</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7E844B12"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440DF6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857,16</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7C69788"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4.476,10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8B0099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3.618,94</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46C7669"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0079FD2" w14:textId="2080FB53"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74E53F7C"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503BA3C6"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1B06B3C8"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6B2BB2C1"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067591AD"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7623B30"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2.155,00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E859A1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5.393,90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6767081"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3.238,90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8C6C527"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C863D29" w14:textId="0F3655B4"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71EA27B0"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9C15FF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9</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A8BAAE6" w14:textId="01D16759"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Gimnaziu</w:t>
            </w:r>
            <w:r w:rsidR="009F3608" w:rsidRPr="009E5B39">
              <w:rPr>
                <w:rFonts w:asciiTheme="majorHAnsi" w:eastAsia="Times New Roman" w:hAnsiTheme="majorHAnsi" w:cstheme="majorHAnsi"/>
                <w:sz w:val="20"/>
                <w:szCs w:val="20"/>
                <w:lang w:val="ro-MD"/>
              </w:rPr>
              <w:t>l</w:t>
            </w:r>
            <w:r w:rsidRPr="009E5B39">
              <w:rPr>
                <w:rFonts w:asciiTheme="majorHAnsi" w:eastAsia="Times New Roman" w:hAnsiTheme="majorHAnsi" w:cstheme="majorHAnsi"/>
                <w:sz w:val="20"/>
                <w:szCs w:val="20"/>
                <w:lang w:val="ro-MD"/>
              </w:rPr>
              <w:t xml:space="preserve"> „D. Matcovschi”</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B28126B"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1001 - 14253</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5B577D0B"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4664F799"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1.376,56</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A7B71F0"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1.486,89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CCED75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110,33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628AFBB"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1EA3B19" w14:textId="328296DC"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0976C77C"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3F018393"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382162F6"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73DE58EC"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3406429B"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F360B4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1.812,04</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75C5E6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2.005,30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D9DFED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193,26</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1474AA3"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7072DDA" w14:textId="56E23FCD"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386E5751"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CCF97DF"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30205D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„D. Cantemir”</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FA74CB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1001 - 15978</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0037F8FB"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7E5774A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8.359,87</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7C22D85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4.245,36</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FD3BB7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-4.114,51</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8CB5696"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BC5A597" w14:textId="40B6790F"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149EF1FE"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7C188082"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5307035F"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4F192F00"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142CE486"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947B42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3.118,60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6ED652D1"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3.131,60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F340D4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13,00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AEEC957"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5AEF94E" w14:textId="334F0945"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787C7A5C"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0B649C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11</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C39537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„Hyperion”</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433BCB"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1001 - 14259</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1459AC7F"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4F3B3E21"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2.496,80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ECB687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4.243,70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C731CA1"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1.746,90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71E3B4E"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DD611FA" w14:textId="7A236737"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48623FC9"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5A6F13C1"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7255C886"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5FFAAEB8"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2F0DB45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BCD46BA"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4.207,80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4D1F1979"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4.377,80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D2110D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170,00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89113A7"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0ABC2F0" w14:textId="3B3BB04D"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40EE1314"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C35F09C"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12</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C5C94C5" w14:textId="703E102E"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„Consta</w:t>
            </w:r>
            <w:r w:rsidR="009F3608" w:rsidRPr="009E5B39">
              <w:rPr>
                <w:rFonts w:asciiTheme="majorHAnsi" w:eastAsia="Times New Roman" w:hAnsiTheme="majorHAnsi" w:cstheme="majorHAnsi"/>
                <w:sz w:val="20"/>
                <w:szCs w:val="20"/>
                <w:lang w:val="ro-MD"/>
              </w:rPr>
              <w:t>n</w:t>
            </w:r>
            <w:r w:rsidRPr="009E5B39">
              <w:rPr>
                <w:rFonts w:asciiTheme="majorHAnsi" w:eastAsia="Times New Roman" w:hAnsiTheme="majorHAnsi" w:cstheme="majorHAnsi"/>
                <w:sz w:val="20"/>
                <w:szCs w:val="20"/>
                <w:lang w:val="ro-MD"/>
              </w:rPr>
              <w:t>tin Negruzzi”</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6C42C66"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1001 - 14252</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6EE80EE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5791C469"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2.807,64</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E28C50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2.563,65</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D1BE2C1"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-243,99</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1D6E2F3"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parțial</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BCD6023" w14:textId="7BE7559B"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w:t>
            </w:r>
            <w:r w:rsidR="007C0A8A" w:rsidRPr="009E5B39">
              <w:rPr>
                <w:rFonts w:asciiTheme="majorHAnsi" w:eastAsia="Times New Roman" w:hAnsiTheme="majorHAnsi" w:cstheme="majorHAnsi"/>
                <w:lang w:val="ro-MD"/>
              </w:rPr>
              <w:t>a</w:t>
            </w:r>
          </w:p>
        </w:tc>
      </w:tr>
      <w:tr w:rsidR="00EF4BC3" w:rsidRPr="009E5B39" w14:paraId="5059E7BA"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085EC38E"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3680D788"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07D9580C"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38137D7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5EC0B4B7"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3.827,28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1E1A7B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3.361,10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8EB41F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-466,18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44F5716"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parțial</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2CCA81C" w14:textId="74CC2121"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w:t>
            </w:r>
            <w:r w:rsidR="007C0A8A" w:rsidRPr="009E5B39">
              <w:rPr>
                <w:rFonts w:asciiTheme="majorHAnsi" w:eastAsia="Times New Roman" w:hAnsiTheme="majorHAnsi" w:cstheme="majorHAnsi"/>
                <w:lang w:val="ro-MD"/>
              </w:rPr>
              <w:t>a</w:t>
            </w:r>
          </w:p>
        </w:tc>
      </w:tr>
      <w:tr w:rsidR="00EF4BC3" w:rsidRPr="009E5B39" w14:paraId="607595C0"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1BB532"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13</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60304D9"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„Petru Movilă”</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CDDCFD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1001 - 14212</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747AA711"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0683A14"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4.392,20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988D154"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2.778,71</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0D368F7"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-1.613,49</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96EC9AF"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A3C2574" w14:textId="561FD8B6"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004CD40B"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9FED2F3"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5FEF72D7"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001595A6"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571AB83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71A6862"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4.109,66</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B233A84"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2.237,59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188954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-1.872,07</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FD4590E"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0693CC3" w14:textId="1EC9A359"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1A201C92" w14:textId="77777777" w:rsidTr="00C95667">
        <w:trPr>
          <w:trHeight w:val="300"/>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6F5D40"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14</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591D0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Școala primară nr. 101 din com. Băcioi</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2BB169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1001 - 15982</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1E5E8D87"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2C68326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149,70</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3461B83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1.583,20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3E5BF7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1.433,50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FEE5699"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57D11C9" w14:textId="388C5005"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66C5380C"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5CF4CAA1"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360E682B"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61BEFFC1"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7766698C"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EEC2947"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1.393,30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4F867BA"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1.664,50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8B029B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271,20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93DB8A2"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FE1068E" w14:textId="79E69C9D"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1B18DBA1"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04029F"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15</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FE55492"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„Nicolae Bălcescu”</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BEA317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1001 - 14262</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32788690"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54CEFE1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189,80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3F729B4"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2.515,72</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C079456"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2.325,92</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9D29F0E"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02CA093" w14:textId="1F133A35"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5FA7EEB1"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23AE7A1E"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778FA770"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5D176C05"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6697F13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E0E301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114,00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1588D8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2.563,51</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D3AF29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2.449,51</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978CC84"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A4AB8FF" w14:textId="3FACD0CE"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69580E8A"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7CF742"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16</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D267B96"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„Ginta Latină”</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6016D0"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1001 - 14248</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29580401"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09E570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4.765,08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457E92D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3.996,90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3D5463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-768,18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7F441BD"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08AD69E" w14:textId="63D34899"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w:t>
            </w:r>
            <w:r w:rsidR="007C0A8A" w:rsidRPr="009E5B39">
              <w:rPr>
                <w:rFonts w:asciiTheme="majorHAnsi" w:eastAsia="Times New Roman" w:hAnsiTheme="majorHAnsi" w:cstheme="majorHAnsi"/>
                <w:lang w:val="ro-MD"/>
              </w:rPr>
              <w:t>a</w:t>
            </w:r>
          </w:p>
        </w:tc>
      </w:tr>
      <w:tr w:rsidR="00EF4BC3" w:rsidRPr="009E5B39" w14:paraId="59E22070"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7232A53D"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1BFA0A0D"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626055FC"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24CF866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4863FFC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6.293,76</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F5921E8"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5.236,90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976913A"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-1.056,86</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4AE5701"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F4CA1A6" w14:textId="3B9506A6"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w:t>
            </w:r>
            <w:r w:rsidR="007C0A8A" w:rsidRPr="009E5B39">
              <w:rPr>
                <w:rFonts w:asciiTheme="majorHAnsi" w:eastAsia="Times New Roman" w:hAnsiTheme="majorHAnsi" w:cstheme="majorHAnsi"/>
                <w:lang w:val="ro-MD"/>
              </w:rPr>
              <w:t>a</w:t>
            </w:r>
          </w:p>
        </w:tc>
      </w:tr>
      <w:tr w:rsidR="00EF4BC3" w:rsidRPr="009E5B39" w14:paraId="3FF5AF27"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3035F4C"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17</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36BD50E" w14:textId="5F2CEBD0"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„Alexandru cel Bun”, or. S</w:t>
            </w:r>
            <w:r w:rsidR="009F3608" w:rsidRPr="009E5B39">
              <w:rPr>
                <w:rFonts w:asciiTheme="majorHAnsi" w:eastAsia="Times New Roman" w:hAnsiTheme="majorHAnsi" w:cstheme="majorHAnsi"/>
                <w:sz w:val="20"/>
                <w:szCs w:val="20"/>
                <w:lang w:val="ro-MD"/>
              </w:rPr>
              <w:t>â</w:t>
            </w:r>
            <w:r w:rsidRPr="009E5B39">
              <w:rPr>
                <w:rFonts w:asciiTheme="majorHAnsi" w:eastAsia="Times New Roman" w:hAnsiTheme="majorHAnsi" w:cstheme="majorHAnsi"/>
                <w:sz w:val="20"/>
                <w:szCs w:val="20"/>
                <w:lang w:val="ro-MD"/>
              </w:rPr>
              <w:t>ngera</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AD949E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1001 - 14260</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1CF44E1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364FD9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690,00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4620C0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3.945,40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07572B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3.255,40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4BFADF4"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88135B1"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0AAA8F30"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4F4D3B91"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60F2FFB1"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65481738"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19AFAB1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034372D7"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850,00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4D9961A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3.173,90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043D1F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2.323,90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14DB6F44"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1483874"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2442FD65" w14:textId="77777777" w:rsidTr="00C95667">
        <w:trPr>
          <w:trHeight w:val="291"/>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C43DE22"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18</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AD92F2"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Direcția generală educație, tineret și sport</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EB2A87"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1001 - 2032</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53CB4400"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37FC8E5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54.430,55</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6EEE61D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116.497,61</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A2D8AE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62.067,06</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0372A38"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F5B7FCE"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58709CC6"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38FFD366"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495DC360"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2D1D131E"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4F732630"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0F8CD36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26.256,96</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898148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93.387,46</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D594D2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67.130,50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15F1822D"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D1BA407"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46080BA6"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3B380F"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19</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1E29960"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DETS Centru</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D22D084"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1001 - 2039</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2BA62D39"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121B24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45.490,30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4C248E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83.127,71</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C74B032"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37.637,41</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39850EC"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56530A4"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7C533182"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3DB3B3C0"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32039B6D"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4F6E73CC"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5B5D32B9"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16FC657"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46.049,64</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818B6F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70.428,96</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73121B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24.379,32</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2E825FA"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F05CB40"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5488AA63" w14:textId="77777777" w:rsidTr="00C95667">
        <w:trPr>
          <w:trHeight w:val="30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9F519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0925EE" w14:textId="139E756D"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Direcția generală arhitectură, urbani</w:t>
            </w:r>
            <w:r w:rsidR="009F3608" w:rsidRPr="009E5B39">
              <w:rPr>
                <w:rFonts w:asciiTheme="majorHAnsi" w:eastAsia="Times New Roman" w:hAnsiTheme="majorHAnsi" w:cstheme="majorHAnsi"/>
                <w:sz w:val="20"/>
                <w:szCs w:val="20"/>
                <w:lang w:val="ro-MD"/>
              </w:rPr>
              <w:t>s</w:t>
            </w:r>
            <w:r w:rsidRPr="009E5B39">
              <w:rPr>
                <w:rFonts w:asciiTheme="majorHAnsi" w:eastAsia="Times New Roman" w:hAnsiTheme="majorHAnsi" w:cstheme="majorHAnsi"/>
                <w:sz w:val="20"/>
                <w:szCs w:val="20"/>
                <w:lang w:val="ro-MD"/>
              </w:rPr>
              <w:t>m și relații funciare</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00F7C6"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1001 - 07221</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3B2E3861"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7735A5B8"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6.446,06</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602384C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9.161,00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DAA50D0"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2.714,94</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19EB1913"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B2DBBC0"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6069895E"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9FD78B3"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2C0C319D"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6AD80B8E"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7D403746"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3957FD4"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6.448,80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955A42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7.748,90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5887372"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1.300,10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EC1A41E"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5C20C94"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0F888182"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BC7C1CD"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21</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962A97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DETS Rîșcani</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90C2BD2"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1001 - 2036</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12F9FF3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BC0B859"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108.047,11</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4B6D003A"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128.929,63</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FAE9F5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20.882,52</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9249B02"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C5B8EF7" w14:textId="595F7EC6"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770B2EC1"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02DD21BC"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7863E40A"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2B303D10"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74A348BB"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72A176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104.089,39</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64D1CD92"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102.475,91</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FC8487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-1.613,48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1918CD9"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7D52577" w14:textId="3F8F6791"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7CE49FAD"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30D8AD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22</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9517B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„Toader Bubuiog”, com. Bubuieci</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7BC1370"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1001 - 14261</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75428A7F"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4C83009"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2.443,69</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EE79386"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3.494,60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51355B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1.050,91</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1CD409B"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A34210C" w14:textId="7B850641"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49D1B87E"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69CEAA47"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38675E81"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70A1463D"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7610880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733F1D60"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4.203,50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756EBE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4.761,00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CA5CD46"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557,50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FC0B8AB"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F794179" w14:textId="394DF0FD"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69AF9BCF"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D9F8514"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23</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BC118CC"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„Mihai Viteazu”</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9E11D5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1001 - 14255</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4C2FFE54"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83CC770"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6.516,00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7EBBF53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7.993,50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BBC3866"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1.477,50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ECC51AF"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F667BFF" w14:textId="7E22D9AC"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0B7302D4"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0F93A8E"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444811B5"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1BDC2878"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680943A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4675697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6.039,80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15C91A4"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7.644,40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74C010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1.604,60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9CFD863"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5AD1106" w14:textId="1A058B6E"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45E4C6C8" w14:textId="77777777" w:rsidTr="00C95667">
        <w:trPr>
          <w:trHeight w:val="30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6402501"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24</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D874B9"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Direcția generală asistență socială și sănătate</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C02C37D"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1001 - 2029</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611243A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14B9AB0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24.122,95</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31E29A6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19.664,84</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D498AF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-4.458,11</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96474F3"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DE784F7" w14:textId="61C2BCD2"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w:t>
            </w:r>
            <w:r w:rsidR="007C0A8A" w:rsidRPr="009E5B39">
              <w:rPr>
                <w:rFonts w:asciiTheme="majorHAnsi" w:eastAsia="Times New Roman" w:hAnsiTheme="majorHAnsi" w:cstheme="majorHAnsi"/>
                <w:lang w:val="ro-MD"/>
              </w:rPr>
              <w:t>a</w:t>
            </w:r>
          </w:p>
        </w:tc>
      </w:tr>
      <w:tr w:rsidR="00EF4BC3" w:rsidRPr="009E5B39" w14:paraId="454871C2"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74AAB255"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53885240"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2FC84654"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313EDFA1"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5415F888"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25.343,79</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69EC5976"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40.653,10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B30FED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15.309,31</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11ACC144"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B7F14A9" w14:textId="06D2B788"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w:t>
            </w:r>
            <w:r w:rsidR="007C0A8A" w:rsidRPr="009E5B39">
              <w:rPr>
                <w:rFonts w:asciiTheme="majorHAnsi" w:eastAsia="Times New Roman" w:hAnsiTheme="majorHAnsi" w:cstheme="majorHAnsi"/>
                <w:lang w:val="ro-MD"/>
              </w:rPr>
              <w:t>a</w:t>
            </w:r>
          </w:p>
        </w:tc>
      </w:tr>
      <w:tr w:rsidR="00EF4BC3" w:rsidRPr="009E5B39" w14:paraId="3CDD1F90"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740FB91"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25</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2FFA637"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„Minerva”</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4988332"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1001 - 14254</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69EDC84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228ADE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1.731,48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4DA41830"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2.593,12</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B40B5C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861,64</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C8AE3BE"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74FD64D" w14:textId="5CD79DD1"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w:t>
            </w:r>
            <w:r w:rsidR="007C0A8A" w:rsidRPr="009E5B39">
              <w:rPr>
                <w:rFonts w:asciiTheme="majorHAnsi" w:eastAsia="Times New Roman" w:hAnsiTheme="majorHAnsi" w:cstheme="majorHAnsi"/>
                <w:lang w:val="ro-MD"/>
              </w:rPr>
              <w:t>a</w:t>
            </w:r>
          </w:p>
        </w:tc>
      </w:tr>
      <w:tr w:rsidR="00EF4BC3" w:rsidRPr="009E5B39" w14:paraId="65EA41F7"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0A10BE1E"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3F5A4078"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0467FE95"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249E5C71"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A4D2B5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876,48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D85D0E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1.741,44</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1ACDFC8"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864,96</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0119A4D"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E5960FB" w14:textId="56CE4AB8"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w:t>
            </w:r>
            <w:r w:rsidR="007C0A8A" w:rsidRPr="009E5B39">
              <w:rPr>
                <w:rFonts w:asciiTheme="majorHAnsi" w:eastAsia="Times New Roman" w:hAnsiTheme="majorHAnsi" w:cstheme="majorHAnsi"/>
                <w:lang w:val="ro-MD"/>
              </w:rPr>
              <w:t>a</w:t>
            </w:r>
          </w:p>
        </w:tc>
      </w:tr>
      <w:tr w:rsidR="00EF4BC3" w:rsidRPr="009E5B39" w14:paraId="46FFF801" w14:textId="77777777" w:rsidTr="00C95667">
        <w:trPr>
          <w:trHeight w:val="30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6F19731"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26</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42134F"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Școala primară-grădiniță „Ilie Fulga”</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AEB95BD"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1001 - 14265</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4ADC5DE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030B7CD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830,00</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6AC17C6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3.980,80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BCF5B8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3.150,80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CF66902"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4276951" w14:textId="43154EFC" w:rsidR="007C0A8A" w:rsidRPr="009E5B39" w:rsidRDefault="00D2036D"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w:t>
            </w:r>
            <w:r w:rsidR="007C0A8A" w:rsidRPr="009E5B39">
              <w:rPr>
                <w:rFonts w:asciiTheme="majorHAnsi" w:eastAsia="Times New Roman" w:hAnsiTheme="majorHAnsi" w:cstheme="majorHAnsi"/>
                <w:lang w:val="ro-MD"/>
              </w:rPr>
              <w:t>u</w:t>
            </w:r>
          </w:p>
        </w:tc>
      </w:tr>
      <w:tr w:rsidR="00EF4BC3" w:rsidRPr="009E5B39" w14:paraId="7BDE102B"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64DA2550"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1FD65DEF"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7DDE5491"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555F2819"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E9236C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686,00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A4D29A6"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3.205,90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D436A3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2.519,90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E4FBB6B"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3D5CB1E"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5CD7E545"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11F2C66"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27</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F6F262"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„Liviu Deleanu”</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3BD95A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1001 - 14246</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7B242C9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5D0A5A1"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21.629,88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06EF1A0"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6.312,90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B383C5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-15.316,98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176F14A5"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B77C547"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4DA1C8F2"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618375E9"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0B4F506D"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7CCD24D5"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650B0B4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73BC34B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7.378,08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63EA0A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7.529,90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BA6EB2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151,82</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D9937D9"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A006EA8"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6683BE0B"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2A6C24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28</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27914BB"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„Spiru Haret”</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A1D4770"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1001 - 14207</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304A770B"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3C5B54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6.701,90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42C8BEF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6.433,23</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A53A0F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-268,67</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553E2C6"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E2FB01A"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54E3F8FD"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671E9BB6"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1C488EA7"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269567F9"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4CC283FD"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5D4E5427"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3.936,10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0FF54C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6.420,59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E65273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2.484,49</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99F6F83"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4859CFA"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3C236A00"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D3D767"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29</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1FB6DED"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„Olimp”</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5B4D8F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1001 - 14251</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25F45A9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A44420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2.752,30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7A6B57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2.317,80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18CF178"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-434,50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71874DD"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0482E43"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49EEA2C1"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35A65B8A"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4A12994B"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468FBC1F"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1330BDF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4FF56CC0"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1.006,60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559D36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2.697,00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210AFA0"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1.690,40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52E5B5A"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E735773"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46D18B14" w14:textId="77777777" w:rsidTr="00C95667">
        <w:trPr>
          <w:trHeight w:val="27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2E6A6F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30</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A1592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Direcția generală transport public și căi de comunicație</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9E6292C"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1001 - 09746</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6DC66E6C"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7087259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60.015,70</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0BB9CB2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961.592,17</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1B45589"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901.576,47</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E4260F5"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38E57F8"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053B353E"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6FD14AC4"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4B2E2C80"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456E0889"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294A4809"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1BA5A10"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14.099,38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51DD4A8"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788.827,90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473F76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774.728,52</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FE6804F"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parțial</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8D52D64"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43BD07DD" w14:textId="77777777" w:rsidTr="00C95667">
        <w:trPr>
          <w:trHeight w:val="291"/>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B762BD1"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31</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7BD5C8"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Direcția generală comerț, alimentație publică și prestări servicii</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CC51FD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1001 - 14271</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516442B1"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0E5F5F3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1.470,00</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7BD55FF4"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1.805,10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3CF07B4"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335,10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8676C2A"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2AD770D"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1DA67913"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45E37078"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415E7480"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5FA82239"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5035C8BC"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A62C0F2"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1.912,92</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7990C5EC"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590,68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205EFE9"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-1.322,24</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8D19D2D"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C87B7E4"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21FE606F" w14:textId="77777777" w:rsidTr="00C95667">
        <w:trPr>
          <w:trHeight w:val="240"/>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67FA02D"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32</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30A2C2" w14:textId="667EBDD4"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Directia general</w:t>
            </w:r>
            <w:r w:rsidR="009F3608" w:rsidRPr="009E5B39">
              <w:rPr>
                <w:rFonts w:asciiTheme="majorHAnsi" w:eastAsia="Times New Roman" w:hAnsiTheme="majorHAnsi" w:cstheme="majorHAnsi"/>
                <w:sz w:val="20"/>
                <w:szCs w:val="20"/>
                <w:lang w:val="ro-MD"/>
              </w:rPr>
              <w:t>ă</w:t>
            </w:r>
            <w:r w:rsidRPr="009E5B39">
              <w:rPr>
                <w:rFonts w:asciiTheme="majorHAnsi" w:eastAsia="Times New Roman" w:hAnsiTheme="majorHAnsi" w:cstheme="majorHAnsi"/>
                <w:sz w:val="20"/>
                <w:szCs w:val="20"/>
                <w:lang w:val="ro-MD"/>
              </w:rPr>
              <w:t xml:space="preserve"> economie, reforme </w:t>
            </w:r>
            <w:r w:rsidR="009F3608" w:rsidRPr="009E5B39">
              <w:rPr>
                <w:rFonts w:asciiTheme="majorHAnsi" w:eastAsia="Times New Roman" w:hAnsiTheme="majorHAnsi" w:cstheme="majorHAnsi"/>
                <w:sz w:val="20"/>
                <w:szCs w:val="20"/>
                <w:lang w:val="ro-MD"/>
              </w:rPr>
              <w:t>ș</w:t>
            </w:r>
            <w:r w:rsidRPr="009E5B39">
              <w:rPr>
                <w:rFonts w:asciiTheme="majorHAnsi" w:eastAsia="Times New Roman" w:hAnsiTheme="majorHAnsi" w:cstheme="majorHAnsi"/>
                <w:sz w:val="20"/>
                <w:szCs w:val="20"/>
                <w:lang w:val="ro-MD"/>
              </w:rPr>
              <w:t>i rela</w:t>
            </w:r>
            <w:r w:rsidR="009F3608" w:rsidRPr="009E5B39">
              <w:rPr>
                <w:rFonts w:asciiTheme="majorHAnsi" w:eastAsia="Times New Roman" w:hAnsiTheme="majorHAnsi" w:cstheme="majorHAnsi"/>
                <w:sz w:val="20"/>
                <w:szCs w:val="20"/>
                <w:lang w:val="ro-MD"/>
              </w:rPr>
              <w:t>ț</w:t>
            </w:r>
            <w:r w:rsidRPr="009E5B39">
              <w:rPr>
                <w:rFonts w:asciiTheme="majorHAnsi" w:eastAsia="Times New Roman" w:hAnsiTheme="majorHAnsi" w:cstheme="majorHAnsi"/>
                <w:sz w:val="20"/>
                <w:szCs w:val="20"/>
                <w:lang w:val="ro-MD"/>
              </w:rPr>
              <w:t>ii patrimoniale</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9E0C019"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1001 - 07223</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5E364DD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6454BA8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1.467,20</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2185625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1.539,60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51AFA34"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72,40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6FD58C2"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042E957"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61FA87AD"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36C65426"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71970527"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49AD90B8"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2295BDE2"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5A2552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1.733,33</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FAA8387"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431,53</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B84A64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-1.301,80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AEB3879"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CE25599"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43C9F373" w14:textId="77777777" w:rsidTr="00C95667">
        <w:trPr>
          <w:trHeight w:val="27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333E16B"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33</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5BC37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Direcția generală economie, comerț și turism</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365FD1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1001 - 16123</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0AAB9E9F"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2CC"/>
            <w:noWrap/>
            <w:vAlign w:val="center"/>
            <w:hideMark/>
          </w:tcPr>
          <w:p w14:paraId="74F0FADF"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 </w:t>
            </w:r>
          </w:p>
        </w:tc>
        <w:tc>
          <w:tcPr>
            <w:tcW w:w="1390" w:type="dxa"/>
            <w:gridSpan w:val="2"/>
            <w:tcBorders>
              <w:top w:val="nil"/>
              <w:left w:val="nil"/>
              <w:bottom w:val="single" w:sz="4" w:space="0" w:color="auto"/>
              <w:right w:val="single" w:sz="4" w:space="0" w:color="auto"/>
            </w:tcBorders>
            <w:shd w:val="clear" w:color="000000" w:fill="FFF2CC"/>
            <w:noWrap/>
            <w:vAlign w:val="center"/>
            <w:hideMark/>
          </w:tcPr>
          <w:p w14:paraId="5BD5374B"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 </w:t>
            </w:r>
          </w:p>
        </w:tc>
        <w:tc>
          <w:tcPr>
            <w:tcW w:w="1534" w:type="dxa"/>
            <w:gridSpan w:val="2"/>
            <w:tcBorders>
              <w:top w:val="nil"/>
              <w:left w:val="nil"/>
              <w:bottom w:val="single" w:sz="4" w:space="0" w:color="auto"/>
              <w:right w:val="single" w:sz="4" w:space="0" w:color="auto"/>
            </w:tcBorders>
            <w:shd w:val="clear" w:color="000000" w:fill="FFF2CC"/>
            <w:vAlign w:val="center"/>
            <w:hideMark/>
          </w:tcPr>
          <w:p w14:paraId="1DB722D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0,00</w:t>
            </w:r>
          </w:p>
        </w:tc>
        <w:tc>
          <w:tcPr>
            <w:tcW w:w="1186" w:type="dxa"/>
            <w:gridSpan w:val="2"/>
            <w:tcBorders>
              <w:top w:val="nil"/>
              <w:left w:val="nil"/>
              <w:bottom w:val="single" w:sz="4" w:space="0" w:color="auto"/>
              <w:right w:val="single" w:sz="4" w:space="0" w:color="auto"/>
            </w:tcBorders>
            <w:shd w:val="clear" w:color="000000" w:fill="FFF2CC"/>
            <w:noWrap/>
            <w:vAlign w:val="center"/>
            <w:hideMark/>
          </w:tcPr>
          <w:p w14:paraId="15C18AB3"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w:t>
            </w:r>
          </w:p>
        </w:tc>
        <w:tc>
          <w:tcPr>
            <w:tcW w:w="1767" w:type="dxa"/>
            <w:gridSpan w:val="2"/>
            <w:tcBorders>
              <w:top w:val="nil"/>
              <w:left w:val="nil"/>
              <w:bottom w:val="single" w:sz="4" w:space="0" w:color="auto"/>
              <w:right w:val="single" w:sz="4" w:space="0" w:color="auto"/>
            </w:tcBorders>
            <w:shd w:val="clear" w:color="000000" w:fill="FFF2CC"/>
            <w:noWrap/>
            <w:vAlign w:val="center"/>
            <w:hideMark/>
          </w:tcPr>
          <w:p w14:paraId="3CF2A5A8"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w:t>
            </w:r>
          </w:p>
        </w:tc>
      </w:tr>
      <w:tr w:rsidR="00EF4BC3" w:rsidRPr="009E5B39" w14:paraId="6F0E5B16"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358D5F51"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0B8E666B"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70FBCEFD"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0740C1FD"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5A5EC6F9"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2.264,13</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10423EA"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3.247,19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6E2793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983,06</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951D99A"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415B004"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2EFAEA2E"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4C9441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34</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84596D9"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DETS Ciocana</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0B8C5A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1001 - 2038</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7B840BDB"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3C7CF91"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83.968,80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73729CA7"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92.158,99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EF0AE9A"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8.190,19</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2670E35"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698CCF1"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17F12437"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6AF6BC20"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169C1A87"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7DB26D1A"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41108A4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295041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77.618,15</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9CA6802"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78.798,30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504C80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1.180,15</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37B84D3"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4A34DEB"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47DB6231" w14:textId="77777777" w:rsidTr="00C95667">
        <w:trPr>
          <w:trHeight w:val="270"/>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906FE6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35</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5AF75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„Ion și Doina Aldea-Teodorovici”</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8CF550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1001 - 15289</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14FD4BD4"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5452C188"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4.000,57</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05D75D1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4.554,30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21C1227"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553,73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9F13C3B"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6A08A03"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0D5019B9"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4652C81E"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70D40A53"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119D13C8"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520C9C6C"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48D9C0F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5.873,79</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64CD7702"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5.200,06</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95B8468"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-673,73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6F36D37"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3B18BE1"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248EFE4A"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4F77FA9"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36</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5E94BBD"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„Gaudeamus”</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20B673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1001 - 15979</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1A84068C"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55FBE09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4.003,40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AE4798B"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5.204,27</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A179E2A"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1.200,87</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71B94D7"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829BEF0"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23FD93E9"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CBE3573"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48154B14"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73EE10FC"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0F0E81C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A951D89"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1.643,04</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59AE8B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5.363,40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2DF5794"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3.720,36</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D2F9617"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59DDB94"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0EB6FD65"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2200EA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37</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2DE578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LT „A. Pușkin”</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6CFFD5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1001 - 14205</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443656F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73B2CDD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3.231,60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D90A7D3"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4.644,00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1830BF7"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1.412,40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B6ED30E"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5A38F23"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65B85831"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D23D0B4"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020A4809"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5F7A2F0D"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6D6BDEE3"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5E52A126"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2.992,60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2FD2438"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4.336,00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4634405"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1.343,40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F355F30"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D919971"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0033512F"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C1C4F54"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38</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1C2934" w14:textId="2745520C"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Liceu</w:t>
            </w:r>
            <w:r w:rsidR="009F3608" w:rsidRPr="009E5B39">
              <w:rPr>
                <w:rFonts w:asciiTheme="majorHAnsi" w:eastAsia="Times New Roman" w:hAnsiTheme="majorHAnsi" w:cstheme="majorHAnsi"/>
                <w:sz w:val="20"/>
                <w:szCs w:val="20"/>
                <w:lang w:val="ro-MD"/>
              </w:rPr>
              <w:t>l</w:t>
            </w:r>
            <w:r w:rsidRPr="009E5B39">
              <w:rPr>
                <w:rFonts w:asciiTheme="majorHAnsi" w:eastAsia="Times New Roman" w:hAnsiTheme="majorHAnsi" w:cstheme="majorHAnsi"/>
                <w:sz w:val="20"/>
                <w:szCs w:val="20"/>
                <w:lang w:val="ro-MD"/>
              </w:rPr>
              <w:t xml:space="preserve"> Tehnologic ORT „B.Z.Herțli”</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46561B7"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1001 - 15984</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7062A1A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2E0DE16"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 </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7B4B80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1.059,58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B059E31"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1.059,58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192A4FA"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1CFE93A"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w:t>
            </w:r>
          </w:p>
        </w:tc>
      </w:tr>
      <w:tr w:rsidR="00EF4BC3" w:rsidRPr="009E5B39" w14:paraId="1AAA6F46"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4BBE15E5"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565AD745"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76015B90"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2D2299ED"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377E141"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1.837,30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49095161"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1.366,85</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583DD1E"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-470,45</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EC68A70"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1B9A98E"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0CB98DAA" w14:textId="77777777" w:rsidTr="00C95667">
        <w:trPr>
          <w:trHeight w:val="27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77B9D3C"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39</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4BC13D"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Direcţia municipală protecţia drepturilor copilului</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1413514"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1001 - 2028</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3D9DF3B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6F9C91B2"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3.931,26</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648E3E84"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13.162,79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0013AA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9.231,53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A34C7D5"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5E2E6B6"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41F059AE"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457C796A"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534ABC5C"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752901FD"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413E4EA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0E5D4826"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6.031,83</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BA5929A"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13.319,10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9F5EBA6"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7.287,27</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A5E00A5"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34B7C67"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520E926C" w14:textId="77777777" w:rsidTr="00C95667">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CAD2F05"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40</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F19F3E"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Direcţia cultură</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276F1DB"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1001 - 2033</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28291A5A"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4BE4C697"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19.282,28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2A35BCF"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27.018,33</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005DC94"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7.736,05</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BEC0570"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8997447"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da</w:t>
            </w:r>
          </w:p>
        </w:tc>
      </w:tr>
      <w:tr w:rsidR="00EF4BC3" w:rsidRPr="009E5B39" w14:paraId="1F299F68" w14:textId="77777777" w:rsidTr="00C95667">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4140FC8"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4275" w:type="dxa"/>
            <w:vMerge/>
            <w:tcBorders>
              <w:top w:val="nil"/>
              <w:left w:val="single" w:sz="4" w:space="0" w:color="auto"/>
              <w:bottom w:val="single" w:sz="4" w:space="0" w:color="000000"/>
              <w:right w:val="single" w:sz="4" w:space="0" w:color="auto"/>
            </w:tcBorders>
            <w:vAlign w:val="center"/>
            <w:hideMark/>
          </w:tcPr>
          <w:p w14:paraId="60AE1743"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1554" w:type="dxa"/>
            <w:vMerge/>
            <w:tcBorders>
              <w:top w:val="nil"/>
              <w:left w:val="single" w:sz="4" w:space="0" w:color="auto"/>
              <w:bottom w:val="single" w:sz="4" w:space="0" w:color="000000"/>
              <w:right w:val="single" w:sz="4" w:space="0" w:color="auto"/>
            </w:tcBorders>
            <w:vAlign w:val="center"/>
            <w:hideMark/>
          </w:tcPr>
          <w:p w14:paraId="11BF5A9B" w14:textId="77777777" w:rsidR="007C0A8A" w:rsidRPr="009E5B39" w:rsidRDefault="007C0A8A" w:rsidP="00EF4BC3">
            <w:pPr>
              <w:spacing w:after="0" w:line="240" w:lineRule="auto"/>
              <w:rPr>
                <w:rFonts w:asciiTheme="majorHAnsi" w:eastAsia="Times New Roman" w:hAnsiTheme="majorHAnsi" w:cstheme="majorHAnsi"/>
                <w:sz w:val="20"/>
                <w:szCs w:val="20"/>
                <w:lang w:val="ro-MD"/>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7503AA0C" w14:textId="77777777" w:rsidR="007C0A8A" w:rsidRPr="009E5B39" w:rsidRDefault="007C0A8A" w:rsidP="00EF4BC3">
            <w:pPr>
              <w:spacing w:after="0" w:line="240" w:lineRule="auto"/>
              <w:jc w:val="center"/>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89F81FA"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26.093,00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A4A11CA"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34.011,68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6992E2D" w14:textId="77777777" w:rsidR="007C0A8A" w:rsidRPr="009E5B39" w:rsidRDefault="007C0A8A" w:rsidP="00EF4BC3">
            <w:pPr>
              <w:spacing w:after="0" w:line="240" w:lineRule="auto"/>
              <w:jc w:val="right"/>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7.918,68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D8D4C3D"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0B29C79"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nu</w:t>
            </w:r>
          </w:p>
        </w:tc>
      </w:tr>
      <w:tr w:rsidR="00EF4BC3" w:rsidRPr="009E5B39" w14:paraId="6AA89617" w14:textId="77777777" w:rsidTr="00C95667">
        <w:trPr>
          <w:trHeight w:val="288"/>
        </w:trPr>
        <w:tc>
          <w:tcPr>
            <w:tcW w:w="6528" w:type="dxa"/>
            <w:gridSpan w:val="4"/>
            <w:vMerge w:val="restart"/>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AD51D45" w14:textId="77777777" w:rsidR="007C0A8A" w:rsidRPr="009E5B39" w:rsidRDefault="007C0A8A" w:rsidP="00EF4BC3">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 xml:space="preserve">TOTAL </w:t>
            </w:r>
          </w:p>
        </w:tc>
        <w:tc>
          <w:tcPr>
            <w:tcW w:w="961" w:type="dxa"/>
            <w:gridSpan w:val="2"/>
            <w:tcBorders>
              <w:top w:val="nil"/>
              <w:left w:val="nil"/>
              <w:bottom w:val="single" w:sz="4" w:space="0" w:color="auto"/>
              <w:right w:val="single" w:sz="4" w:space="0" w:color="auto"/>
            </w:tcBorders>
            <w:shd w:val="clear" w:color="000000" w:fill="F8CBAD"/>
            <w:vAlign w:val="center"/>
            <w:hideMark/>
          </w:tcPr>
          <w:p w14:paraId="7CD0944A" w14:textId="77777777" w:rsidR="007C0A8A" w:rsidRPr="009E5B39" w:rsidRDefault="007C0A8A" w:rsidP="00EF4BC3">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2019</w:t>
            </w:r>
          </w:p>
        </w:tc>
        <w:tc>
          <w:tcPr>
            <w:tcW w:w="1247" w:type="dxa"/>
            <w:gridSpan w:val="2"/>
            <w:tcBorders>
              <w:top w:val="nil"/>
              <w:left w:val="nil"/>
              <w:bottom w:val="single" w:sz="4" w:space="0" w:color="auto"/>
              <w:right w:val="single" w:sz="4" w:space="0" w:color="auto"/>
            </w:tcBorders>
            <w:shd w:val="clear" w:color="000000" w:fill="F8CBAD"/>
            <w:noWrap/>
            <w:vAlign w:val="bottom"/>
            <w:hideMark/>
          </w:tcPr>
          <w:p w14:paraId="68D5CBDF" w14:textId="77777777" w:rsidR="007C0A8A" w:rsidRPr="009E5B39" w:rsidRDefault="007C0A8A" w:rsidP="00EF4BC3">
            <w:pPr>
              <w:spacing w:after="0" w:line="240" w:lineRule="auto"/>
              <w:jc w:val="right"/>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618.350,57</w:t>
            </w:r>
          </w:p>
        </w:tc>
        <w:tc>
          <w:tcPr>
            <w:tcW w:w="1390" w:type="dxa"/>
            <w:gridSpan w:val="2"/>
            <w:tcBorders>
              <w:top w:val="nil"/>
              <w:left w:val="nil"/>
              <w:bottom w:val="single" w:sz="4" w:space="0" w:color="auto"/>
              <w:right w:val="single" w:sz="4" w:space="0" w:color="auto"/>
            </w:tcBorders>
            <w:shd w:val="clear" w:color="000000" w:fill="F8CBAD"/>
            <w:noWrap/>
            <w:vAlign w:val="bottom"/>
            <w:hideMark/>
          </w:tcPr>
          <w:p w14:paraId="6CFB26EA" w14:textId="77777777" w:rsidR="007C0A8A" w:rsidRPr="009E5B39" w:rsidRDefault="007C0A8A" w:rsidP="00EF4BC3">
            <w:pPr>
              <w:spacing w:after="0" w:line="240" w:lineRule="auto"/>
              <w:jc w:val="right"/>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1.860.098,45</w:t>
            </w:r>
          </w:p>
        </w:tc>
        <w:tc>
          <w:tcPr>
            <w:tcW w:w="1534" w:type="dxa"/>
            <w:gridSpan w:val="2"/>
            <w:tcBorders>
              <w:top w:val="nil"/>
              <w:left w:val="nil"/>
              <w:bottom w:val="single" w:sz="4" w:space="0" w:color="auto"/>
              <w:right w:val="single" w:sz="4" w:space="0" w:color="auto"/>
            </w:tcBorders>
            <w:shd w:val="clear" w:color="000000" w:fill="F8CBAD"/>
            <w:vAlign w:val="center"/>
            <w:hideMark/>
          </w:tcPr>
          <w:p w14:paraId="7A10D757" w14:textId="77777777" w:rsidR="007C0A8A" w:rsidRPr="009E5B39" w:rsidRDefault="007C0A8A" w:rsidP="00EF4BC3">
            <w:pPr>
              <w:spacing w:after="0" w:line="240" w:lineRule="auto"/>
              <w:jc w:val="right"/>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1.241.747,88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3221A04"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 </w:t>
            </w:r>
          </w:p>
        </w:tc>
        <w:tc>
          <w:tcPr>
            <w:tcW w:w="1755" w:type="dxa"/>
            <w:tcBorders>
              <w:top w:val="nil"/>
              <w:left w:val="nil"/>
              <w:bottom w:val="single" w:sz="4" w:space="0" w:color="auto"/>
              <w:right w:val="single" w:sz="4" w:space="0" w:color="auto"/>
            </w:tcBorders>
            <w:shd w:val="clear" w:color="auto" w:fill="auto"/>
            <w:noWrap/>
            <w:vAlign w:val="bottom"/>
            <w:hideMark/>
          </w:tcPr>
          <w:p w14:paraId="7E4CFD91" w14:textId="77777777" w:rsidR="007C0A8A" w:rsidRPr="009E5B39" w:rsidRDefault="007C0A8A" w:rsidP="00EF4BC3">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 </w:t>
            </w:r>
          </w:p>
        </w:tc>
      </w:tr>
      <w:tr w:rsidR="00EF4BC3" w:rsidRPr="009E5B39" w14:paraId="5386E64A" w14:textId="77777777" w:rsidTr="00C95667">
        <w:trPr>
          <w:trHeight w:val="288"/>
        </w:trPr>
        <w:tc>
          <w:tcPr>
            <w:tcW w:w="6528" w:type="dxa"/>
            <w:gridSpan w:val="4"/>
            <w:vMerge/>
            <w:tcBorders>
              <w:top w:val="single" w:sz="4" w:space="0" w:color="auto"/>
              <w:left w:val="single" w:sz="4" w:space="0" w:color="auto"/>
              <w:bottom w:val="single" w:sz="4" w:space="0" w:color="auto"/>
              <w:right w:val="single" w:sz="4" w:space="0" w:color="auto"/>
            </w:tcBorders>
            <w:vAlign w:val="center"/>
            <w:hideMark/>
          </w:tcPr>
          <w:p w14:paraId="6092D848" w14:textId="77777777" w:rsidR="007C0A8A" w:rsidRPr="009E5B39" w:rsidRDefault="007C0A8A" w:rsidP="00EF4BC3">
            <w:pPr>
              <w:spacing w:after="0" w:line="240" w:lineRule="auto"/>
              <w:rPr>
                <w:rFonts w:asciiTheme="majorHAnsi" w:eastAsia="Times New Roman" w:hAnsiTheme="majorHAnsi" w:cstheme="majorHAnsi"/>
                <w:b/>
                <w:bCs/>
                <w:sz w:val="20"/>
                <w:szCs w:val="20"/>
                <w:lang w:val="ro-MD"/>
              </w:rPr>
            </w:pPr>
          </w:p>
        </w:tc>
        <w:tc>
          <w:tcPr>
            <w:tcW w:w="961" w:type="dxa"/>
            <w:gridSpan w:val="2"/>
            <w:tcBorders>
              <w:top w:val="nil"/>
              <w:left w:val="nil"/>
              <w:bottom w:val="single" w:sz="4" w:space="0" w:color="auto"/>
              <w:right w:val="single" w:sz="4" w:space="0" w:color="auto"/>
            </w:tcBorders>
            <w:shd w:val="clear" w:color="000000" w:fill="F8CBAD"/>
            <w:vAlign w:val="center"/>
            <w:hideMark/>
          </w:tcPr>
          <w:p w14:paraId="7C801985" w14:textId="77777777" w:rsidR="007C0A8A" w:rsidRPr="009E5B39" w:rsidRDefault="007C0A8A" w:rsidP="00EF4BC3">
            <w:pPr>
              <w:spacing w:after="0" w:line="240" w:lineRule="auto"/>
              <w:jc w:val="cente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2020</w:t>
            </w:r>
          </w:p>
        </w:tc>
        <w:tc>
          <w:tcPr>
            <w:tcW w:w="1247" w:type="dxa"/>
            <w:gridSpan w:val="2"/>
            <w:tcBorders>
              <w:top w:val="nil"/>
              <w:left w:val="nil"/>
              <w:bottom w:val="single" w:sz="4" w:space="0" w:color="auto"/>
              <w:right w:val="single" w:sz="4" w:space="0" w:color="auto"/>
            </w:tcBorders>
            <w:shd w:val="clear" w:color="000000" w:fill="F8CBAD"/>
            <w:noWrap/>
            <w:vAlign w:val="bottom"/>
            <w:hideMark/>
          </w:tcPr>
          <w:p w14:paraId="595FFB93" w14:textId="77777777" w:rsidR="007C0A8A" w:rsidRPr="009E5B39" w:rsidRDefault="007C0A8A" w:rsidP="00EF4BC3">
            <w:pPr>
              <w:spacing w:after="0" w:line="240" w:lineRule="auto"/>
              <w:jc w:val="right"/>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675.724,63</w:t>
            </w:r>
          </w:p>
        </w:tc>
        <w:tc>
          <w:tcPr>
            <w:tcW w:w="1390" w:type="dxa"/>
            <w:gridSpan w:val="2"/>
            <w:tcBorders>
              <w:top w:val="nil"/>
              <w:left w:val="nil"/>
              <w:bottom w:val="single" w:sz="4" w:space="0" w:color="auto"/>
              <w:right w:val="single" w:sz="4" w:space="0" w:color="auto"/>
            </w:tcBorders>
            <w:shd w:val="clear" w:color="000000" w:fill="F8CBAD"/>
            <w:noWrap/>
            <w:vAlign w:val="bottom"/>
            <w:hideMark/>
          </w:tcPr>
          <w:p w14:paraId="524324C5" w14:textId="77777777" w:rsidR="007C0A8A" w:rsidRPr="009E5B39" w:rsidRDefault="007C0A8A" w:rsidP="00EF4BC3">
            <w:pPr>
              <w:spacing w:after="0" w:line="240" w:lineRule="auto"/>
              <w:jc w:val="right"/>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1.697.507,26</w:t>
            </w:r>
          </w:p>
        </w:tc>
        <w:tc>
          <w:tcPr>
            <w:tcW w:w="1534" w:type="dxa"/>
            <w:gridSpan w:val="2"/>
            <w:tcBorders>
              <w:top w:val="nil"/>
              <w:left w:val="nil"/>
              <w:bottom w:val="single" w:sz="4" w:space="0" w:color="auto"/>
              <w:right w:val="single" w:sz="4" w:space="0" w:color="auto"/>
            </w:tcBorders>
            <w:shd w:val="clear" w:color="000000" w:fill="F8CBAD"/>
            <w:vAlign w:val="center"/>
            <w:hideMark/>
          </w:tcPr>
          <w:p w14:paraId="74E688C2" w14:textId="77777777" w:rsidR="007C0A8A" w:rsidRPr="009E5B39" w:rsidRDefault="007C0A8A" w:rsidP="00EF4BC3">
            <w:pPr>
              <w:spacing w:after="0" w:line="240" w:lineRule="auto"/>
              <w:jc w:val="right"/>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1.021.782,63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B196998" w14:textId="77777777" w:rsidR="007C0A8A" w:rsidRPr="009E5B39" w:rsidRDefault="007C0A8A" w:rsidP="00EF4BC3">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 </w:t>
            </w:r>
          </w:p>
        </w:tc>
        <w:tc>
          <w:tcPr>
            <w:tcW w:w="1755" w:type="dxa"/>
            <w:tcBorders>
              <w:top w:val="nil"/>
              <w:left w:val="nil"/>
              <w:bottom w:val="single" w:sz="4" w:space="0" w:color="auto"/>
              <w:right w:val="single" w:sz="4" w:space="0" w:color="auto"/>
            </w:tcBorders>
            <w:shd w:val="clear" w:color="auto" w:fill="auto"/>
            <w:noWrap/>
            <w:vAlign w:val="bottom"/>
            <w:hideMark/>
          </w:tcPr>
          <w:p w14:paraId="28F4D472" w14:textId="77777777" w:rsidR="007C0A8A" w:rsidRPr="009E5B39" w:rsidRDefault="007C0A8A" w:rsidP="00EF4BC3">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 </w:t>
            </w:r>
          </w:p>
        </w:tc>
      </w:tr>
    </w:tbl>
    <w:p w14:paraId="3EF15E98" w14:textId="77777777" w:rsidR="00762649" w:rsidRPr="009E5B39" w:rsidRDefault="00762649" w:rsidP="00B45C24">
      <w:pPr>
        <w:spacing w:after="0"/>
        <w:rPr>
          <w:rFonts w:asciiTheme="majorHAnsi" w:hAnsiTheme="majorHAnsi" w:cstheme="majorHAnsi"/>
          <w:b/>
          <w:bCs/>
          <w:sz w:val="24"/>
          <w:szCs w:val="24"/>
          <w:lang w:val="ro-MD"/>
        </w:rPr>
        <w:sectPr w:rsidR="00762649" w:rsidRPr="009E5B39" w:rsidSect="003C5073">
          <w:pgSz w:w="16840" w:h="11907" w:orient="landscape" w:code="9"/>
          <w:pgMar w:top="1418" w:right="1134" w:bottom="851" w:left="1134" w:header="709" w:footer="709" w:gutter="0"/>
          <w:cols w:space="708"/>
          <w:docGrid w:linePitch="360"/>
        </w:sectPr>
      </w:pPr>
    </w:p>
    <w:p w14:paraId="4897F763" w14:textId="03D2152A" w:rsidR="006C5ACA" w:rsidRPr="009E5B39" w:rsidRDefault="006C5ACA" w:rsidP="00EF4BC3">
      <w:pPr>
        <w:pStyle w:val="Heading1"/>
        <w:spacing w:before="0"/>
        <w:jc w:val="right"/>
        <w:rPr>
          <w:rFonts w:cstheme="majorHAnsi"/>
          <w:b/>
          <w:color w:val="auto"/>
          <w:lang w:val="ro-MD"/>
        </w:rPr>
      </w:pPr>
      <w:bookmarkStart w:id="25" w:name="_Toc116026890"/>
      <w:r w:rsidRPr="009E5B39">
        <w:rPr>
          <w:rFonts w:cstheme="majorHAnsi"/>
          <w:b/>
          <w:color w:val="auto"/>
          <w:lang w:val="ro-MD"/>
        </w:rPr>
        <w:t>Anexa nr</w:t>
      </w:r>
      <w:r w:rsidR="00FA0037" w:rsidRPr="009E5B39">
        <w:rPr>
          <w:rFonts w:cstheme="majorHAnsi"/>
          <w:b/>
          <w:color w:val="auto"/>
          <w:lang w:val="ro-MD"/>
        </w:rPr>
        <w:t>.</w:t>
      </w:r>
      <w:r w:rsidR="00DF6D3F" w:rsidRPr="009E5B39">
        <w:rPr>
          <w:rFonts w:cstheme="majorHAnsi"/>
          <w:b/>
          <w:color w:val="auto"/>
          <w:lang w:val="ro-MD"/>
        </w:rPr>
        <w:t>8</w:t>
      </w:r>
      <w:bookmarkEnd w:id="25"/>
    </w:p>
    <w:p w14:paraId="08FA6F3A" w14:textId="55CAEA4F" w:rsidR="006C5ACA" w:rsidRPr="009E5B39" w:rsidRDefault="006C5ACA" w:rsidP="00173C77">
      <w:pPr>
        <w:spacing w:line="240" w:lineRule="auto"/>
        <w:rPr>
          <w:rFonts w:asciiTheme="majorHAnsi" w:hAnsiTheme="majorHAnsi" w:cstheme="majorHAnsi"/>
          <w:i/>
          <w:sz w:val="24"/>
          <w:szCs w:val="24"/>
          <w:lang w:val="ro-MD"/>
        </w:rPr>
      </w:pPr>
      <w:r w:rsidRPr="009E5B39">
        <w:rPr>
          <w:rFonts w:asciiTheme="majorHAnsi" w:hAnsiTheme="majorHAnsi" w:cstheme="majorHAnsi"/>
          <w:b/>
          <w:i/>
          <w:sz w:val="24"/>
          <w:szCs w:val="24"/>
          <w:lang w:val="ro-MD"/>
        </w:rPr>
        <w:t>Imagini ce confirmă lipsa înclinației pentru scurgerea apei</w:t>
      </w:r>
    </w:p>
    <w:p w14:paraId="0A89CAE2" w14:textId="77777777" w:rsidR="006C5ACA" w:rsidRPr="009E5B39" w:rsidRDefault="006C5ACA" w:rsidP="00EF4BC3">
      <w:pPr>
        <w:spacing w:after="0" w:line="240" w:lineRule="auto"/>
        <w:rPr>
          <w:rFonts w:asciiTheme="majorHAnsi" w:hAnsiTheme="majorHAnsi" w:cstheme="majorHAnsi"/>
          <w:lang w:val="ro-MD"/>
        </w:rPr>
      </w:pPr>
      <w:r w:rsidRPr="009E5B39">
        <w:rPr>
          <w:rFonts w:asciiTheme="majorHAnsi" w:hAnsiTheme="majorHAnsi" w:cstheme="majorHAnsi"/>
          <w:noProof/>
        </w:rPr>
        <w:drawing>
          <wp:inline distT="0" distB="0" distL="0" distR="0" wp14:anchorId="0F0D5CC5" wp14:editId="0EACB60E">
            <wp:extent cx="2734740" cy="2930979"/>
            <wp:effectExtent l="0" t="0" r="8890" b="3175"/>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073" cy="2988139"/>
                    </a:xfrm>
                    <a:prstGeom prst="rect">
                      <a:avLst/>
                    </a:prstGeom>
                    <a:noFill/>
                    <a:ln>
                      <a:noFill/>
                    </a:ln>
                  </pic:spPr>
                </pic:pic>
              </a:graphicData>
            </a:graphic>
          </wp:inline>
        </w:drawing>
      </w:r>
      <w:r w:rsidRPr="009E5B39">
        <w:rPr>
          <w:rFonts w:asciiTheme="majorHAnsi" w:hAnsiTheme="majorHAnsi" w:cstheme="majorHAnsi"/>
          <w:noProof/>
        </w:rPr>
        <w:drawing>
          <wp:inline distT="0" distB="0" distL="0" distR="0" wp14:anchorId="12D0EB50" wp14:editId="73E026B0">
            <wp:extent cx="2710815" cy="2930509"/>
            <wp:effectExtent l="0" t="0" r="0" b="381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735" cy="2945557"/>
                    </a:xfrm>
                    <a:prstGeom prst="rect">
                      <a:avLst/>
                    </a:prstGeom>
                    <a:noFill/>
                    <a:ln>
                      <a:noFill/>
                    </a:ln>
                  </pic:spPr>
                </pic:pic>
              </a:graphicData>
            </a:graphic>
          </wp:inline>
        </w:drawing>
      </w:r>
      <w:r w:rsidRPr="009E5B39">
        <w:rPr>
          <w:rFonts w:asciiTheme="majorHAnsi" w:hAnsiTheme="majorHAnsi" w:cstheme="majorHAnsi"/>
          <w:noProof/>
        </w:rPr>
        <w:drawing>
          <wp:inline distT="0" distB="0" distL="0" distR="0" wp14:anchorId="79392AD7" wp14:editId="07BF9BAE">
            <wp:extent cx="2733675" cy="3097392"/>
            <wp:effectExtent l="0" t="0" r="0" b="825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780076" cy="3149966"/>
                    </a:xfrm>
                    <a:prstGeom prst="rect">
                      <a:avLst/>
                    </a:prstGeom>
                    <a:noFill/>
                    <a:ln>
                      <a:noFill/>
                    </a:ln>
                  </pic:spPr>
                </pic:pic>
              </a:graphicData>
            </a:graphic>
          </wp:inline>
        </w:drawing>
      </w:r>
      <w:r w:rsidRPr="009E5B39">
        <w:rPr>
          <w:rFonts w:asciiTheme="majorHAnsi" w:hAnsiTheme="majorHAnsi" w:cstheme="majorHAnsi"/>
          <w:noProof/>
        </w:rPr>
        <w:drawing>
          <wp:inline distT="0" distB="0" distL="0" distR="0" wp14:anchorId="678F07E5" wp14:editId="47C145B0">
            <wp:extent cx="2758440" cy="3108412"/>
            <wp:effectExtent l="0" t="0" r="381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790" cy="3213606"/>
                    </a:xfrm>
                    <a:prstGeom prst="rect">
                      <a:avLst/>
                    </a:prstGeom>
                    <a:noFill/>
                    <a:ln>
                      <a:noFill/>
                    </a:ln>
                  </pic:spPr>
                </pic:pic>
              </a:graphicData>
            </a:graphic>
          </wp:inline>
        </w:drawing>
      </w:r>
    </w:p>
    <w:p w14:paraId="68A87642" w14:textId="77777777" w:rsidR="006C5ACA" w:rsidRPr="009E5B39" w:rsidRDefault="006C5ACA" w:rsidP="00EF4BC3">
      <w:pPr>
        <w:spacing w:after="0" w:line="240" w:lineRule="auto"/>
        <w:rPr>
          <w:rFonts w:asciiTheme="majorHAnsi" w:hAnsiTheme="majorHAnsi" w:cstheme="majorHAnsi"/>
          <w:lang w:val="ro-MD"/>
        </w:rPr>
      </w:pPr>
    </w:p>
    <w:p w14:paraId="2918FB9A" w14:textId="77777777" w:rsidR="00C23A7A" w:rsidRPr="009E5B39" w:rsidRDefault="00C23A7A" w:rsidP="00EF4BC3">
      <w:pPr>
        <w:spacing w:after="0" w:line="240" w:lineRule="auto"/>
        <w:rPr>
          <w:rFonts w:asciiTheme="majorHAnsi" w:hAnsiTheme="majorHAnsi" w:cstheme="majorHAnsi"/>
          <w:lang w:val="ro-MD"/>
        </w:rPr>
        <w:sectPr w:rsidR="00C23A7A" w:rsidRPr="009E5B39" w:rsidSect="00762649">
          <w:pgSz w:w="11907" w:h="16840" w:code="9"/>
          <w:pgMar w:top="1134" w:right="851" w:bottom="1134" w:left="1701" w:header="709" w:footer="709" w:gutter="0"/>
          <w:cols w:space="708"/>
          <w:docGrid w:linePitch="360"/>
        </w:sectPr>
      </w:pPr>
    </w:p>
    <w:p w14:paraId="0B9F8830" w14:textId="59F9651E" w:rsidR="006C5ACA" w:rsidRPr="00173C77" w:rsidRDefault="006C5ACA" w:rsidP="00EF4BC3">
      <w:pPr>
        <w:spacing w:after="0" w:line="240" w:lineRule="auto"/>
        <w:rPr>
          <w:rFonts w:asciiTheme="majorHAnsi" w:hAnsiTheme="majorHAnsi" w:cstheme="majorHAnsi"/>
          <w:iCs/>
          <w:sz w:val="24"/>
          <w:szCs w:val="24"/>
          <w:lang w:val="ro-MD"/>
        </w:rPr>
      </w:pPr>
      <w:r w:rsidRPr="00173C77">
        <w:rPr>
          <w:rFonts w:asciiTheme="majorHAnsi" w:hAnsiTheme="majorHAnsi" w:cstheme="majorHAnsi"/>
          <w:b/>
          <w:iCs/>
          <w:sz w:val="24"/>
          <w:szCs w:val="24"/>
          <w:lang w:val="ro-MD"/>
        </w:rPr>
        <w:t>Imagini ce confirmă efectuarea necalitativă a lucrărilor</w:t>
      </w:r>
    </w:p>
    <w:p w14:paraId="0238505D" w14:textId="77777777" w:rsidR="006C5ACA" w:rsidRPr="00173C77" w:rsidRDefault="006C5ACA" w:rsidP="00EF4BC3">
      <w:pPr>
        <w:tabs>
          <w:tab w:val="left" w:pos="1390"/>
        </w:tabs>
        <w:spacing w:after="0" w:line="240" w:lineRule="auto"/>
        <w:contextualSpacing/>
        <w:rPr>
          <w:rFonts w:asciiTheme="majorHAnsi" w:hAnsiTheme="majorHAnsi" w:cstheme="majorHAnsi"/>
          <w:b/>
          <w:iCs/>
          <w:lang w:val="ro-MD"/>
        </w:rPr>
      </w:pPr>
    </w:p>
    <w:p w14:paraId="456FB8BB" w14:textId="77777777" w:rsidR="006C5ACA" w:rsidRPr="009E5B39" w:rsidRDefault="006C5ACA" w:rsidP="00EF4BC3">
      <w:pPr>
        <w:tabs>
          <w:tab w:val="left" w:pos="1390"/>
        </w:tabs>
        <w:spacing w:after="0" w:line="240" w:lineRule="auto"/>
        <w:contextualSpacing/>
        <w:rPr>
          <w:rFonts w:asciiTheme="majorHAnsi" w:hAnsiTheme="majorHAnsi" w:cstheme="majorHAnsi"/>
          <w:b/>
          <w:lang w:val="ro-MD"/>
        </w:rPr>
      </w:pPr>
    </w:p>
    <w:p w14:paraId="6A0EB992" w14:textId="77777777" w:rsidR="006C5ACA" w:rsidRPr="009E5B39" w:rsidRDefault="006C5ACA" w:rsidP="00EF4BC3">
      <w:pPr>
        <w:tabs>
          <w:tab w:val="left" w:pos="1390"/>
        </w:tabs>
        <w:spacing w:after="0" w:line="240" w:lineRule="auto"/>
        <w:contextualSpacing/>
        <w:jc w:val="both"/>
        <w:rPr>
          <w:rFonts w:asciiTheme="majorHAnsi" w:hAnsiTheme="majorHAnsi" w:cstheme="majorHAnsi"/>
          <w:lang w:val="ro-MD"/>
        </w:rPr>
      </w:pPr>
      <w:r w:rsidRPr="009E5B39">
        <w:rPr>
          <w:rFonts w:asciiTheme="majorHAnsi" w:hAnsiTheme="majorHAnsi" w:cstheme="majorHAnsi"/>
          <w:noProof/>
        </w:rPr>
        <w:drawing>
          <wp:inline distT="0" distB="0" distL="0" distR="0" wp14:anchorId="21A16074" wp14:editId="25EDF351">
            <wp:extent cx="6143470" cy="3192780"/>
            <wp:effectExtent l="0" t="0" r="0" b="7620"/>
            <wp:docPr id="34" name="Рисунок 34" descr="278971721_392518079201940_348749067347857743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8971721_392518079201940_3487490673478577434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1262" cy="3233209"/>
                    </a:xfrm>
                    <a:prstGeom prst="rect">
                      <a:avLst/>
                    </a:prstGeom>
                    <a:noFill/>
                    <a:ln>
                      <a:noFill/>
                    </a:ln>
                  </pic:spPr>
                </pic:pic>
              </a:graphicData>
            </a:graphic>
          </wp:inline>
        </w:drawing>
      </w:r>
    </w:p>
    <w:p w14:paraId="51F20C80" w14:textId="77777777" w:rsidR="006C5ACA" w:rsidRPr="009E5B39" w:rsidRDefault="006C5ACA" w:rsidP="00EF4BC3">
      <w:pPr>
        <w:spacing w:after="0" w:line="240" w:lineRule="auto"/>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 xml:space="preserve">         </w:t>
      </w:r>
    </w:p>
    <w:p w14:paraId="195C7426" w14:textId="77777777" w:rsidR="00173C77" w:rsidRDefault="00173C77" w:rsidP="00EF4BC3">
      <w:pPr>
        <w:spacing w:after="0" w:line="240" w:lineRule="auto"/>
        <w:rPr>
          <w:rFonts w:asciiTheme="majorHAnsi" w:hAnsiTheme="majorHAnsi" w:cstheme="majorHAnsi"/>
          <w:b/>
          <w:i/>
          <w:sz w:val="24"/>
          <w:szCs w:val="24"/>
          <w:lang w:val="ro-MD"/>
        </w:rPr>
      </w:pPr>
    </w:p>
    <w:p w14:paraId="06AE068C" w14:textId="4E6BD1CD" w:rsidR="0083766E" w:rsidRPr="009E5B39" w:rsidRDefault="0083766E" w:rsidP="00EF4BC3">
      <w:pPr>
        <w:spacing w:after="0" w:line="240" w:lineRule="auto"/>
        <w:rPr>
          <w:rFonts w:asciiTheme="majorHAnsi" w:hAnsiTheme="majorHAnsi" w:cstheme="majorHAnsi"/>
          <w:i/>
          <w:sz w:val="24"/>
          <w:szCs w:val="24"/>
          <w:lang w:val="ro-MD"/>
        </w:rPr>
      </w:pPr>
      <w:r w:rsidRPr="009E5B39">
        <w:rPr>
          <w:rFonts w:asciiTheme="majorHAnsi" w:hAnsiTheme="majorHAnsi" w:cstheme="majorHAnsi"/>
          <w:b/>
          <w:i/>
          <w:sz w:val="24"/>
          <w:szCs w:val="24"/>
          <w:lang w:val="ro-MD"/>
        </w:rPr>
        <w:t xml:space="preserve">Imagini ce </w:t>
      </w:r>
      <w:r w:rsidRPr="009E5B39">
        <w:rPr>
          <w:rFonts w:asciiTheme="majorHAnsi" w:hAnsiTheme="majorHAnsi" w:cstheme="majorHAnsi"/>
          <w:b/>
          <w:i/>
          <w:sz w:val="24"/>
          <w:szCs w:val="24"/>
          <w:u w:val="single"/>
          <w:lang w:val="ro-MD"/>
        </w:rPr>
        <w:t>confirmă efectuarea necalitativă</w:t>
      </w:r>
      <w:r w:rsidRPr="009E5B39">
        <w:rPr>
          <w:rFonts w:asciiTheme="majorHAnsi" w:hAnsiTheme="majorHAnsi" w:cstheme="majorHAnsi"/>
          <w:b/>
          <w:i/>
          <w:sz w:val="24"/>
          <w:szCs w:val="24"/>
          <w:lang w:val="ro-MD"/>
        </w:rPr>
        <w:t xml:space="preserve"> a lucrărilor la balustrade</w:t>
      </w:r>
    </w:p>
    <w:p w14:paraId="5D3DE0FB" w14:textId="77777777" w:rsidR="0083766E" w:rsidRPr="009E5B39" w:rsidRDefault="0083766E" w:rsidP="00EF4BC3">
      <w:pPr>
        <w:spacing w:after="0"/>
        <w:rPr>
          <w:rFonts w:asciiTheme="majorHAnsi" w:hAnsiTheme="majorHAnsi" w:cstheme="majorHAnsi"/>
          <w:lang w:val="ro-MD"/>
        </w:rPr>
      </w:pPr>
    </w:p>
    <w:p w14:paraId="3EAE0CA3" w14:textId="5D457913" w:rsidR="0083766E" w:rsidRPr="009E5B39" w:rsidRDefault="0083766E" w:rsidP="00EF4BC3">
      <w:pPr>
        <w:spacing w:after="0" w:line="240" w:lineRule="auto"/>
        <w:rPr>
          <w:rFonts w:asciiTheme="majorHAnsi" w:eastAsia="Times New Roman" w:hAnsiTheme="majorHAnsi" w:cstheme="majorHAnsi"/>
          <w:b/>
          <w:bCs/>
          <w:sz w:val="20"/>
          <w:szCs w:val="20"/>
          <w:lang w:val="ro-MD"/>
        </w:rPr>
      </w:pPr>
      <w:r w:rsidRPr="009E5B39">
        <w:rPr>
          <w:rFonts w:asciiTheme="majorHAnsi" w:hAnsiTheme="majorHAnsi" w:cstheme="majorHAnsi"/>
          <w:noProof/>
        </w:rPr>
        <w:drawing>
          <wp:inline distT="0" distB="0" distL="0" distR="0" wp14:anchorId="7441D8F3" wp14:editId="60DE4989">
            <wp:extent cx="5324475" cy="2522220"/>
            <wp:effectExtent l="0" t="0" r="9525" b="0"/>
            <wp:docPr id="14" name="Рисунок 14" descr="d:\a_leasoc\Desktop\281587053_555041579321400_4822348640223610679_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leasoc\Desktop\281587053_555041579321400_4822348640223610679_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181" cy="2562819"/>
                    </a:xfrm>
                    <a:prstGeom prst="rect">
                      <a:avLst/>
                    </a:prstGeom>
                    <a:noFill/>
                    <a:ln>
                      <a:noFill/>
                    </a:ln>
                  </pic:spPr>
                </pic:pic>
              </a:graphicData>
            </a:graphic>
          </wp:inline>
        </w:drawing>
      </w:r>
    </w:p>
    <w:p w14:paraId="3627A9E0" w14:textId="63E718E2" w:rsidR="0083766E" w:rsidRPr="009E5B39" w:rsidRDefault="0083766E" w:rsidP="00EF4BC3">
      <w:pPr>
        <w:spacing w:after="0" w:line="240" w:lineRule="auto"/>
        <w:rPr>
          <w:rFonts w:asciiTheme="majorHAnsi" w:hAnsiTheme="majorHAnsi" w:cstheme="majorHAnsi"/>
          <w:i/>
          <w:sz w:val="24"/>
          <w:szCs w:val="24"/>
          <w:lang w:val="ro-MD"/>
        </w:rPr>
      </w:pPr>
      <w:r w:rsidRPr="009E5B39">
        <w:rPr>
          <w:rFonts w:asciiTheme="majorHAnsi" w:hAnsiTheme="majorHAnsi" w:cstheme="majorHAnsi"/>
          <w:b/>
          <w:i/>
          <w:sz w:val="24"/>
          <w:szCs w:val="24"/>
          <w:lang w:val="ro-MD"/>
        </w:rPr>
        <w:t xml:space="preserve">Imagini ce confirmă </w:t>
      </w:r>
      <w:r w:rsidRPr="009E5B39">
        <w:rPr>
          <w:rFonts w:asciiTheme="majorHAnsi" w:hAnsiTheme="majorHAnsi" w:cstheme="majorHAnsi"/>
          <w:b/>
          <w:i/>
          <w:sz w:val="24"/>
          <w:szCs w:val="24"/>
          <w:u w:val="single"/>
          <w:lang w:val="ro-MD"/>
        </w:rPr>
        <w:t>efectuarea necalitativă a marcajului pe</w:t>
      </w:r>
      <w:r w:rsidRPr="009E5B39">
        <w:rPr>
          <w:rFonts w:asciiTheme="majorHAnsi" w:hAnsiTheme="majorHAnsi" w:cstheme="majorHAnsi"/>
          <w:b/>
          <w:i/>
          <w:sz w:val="24"/>
          <w:szCs w:val="24"/>
          <w:lang w:val="ro-MD"/>
        </w:rPr>
        <w:t xml:space="preserve"> aleea</w:t>
      </w:r>
      <w:r w:rsidRPr="009E5B39">
        <w:rPr>
          <w:rFonts w:asciiTheme="majorHAnsi" w:hAnsiTheme="majorHAnsi" w:cstheme="majorHAnsi"/>
          <w:b/>
          <w:sz w:val="24"/>
          <w:szCs w:val="24"/>
          <w:lang w:val="ro-MD"/>
        </w:rPr>
        <w:t xml:space="preserve"> </w:t>
      </w:r>
      <w:r w:rsidRPr="009E5B39">
        <w:rPr>
          <w:rFonts w:asciiTheme="majorHAnsi" w:hAnsiTheme="majorHAnsi" w:cstheme="majorHAnsi"/>
          <w:b/>
          <w:i/>
          <w:sz w:val="24"/>
          <w:szCs w:val="24"/>
          <w:lang w:val="ro-MD"/>
        </w:rPr>
        <w:t>de pe bd. Mircea cel Bătr</w:t>
      </w:r>
      <w:r w:rsidR="00031914" w:rsidRPr="009E5B39">
        <w:rPr>
          <w:rFonts w:asciiTheme="majorHAnsi" w:hAnsiTheme="majorHAnsi" w:cstheme="majorHAnsi"/>
          <w:b/>
          <w:i/>
          <w:sz w:val="24"/>
          <w:szCs w:val="24"/>
          <w:lang w:val="ro-MD"/>
        </w:rPr>
        <w:t>â</w:t>
      </w:r>
      <w:r w:rsidRPr="009E5B39">
        <w:rPr>
          <w:rFonts w:asciiTheme="majorHAnsi" w:hAnsiTheme="majorHAnsi" w:cstheme="majorHAnsi"/>
          <w:b/>
          <w:i/>
          <w:sz w:val="24"/>
          <w:szCs w:val="24"/>
          <w:lang w:val="ro-MD"/>
        </w:rPr>
        <w:t>n</w:t>
      </w:r>
    </w:p>
    <w:p w14:paraId="5D379DB4" w14:textId="693D6E6B" w:rsidR="0083766E" w:rsidRPr="009E5B39" w:rsidRDefault="0083766E" w:rsidP="00EF4BC3">
      <w:pPr>
        <w:spacing w:after="0" w:line="240" w:lineRule="auto"/>
        <w:jc w:val="center"/>
        <w:rPr>
          <w:rFonts w:asciiTheme="majorHAnsi" w:eastAsia="Times New Roman" w:hAnsiTheme="majorHAnsi" w:cstheme="majorHAnsi"/>
          <w:b/>
          <w:bCs/>
          <w:sz w:val="20"/>
          <w:szCs w:val="20"/>
          <w:lang w:val="ro-MD"/>
        </w:rPr>
      </w:pPr>
    </w:p>
    <w:p w14:paraId="3047439B" w14:textId="77777777" w:rsidR="00C23A7A" w:rsidRPr="009E5B39" w:rsidRDefault="00C23A7A" w:rsidP="00EF4BC3">
      <w:pPr>
        <w:spacing w:after="0" w:line="240" w:lineRule="auto"/>
        <w:rPr>
          <w:rFonts w:asciiTheme="majorHAnsi" w:eastAsia="Times New Roman" w:hAnsiTheme="majorHAnsi" w:cstheme="majorHAnsi"/>
          <w:b/>
          <w:bCs/>
          <w:sz w:val="20"/>
          <w:szCs w:val="20"/>
          <w:lang w:val="ro-MD"/>
        </w:rPr>
        <w:sectPr w:rsidR="00C23A7A" w:rsidRPr="009E5B39" w:rsidSect="00762649">
          <w:pgSz w:w="11907" w:h="16840" w:code="9"/>
          <w:pgMar w:top="1134" w:right="851" w:bottom="1134" w:left="1701" w:header="709" w:footer="709" w:gutter="0"/>
          <w:cols w:space="708"/>
          <w:docGrid w:linePitch="360"/>
        </w:sectPr>
      </w:pPr>
    </w:p>
    <w:p w14:paraId="73CEC656" w14:textId="742F73A7" w:rsidR="00DF6D3F" w:rsidRPr="009E5B39" w:rsidRDefault="00DF6D3F" w:rsidP="00DF6D3F">
      <w:pPr>
        <w:pStyle w:val="Heading1"/>
        <w:spacing w:before="0"/>
        <w:jc w:val="right"/>
        <w:rPr>
          <w:rFonts w:cstheme="majorHAnsi"/>
          <w:b/>
          <w:color w:val="auto"/>
          <w:lang w:val="ro-MD"/>
        </w:rPr>
      </w:pPr>
      <w:bookmarkStart w:id="26" w:name="_Toc116026891"/>
      <w:r w:rsidRPr="009E5B39">
        <w:rPr>
          <w:rFonts w:cstheme="majorHAnsi"/>
          <w:b/>
          <w:color w:val="auto"/>
          <w:lang w:val="ro-MD"/>
        </w:rPr>
        <w:t>Anexa nr.9</w:t>
      </w:r>
      <w:bookmarkEnd w:id="26"/>
    </w:p>
    <w:p w14:paraId="5E9BC30F" w14:textId="77777777" w:rsidR="00DF6D3F" w:rsidRPr="009E5B39" w:rsidRDefault="00DF6D3F" w:rsidP="00DF6D3F">
      <w:pPr>
        <w:spacing w:after="0"/>
        <w:jc w:val="center"/>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Tabelul nr.1. Informație cu privire la avansurile acordate de către Primăria mun. Chișinău și instituțiile din subordine la situația din 31.12.2020</w:t>
      </w:r>
    </w:p>
    <w:tbl>
      <w:tblPr>
        <w:tblW w:w="9923" w:type="dxa"/>
        <w:tblInd w:w="-289" w:type="dxa"/>
        <w:tblLook w:val="04A0" w:firstRow="1" w:lastRow="0" w:firstColumn="1" w:lastColumn="0" w:noHBand="0" w:noVBand="1"/>
      </w:tblPr>
      <w:tblGrid>
        <w:gridCol w:w="5813"/>
        <w:gridCol w:w="1559"/>
        <w:gridCol w:w="960"/>
        <w:gridCol w:w="1591"/>
      </w:tblGrid>
      <w:tr w:rsidR="00DF6D3F" w:rsidRPr="009E5B39" w14:paraId="68DA1CBF" w14:textId="77777777" w:rsidTr="003E291B">
        <w:trPr>
          <w:trHeight w:val="54"/>
        </w:trPr>
        <w:tc>
          <w:tcPr>
            <w:tcW w:w="5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96ECFE"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Denumirea</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0E9E3E"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Nr. de instituții</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D9A5C9"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ECO</w:t>
            </w:r>
          </w:p>
        </w:tc>
        <w:tc>
          <w:tcPr>
            <w:tcW w:w="15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B9F433"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Suma, lei</w:t>
            </w:r>
          </w:p>
        </w:tc>
      </w:tr>
      <w:tr w:rsidR="00DF6D3F" w:rsidRPr="009E5B39" w14:paraId="2479340C" w14:textId="77777777" w:rsidTr="003E291B">
        <w:trPr>
          <w:trHeight w:val="44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128DAB86"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b/>
                <w:bCs/>
                <w:lang w:val="ro-MD"/>
              </w:rPr>
              <w:t>Servicii,</w:t>
            </w:r>
            <w:r w:rsidRPr="009E5B39">
              <w:rPr>
                <w:rFonts w:asciiTheme="majorHAnsi" w:eastAsia="Times New Roman" w:hAnsiTheme="majorHAnsi" w:cstheme="majorHAnsi"/>
                <w:lang w:val="ro-MD"/>
              </w:rPr>
              <w:t xml:space="preserve"> cu excepția: Deplasări de serviciu în interiorul țării; Deplasări de serviciu peste hotare; Delegări ale angajaților la misiunile diplomatice si oficiile consulare</w:t>
            </w:r>
          </w:p>
        </w:tc>
        <w:tc>
          <w:tcPr>
            <w:tcW w:w="1559" w:type="dxa"/>
            <w:tcBorders>
              <w:top w:val="nil"/>
              <w:left w:val="nil"/>
              <w:bottom w:val="single" w:sz="4" w:space="0" w:color="auto"/>
              <w:right w:val="single" w:sz="4" w:space="0" w:color="auto"/>
            </w:tcBorders>
            <w:shd w:val="clear" w:color="auto" w:fill="auto"/>
            <w:vAlign w:val="center"/>
            <w:hideMark/>
          </w:tcPr>
          <w:p w14:paraId="5FF9E8E1"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57</w:t>
            </w:r>
          </w:p>
        </w:tc>
        <w:tc>
          <w:tcPr>
            <w:tcW w:w="960" w:type="dxa"/>
            <w:tcBorders>
              <w:top w:val="nil"/>
              <w:left w:val="nil"/>
              <w:bottom w:val="single" w:sz="4" w:space="0" w:color="auto"/>
              <w:right w:val="single" w:sz="4" w:space="0" w:color="auto"/>
            </w:tcBorders>
            <w:shd w:val="clear" w:color="auto" w:fill="auto"/>
            <w:vAlign w:val="center"/>
            <w:hideMark/>
          </w:tcPr>
          <w:p w14:paraId="1167D83B"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222</w:t>
            </w:r>
          </w:p>
        </w:tc>
        <w:tc>
          <w:tcPr>
            <w:tcW w:w="1591" w:type="dxa"/>
            <w:tcBorders>
              <w:top w:val="nil"/>
              <w:left w:val="nil"/>
              <w:bottom w:val="single" w:sz="4" w:space="0" w:color="auto"/>
              <w:right w:val="single" w:sz="4" w:space="0" w:color="auto"/>
            </w:tcBorders>
            <w:shd w:val="clear" w:color="auto" w:fill="auto"/>
            <w:vAlign w:val="center"/>
            <w:hideMark/>
          </w:tcPr>
          <w:p w14:paraId="57DF16C4" w14:textId="77777777" w:rsidR="00DF6D3F" w:rsidRPr="009E5B39" w:rsidRDefault="00DF6D3F" w:rsidP="003E291B">
            <w:pPr>
              <w:spacing w:after="0" w:line="240" w:lineRule="auto"/>
              <w:jc w:val="right"/>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5,402,870.41</w:t>
            </w:r>
          </w:p>
        </w:tc>
      </w:tr>
      <w:tr w:rsidR="00DF6D3F" w:rsidRPr="009E5B39" w14:paraId="0A7F89EF"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hideMark/>
          </w:tcPr>
          <w:p w14:paraId="58CE77D7"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Cheltuieli curente neatribuite la alte categorii</w:t>
            </w:r>
          </w:p>
        </w:tc>
        <w:tc>
          <w:tcPr>
            <w:tcW w:w="1559" w:type="dxa"/>
            <w:tcBorders>
              <w:top w:val="nil"/>
              <w:left w:val="nil"/>
              <w:bottom w:val="single" w:sz="4" w:space="0" w:color="auto"/>
              <w:right w:val="single" w:sz="4" w:space="0" w:color="auto"/>
            </w:tcBorders>
            <w:shd w:val="clear" w:color="auto" w:fill="auto"/>
            <w:vAlign w:val="center"/>
            <w:hideMark/>
          </w:tcPr>
          <w:p w14:paraId="03D857E3"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1</w:t>
            </w:r>
          </w:p>
        </w:tc>
        <w:tc>
          <w:tcPr>
            <w:tcW w:w="960" w:type="dxa"/>
            <w:tcBorders>
              <w:top w:val="nil"/>
              <w:left w:val="nil"/>
              <w:bottom w:val="single" w:sz="4" w:space="0" w:color="auto"/>
              <w:right w:val="single" w:sz="4" w:space="0" w:color="auto"/>
            </w:tcBorders>
            <w:shd w:val="clear" w:color="auto" w:fill="auto"/>
            <w:vAlign w:val="center"/>
            <w:hideMark/>
          </w:tcPr>
          <w:p w14:paraId="1DB05EB5"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281900</w:t>
            </w:r>
          </w:p>
        </w:tc>
        <w:tc>
          <w:tcPr>
            <w:tcW w:w="1591" w:type="dxa"/>
            <w:tcBorders>
              <w:top w:val="nil"/>
              <w:left w:val="nil"/>
              <w:bottom w:val="single" w:sz="4" w:space="0" w:color="auto"/>
              <w:right w:val="single" w:sz="4" w:space="0" w:color="auto"/>
            </w:tcBorders>
            <w:shd w:val="clear" w:color="auto" w:fill="auto"/>
            <w:hideMark/>
          </w:tcPr>
          <w:p w14:paraId="122E04EC"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1,222.28</w:t>
            </w:r>
          </w:p>
        </w:tc>
      </w:tr>
      <w:tr w:rsidR="00DF6D3F" w:rsidRPr="009E5B39" w14:paraId="4D1C671A"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hideMark/>
          </w:tcPr>
          <w:p w14:paraId="59DB5224" w14:textId="77777777" w:rsidR="00DF6D3F" w:rsidRPr="009E5B39" w:rsidRDefault="00DF6D3F" w:rsidP="003E291B">
            <w:pPr>
              <w:spacing w:after="0" w:line="240" w:lineRule="auto"/>
              <w:jc w:val="both"/>
              <w:rPr>
                <w:rFonts w:asciiTheme="majorHAnsi" w:eastAsia="Times New Roman" w:hAnsiTheme="majorHAnsi" w:cstheme="majorHAnsi"/>
                <w:lang w:val="ro-MD"/>
              </w:rPr>
            </w:pPr>
            <w:r w:rsidRPr="009E5B39">
              <w:rPr>
                <w:rFonts w:asciiTheme="majorHAnsi" w:eastAsia="Times New Roman" w:hAnsiTheme="majorHAnsi" w:cstheme="majorHAnsi"/>
                <w:lang w:val="ro-MD"/>
              </w:rPr>
              <w:t>Cheltuieli capitale pentru lucrări topografogeodezice, de cartografie și cadastru</w:t>
            </w:r>
          </w:p>
        </w:tc>
        <w:tc>
          <w:tcPr>
            <w:tcW w:w="1559" w:type="dxa"/>
            <w:tcBorders>
              <w:top w:val="nil"/>
              <w:left w:val="nil"/>
              <w:bottom w:val="single" w:sz="4" w:space="0" w:color="auto"/>
              <w:right w:val="single" w:sz="4" w:space="0" w:color="auto"/>
            </w:tcBorders>
            <w:shd w:val="clear" w:color="auto" w:fill="auto"/>
            <w:vAlign w:val="center"/>
            <w:hideMark/>
          </w:tcPr>
          <w:p w14:paraId="4DEB1162"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1</w:t>
            </w:r>
          </w:p>
        </w:tc>
        <w:tc>
          <w:tcPr>
            <w:tcW w:w="960" w:type="dxa"/>
            <w:tcBorders>
              <w:top w:val="nil"/>
              <w:left w:val="nil"/>
              <w:bottom w:val="single" w:sz="4" w:space="0" w:color="auto"/>
              <w:right w:val="single" w:sz="4" w:space="0" w:color="auto"/>
            </w:tcBorders>
            <w:shd w:val="clear" w:color="auto" w:fill="auto"/>
            <w:vAlign w:val="center"/>
            <w:hideMark/>
          </w:tcPr>
          <w:p w14:paraId="4E06C26E"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282100</w:t>
            </w:r>
          </w:p>
        </w:tc>
        <w:tc>
          <w:tcPr>
            <w:tcW w:w="1591" w:type="dxa"/>
            <w:tcBorders>
              <w:top w:val="nil"/>
              <w:left w:val="nil"/>
              <w:bottom w:val="single" w:sz="4" w:space="0" w:color="auto"/>
              <w:right w:val="single" w:sz="4" w:space="0" w:color="auto"/>
            </w:tcBorders>
            <w:shd w:val="clear" w:color="auto" w:fill="auto"/>
            <w:hideMark/>
          </w:tcPr>
          <w:p w14:paraId="745DCA07"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1,586.35</w:t>
            </w:r>
          </w:p>
        </w:tc>
      </w:tr>
      <w:tr w:rsidR="00DF6D3F" w:rsidRPr="009E5B39" w14:paraId="14B6EEBE"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hideMark/>
          </w:tcPr>
          <w:p w14:paraId="55AC3453"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Clădiri</w:t>
            </w:r>
          </w:p>
        </w:tc>
        <w:tc>
          <w:tcPr>
            <w:tcW w:w="1559" w:type="dxa"/>
            <w:tcBorders>
              <w:top w:val="nil"/>
              <w:left w:val="nil"/>
              <w:bottom w:val="single" w:sz="4" w:space="0" w:color="auto"/>
              <w:right w:val="single" w:sz="4" w:space="0" w:color="auto"/>
            </w:tcBorders>
            <w:shd w:val="clear" w:color="auto" w:fill="auto"/>
            <w:vAlign w:val="center"/>
            <w:hideMark/>
          </w:tcPr>
          <w:p w14:paraId="4A6032DD"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2</w:t>
            </w:r>
          </w:p>
        </w:tc>
        <w:tc>
          <w:tcPr>
            <w:tcW w:w="960" w:type="dxa"/>
            <w:tcBorders>
              <w:top w:val="nil"/>
              <w:left w:val="nil"/>
              <w:bottom w:val="single" w:sz="4" w:space="0" w:color="auto"/>
              <w:right w:val="single" w:sz="4" w:space="0" w:color="auto"/>
            </w:tcBorders>
            <w:shd w:val="clear" w:color="auto" w:fill="auto"/>
            <w:vAlign w:val="center"/>
            <w:hideMark/>
          </w:tcPr>
          <w:p w14:paraId="678C1289" w14:textId="77777777" w:rsidR="00DF6D3F" w:rsidRPr="009E5B39" w:rsidRDefault="00DF6D3F" w:rsidP="003E291B">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311</w:t>
            </w:r>
          </w:p>
        </w:tc>
        <w:tc>
          <w:tcPr>
            <w:tcW w:w="1591" w:type="dxa"/>
            <w:tcBorders>
              <w:top w:val="nil"/>
              <w:left w:val="nil"/>
              <w:bottom w:val="single" w:sz="4" w:space="0" w:color="auto"/>
              <w:right w:val="single" w:sz="4" w:space="0" w:color="auto"/>
            </w:tcBorders>
            <w:shd w:val="clear" w:color="auto" w:fill="auto"/>
            <w:hideMark/>
          </w:tcPr>
          <w:p w14:paraId="03B01233"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46,591.86</w:t>
            </w:r>
          </w:p>
        </w:tc>
      </w:tr>
      <w:tr w:rsidR="00DF6D3F" w:rsidRPr="009E5B39" w14:paraId="4A4019C4"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hideMark/>
          </w:tcPr>
          <w:p w14:paraId="48F1BC0D"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Constructii speciale</w:t>
            </w:r>
          </w:p>
        </w:tc>
        <w:tc>
          <w:tcPr>
            <w:tcW w:w="1559" w:type="dxa"/>
            <w:tcBorders>
              <w:top w:val="nil"/>
              <w:left w:val="nil"/>
              <w:bottom w:val="single" w:sz="4" w:space="0" w:color="auto"/>
              <w:right w:val="single" w:sz="4" w:space="0" w:color="auto"/>
            </w:tcBorders>
            <w:shd w:val="clear" w:color="auto" w:fill="auto"/>
            <w:vAlign w:val="center"/>
            <w:hideMark/>
          </w:tcPr>
          <w:p w14:paraId="7CC80E11"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1</w:t>
            </w:r>
          </w:p>
        </w:tc>
        <w:tc>
          <w:tcPr>
            <w:tcW w:w="960" w:type="dxa"/>
            <w:tcBorders>
              <w:top w:val="nil"/>
              <w:left w:val="nil"/>
              <w:bottom w:val="single" w:sz="4" w:space="0" w:color="auto"/>
              <w:right w:val="single" w:sz="4" w:space="0" w:color="auto"/>
            </w:tcBorders>
            <w:shd w:val="clear" w:color="auto" w:fill="auto"/>
            <w:vAlign w:val="center"/>
            <w:hideMark/>
          </w:tcPr>
          <w:p w14:paraId="21D0B018" w14:textId="77777777" w:rsidR="00DF6D3F" w:rsidRPr="009E5B39" w:rsidRDefault="00DF6D3F" w:rsidP="003E291B">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312</w:t>
            </w:r>
          </w:p>
        </w:tc>
        <w:tc>
          <w:tcPr>
            <w:tcW w:w="1591" w:type="dxa"/>
            <w:tcBorders>
              <w:top w:val="nil"/>
              <w:left w:val="nil"/>
              <w:bottom w:val="single" w:sz="4" w:space="0" w:color="auto"/>
              <w:right w:val="single" w:sz="4" w:space="0" w:color="auto"/>
            </w:tcBorders>
            <w:shd w:val="clear" w:color="auto" w:fill="auto"/>
            <w:hideMark/>
          </w:tcPr>
          <w:p w14:paraId="5E003D64"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33365.46</w:t>
            </w:r>
          </w:p>
        </w:tc>
      </w:tr>
      <w:tr w:rsidR="00DF6D3F" w:rsidRPr="009E5B39" w14:paraId="5A078B99"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18295863"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Mașini și utilaje</w:t>
            </w:r>
          </w:p>
        </w:tc>
        <w:tc>
          <w:tcPr>
            <w:tcW w:w="1559" w:type="dxa"/>
            <w:tcBorders>
              <w:top w:val="nil"/>
              <w:left w:val="nil"/>
              <w:bottom w:val="single" w:sz="4" w:space="0" w:color="auto"/>
              <w:right w:val="single" w:sz="4" w:space="0" w:color="auto"/>
            </w:tcBorders>
            <w:shd w:val="clear" w:color="auto" w:fill="auto"/>
            <w:vAlign w:val="center"/>
            <w:hideMark/>
          </w:tcPr>
          <w:p w14:paraId="05307BD3"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3</w:t>
            </w:r>
          </w:p>
        </w:tc>
        <w:tc>
          <w:tcPr>
            <w:tcW w:w="960" w:type="dxa"/>
            <w:tcBorders>
              <w:top w:val="nil"/>
              <w:left w:val="nil"/>
              <w:bottom w:val="single" w:sz="4" w:space="0" w:color="auto"/>
              <w:right w:val="single" w:sz="4" w:space="0" w:color="auto"/>
            </w:tcBorders>
            <w:shd w:val="clear" w:color="auto" w:fill="auto"/>
            <w:vAlign w:val="center"/>
            <w:hideMark/>
          </w:tcPr>
          <w:p w14:paraId="300B076C" w14:textId="77777777" w:rsidR="00DF6D3F" w:rsidRPr="009E5B39" w:rsidRDefault="00DF6D3F" w:rsidP="003E291B">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314</w:t>
            </w:r>
          </w:p>
        </w:tc>
        <w:tc>
          <w:tcPr>
            <w:tcW w:w="1591" w:type="dxa"/>
            <w:tcBorders>
              <w:top w:val="nil"/>
              <w:left w:val="nil"/>
              <w:bottom w:val="single" w:sz="4" w:space="0" w:color="auto"/>
              <w:right w:val="single" w:sz="4" w:space="0" w:color="auto"/>
            </w:tcBorders>
            <w:shd w:val="clear" w:color="auto" w:fill="auto"/>
            <w:hideMark/>
          </w:tcPr>
          <w:p w14:paraId="322895CC"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65,713.31</w:t>
            </w:r>
          </w:p>
        </w:tc>
      </w:tr>
      <w:tr w:rsidR="00DF6D3F" w:rsidRPr="009E5B39" w14:paraId="191B9B8C"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6E835A46"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Unelte si scule, inventar de producere și gospodăresc</w:t>
            </w:r>
          </w:p>
        </w:tc>
        <w:tc>
          <w:tcPr>
            <w:tcW w:w="1559" w:type="dxa"/>
            <w:tcBorders>
              <w:top w:val="nil"/>
              <w:left w:val="nil"/>
              <w:bottom w:val="single" w:sz="4" w:space="0" w:color="auto"/>
              <w:right w:val="single" w:sz="4" w:space="0" w:color="auto"/>
            </w:tcBorders>
            <w:shd w:val="clear" w:color="auto" w:fill="auto"/>
            <w:vAlign w:val="center"/>
            <w:hideMark/>
          </w:tcPr>
          <w:p w14:paraId="402B2CA3"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3</w:t>
            </w:r>
          </w:p>
        </w:tc>
        <w:tc>
          <w:tcPr>
            <w:tcW w:w="960" w:type="dxa"/>
            <w:tcBorders>
              <w:top w:val="nil"/>
              <w:left w:val="nil"/>
              <w:bottom w:val="single" w:sz="4" w:space="0" w:color="auto"/>
              <w:right w:val="single" w:sz="4" w:space="0" w:color="auto"/>
            </w:tcBorders>
            <w:shd w:val="clear" w:color="auto" w:fill="auto"/>
            <w:vAlign w:val="center"/>
            <w:hideMark/>
          </w:tcPr>
          <w:p w14:paraId="535C30C5" w14:textId="77777777" w:rsidR="00DF6D3F" w:rsidRPr="009E5B39" w:rsidRDefault="00DF6D3F" w:rsidP="003E291B">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316</w:t>
            </w:r>
          </w:p>
        </w:tc>
        <w:tc>
          <w:tcPr>
            <w:tcW w:w="1591" w:type="dxa"/>
            <w:tcBorders>
              <w:top w:val="nil"/>
              <w:left w:val="nil"/>
              <w:bottom w:val="single" w:sz="4" w:space="0" w:color="auto"/>
              <w:right w:val="single" w:sz="4" w:space="0" w:color="auto"/>
            </w:tcBorders>
            <w:shd w:val="clear" w:color="auto" w:fill="auto"/>
            <w:hideMark/>
          </w:tcPr>
          <w:p w14:paraId="12C7E151"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414,400.50</w:t>
            </w:r>
          </w:p>
        </w:tc>
      </w:tr>
      <w:tr w:rsidR="00DF6D3F" w:rsidRPr="009E5B39" w14:paraId="63422E64"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532B0966"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Alte mijloace fixe</w:t>
            </w:r>
          </w:p>
        </w:tc>
        <w:tc>
          <w:tcPr>
            <w:tcW w:w="1559" w:type="dxa"/>
            <w:tcBorders>
              <w:top w:val="nil"/>
              <w:left w:val="nil"/>
              <w:bottom w:val="single" w:sz="4" w:space="0" w:color="auto"/>
              <w:right w:val="single" w:sz="4" w:space="0" w:color="auto"/>
            </w:tcBorders>
            <w:shd w:val="clear" w:color="auto" w:fill="auto"/>
            <w:vAlign w:val="center"/>
            <w:hideMark/>
          </w:tcPr>
          <w:p w14:paraId="35146918"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3</w:t>
            </w:r>
          </w:p>
        </w:tc>
        <w:tc>
          <w:tcPr>
            <w:tcW w:w="960" w:type="dxa"/>
            <w:tcBorders>
              <w:top w:val="nil"/>
              <w:left w:val="nil"/>
              <w:bottom w:val="single" w:sz="4" w:space="0" w:color="auto"/>
              <w:right w:val="single" w:sz="4" w:space="0" w:color="auto"/>
            </w:tcBorders>
            <w:shd w:val="clear" w:color="auto" w:fill="auto"/>
            <w:vAlign w:val="center"/>
            <w:hideMark/>
          </w:tcPr>
          <w:p w14:paraId="6B108BCB" w14:textId="77777777" w:rsidR="00DF6D3F" w:rsidRPr="009E5B39" w:rsidRDefault="00DF6D3F" w:rsidP="003E291B">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318</w:t>
            </w:r>
          </w:p>
        </w:tc>
        <w:tc>
          <w:tcPr>
            <w:tcW w:w="1591" w:type="dxa"/>
            <w:tcBorders>
              <w:top w:val="nil"/>
              <w:left w:val="nil"/>
              <w:bottom w:val="single" w:sz="4" w:space="0" w:color="auto"/>
              <w:right w:val="single" w:sz="4" w:space="0" w:color="auto"/>
            </w:tcBorders>
            <w:shd w:val="clear" w:color="auto" w:fill="auto"/>
            <w:hideMark/>
          </w:tcPr>
          <w:p w14:paraId="74CFCEEC"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1,152,220.80</w:t>
            </w:r>
          </w:p>
        </w:tc>
      </w:tr>
      <w:tr w:rsidR="00DF6D3F" w:rsidRPr="009E5B39" w14:paraId="35FBCA7C"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CFA9980"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Combustibil, carburanți și lubrifianți</w:t>
            </w:r>
          </w:p>
        </w:tc>
        <w:tc>
          <w:tcPr>
            <w:tcW w:w="1559" w:type="dxa"/>
            <w:tcBorders>
              <w:top w:val="nil"/>
              <w:left w:val="nil"/>
              <w:bottom w:val="single" w:sz="4" w:space="0" w:color="auto"/>
              <w:right w:val="single" w:sz="4" w:space="0" w:color="auto"/>
            </w:tcBorders>
            <w:shd w:val="clear" w:color="auto" w:fill="auto"/>
            <w:vAlign w:val="center"/>
            <w:hideMark/>
          </w:tcPr>
          <w:p w14:paraId="34DFC846"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18</w:t>
            </w:r>
          </w:p>
        </w:tc>
        <w:tc>
          <w:tcPr>
            <w:tcW w:w="960" w:type="dxa"/>
            <w:tcBorders>
              <w:top w:val="nil"/>
              <w:left w:val="nil"/>
              <w:bottom w:val="single" w:sz="4" w:space="0" w:color="auto"/>
              <w:right w:val="single" w:sz="4" w:space="0" w:color="auto"/>
            </w:tcBorders>
            <w:shd w:val="clear" w:color="auto" w:fill="auto"/>
            <w:vAlign w:val="center"/>
            <w:hideMark/>
          </w:tcPr>
          <w:p w14:paraId="0812FA2D" w14:textId="77777777" w:rsidR="00DF6D3F" w:rsidRPr="009E5B39" w:rsidRDefault="00DF6D3F" w:rsidP="003E291B">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331</w:t>
            </w:r>
          </w:p>
        </w:tc>
        <w:tc>
          <w:tcPr>
            <w:tcW w:w="1591" w:type="dxa"/>
            <w:tcBorders>
              <w:top w:val="nil"/>
              <w:left w:val="nil"/>
              <w:bottom w:val="single" w:sz="4" w:space="0" w:color="auto"/>
              <w:right w:val="single" w:sz="4" w:space="0" w:color="auto"/>
            </w:tcBorders>
            <w:shd w:val="clear" w:color="auto" w:fill="auto"/>
            <w:hideMark/>
          </w:tcPr>
          <w:p w14:paraId="5B145488"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1,995,310.10</w:t>
            </w:r>
          </w:p>
        </w:tc>
      </w:tr>
      <w:tr w:rsidR="00DF6D3F" w:rsidRPr="009E5B39" w14:paraId="1F9B7A4C"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1793D22A"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Piese de schimb</w:t>
            </w:r>
          </w:p>
        </w:tc>
        <w:tc>
          <w:tcPr>
            <w:tcW w:w="1559" w:type="dxa"/>
            <w:tcBorders>
              <w:top w:val="nil"/>
              <w:left w:val="nil"/>
              <w:bottom w:val="single" w:sz="4" w:space="0" w:color="auto"/>
              <w:right w:val="single" w:sz="4" w:space="0" w:color="auto"/>
            </w:tcBorders>
            <w:shd w:val="clear" w:color="auto" w:fill="auto"/>
            <w:vAlign w:val="center"/>
            <w:hideMark/>
          </w:tcPr>
          <w:p w14:paraId="1CF243F1"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3</w:t>
            </w:r>
          </w:p>
        </w:tc>
        <w:tc>
          <w:tcPr>
            <w:tcW w:w="960" w:type="dxa"/>
            <w:tcBorders>
              <w:top w:val="nil"/>
              <w:left w:val="nil"/>
              <w:bottom w:val="single" w:sz="4" w:space="0" w:color="auto"/>
              <w:right w:val="single" w:sz="4" w:space="0" w:color="auto"/>
            </w:tcBorders>
            <w:shd w:val="clear" w:color="auto" w:fill="auto"/>
            <w:vAlign w:val="center"/>
            <w:hideMark/>
          </w:tcPr>
          <w:p w14:paraId="15252E40" w14:textId="77777777" w:rsidR="00DF6D3F" w:rsidRPr="009E5B39" w:rsidRDefault="00DF6D3F" w:rsidP="003E291B">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332</w:t>
            </w:r>
          </w:p>
        </w:tc>
        <w:tc>
          <w:tcPr>
            <w:tcW w:w="1591" w:type="dxa"/>
            <w:tcBorders>
              <w:top w:val="nil"/>
              <w:left w:val="nil"/>
              <w:bottom w:val="single" w:sz="4" w:space="0" w:color="auto"/>
              <w:right w:val="single" w:sz="4" w:space="0" w:color="auto"/>
            </w:tcBorders>
            <w:shd w:val="clear" w:color="auto" w:fill="auto"/>
            <w:hideMark/>
          </w:tcPr>
          <w:p w14:paraId="4E6BFB7B"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921,356.05</w:t>
            </w:r>
          </w:p>
        </w:tc>
      </w:tr>
      <w:tr w:rsidR="00DF6D3F" w:rsidRPr="009E5B39" w14:paraId="05EBAF9A"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2AAF7C91"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Produse alimentare</w:t>
            </w:r>
          </w:p>
        </w:tc>
        <w:tc>
          <w:tcPr>
            <w:tcW w:w="1559" w:type="dxa"/>
            <w:tcBorders>
              <w:top w:val="nil"/>
              <w:left w:val="nil"/>
              <w:bottom w:val="single" w:sz="4" w:space="0" w:color="auto"/>
              <w:right w:val="single" w:sz="4" w:space="0" w:color="auto"/>
            </w:tcBorders>
            <w:shd w:val="clear" w:color="auto" w:fill="auto"/>
            <w:vAlign w:val="center"/>
            <w:hideMark/>
          </w:tcPr>
          <w:p w14:paraId="294AA10A"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2</w:t>
            </w:r>
          </w:p>
        </w:tc>
        <w:tc>
          <w:tcPr>
            <w:tcW w:w="960" w:type="dxa"/>
            <w:tcBorders>
              <w:top w:val="nil"/>
              <w:left w:val="nil"/>
              <w:bottom w:val="single" w:sz="4" w:space="0" w:color="auto"/>
              <w:right w:val="single" w:sz="4" w:space="0" w:color="auto"/>
            </w:tcBorders>
            <w:shd w:val="clear" w:color="auto" w:fill="auto"/>
            <w:vAlign w:val="center"/>
            <w:hideMark/>
          </w:tcPr>
          <w:p w14:paraId="2F10D8B9" w14:textId="77777777" w:rsidR="00DF6D3F" w:rsidRPr="009E5B39" w:rsidRDefault="00DF6D3F" w:rsidP="003E291B">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333</w:t>
            </w:r>
          </w:p>
        </w:tc>
        <w:tc>
          <w:tcPr>
            <w:tcW w:w="1591" w:type="dxa"/>
            <w:tcBorders>
              <w:top w:val="nil"/>
              <w:left w:val="nil"/>
              <w:bottom w:val="single" w:sz="4" w:space="0" w:color="auto"/>
              <w:right w:val="single" w:sz="4" w:space="0" w:color="auto"/>
            </w:tcBorders>
            <w:shd w:val="clear" w:color="auto" w:fill="auto"/>
            <w:hideMark/>
          </w:tcPr>
          <w:p w14:paraId="3456EDC0"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79,217.33</w:t>
            </w:r>
          </w:p>
        </w:tc>
      </w:tr>
      <w:tr w:rsidR="00DF6D3F" w:rsidRPr="009E5B39" w14:paraId="51D76006"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3DBC5A0C"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Materiale pentru scopuri didactice, științifice și alte scopuri</w:t>
            </w:r>
          </w:p>
        </w:tc>
        <w:tc>
          <w:tcPr>
            <w:tcW w:w="1559" w:type="dxa"/>
            <w:tcBorders>
              <w:top w:val="nil"/>
              <w:left w:val="nil"/>
              <w:bottom w:val="single" w:sz="4" w:space="0" w:color="auto"/>
              <w:right w:val="single" w:sz="4" w:space="0" w:color="auto"/>
            </w:tcBorders>
            <w:shd w:val="clear" w:color="auto" w:fill="auto"/>
            <w:vAlign w:val="center"/>
            <w:hideMark/>
          </w:tcPr>
          <w:p w14:paraId="7DD7538D"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2</w:t>
            </w:r>
          </w:p>
        </w:tc>
        <w:tc>
          <w:tcPr>
            <w:tcW w:w="960" w:type="dxa"/>
            <w:tcBorders>
              <w:top w:val="nil"/>
              <w:left w:val="nil"/>
              <w:bottom w:val="single" w:sz="4" w:space="0" w:color="auto"/>
              <w:right w:val="single" w:sz="4" w:space="0" w:color="auto"/>
            </w:tcBorders>
            <w:shd w:val="clear" w:color="auto" w:fill="auto"/>
            <w:vAlign w:val="center"/>
            <w:hideMark/>
          </w:tcPr>
          <w:p w14:paraId="48AD3638" w14:textId="77777777" w:rsidR="00DF6D3F" w:rsidRPr="009E5B39" w:rsidRDefault="00DF6D3F" w:rsidP="003E291B">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335</w:t>
            </w:r>
          </w:p>
        </w:tc>
        <w:tc>
          <w:tcPr>
            <w:tcW w:w="1591" w:type="dxa"/>
            <w:tcBorders>
              <w:top w:val="nil"/>
              <w:left w:val="nil"/>
              <w:bottom w:val="single" w:sz="4" w:space="0" w:color="auto"/>
              <w:right w:val="single" w:sz="4" w:space="0" w:color="auto"/>
            </w:tcBorders>
            <w:shd w:val="clear" w:color="auto" w:fill="auto"/>
            <w:hideMark/>
          </w:tcPr>
          <w:p w14:paraId="3805CEB2"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1,409.70</w:t>
            </w:r>
          </w:p>
        </w:tc>
      </w:tr>
      <w:tr w:rsidR="00DF6D3F" w:rsidRPr="009E5B39" w14:paraId="351F9D09"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4E8BAC75"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Materiale de uz gospodăresc și rechizite de birou</w:t>
            </w:r>
          </w:p>
        </w:tc>
        <w:tc>
          <w:tcPr>
            <w:tcW w:w="1559" w:type="dxa"/>
            <w:tcBorders>
              <w:top w:val="nil"/>
              <w:left w:val="nil"/>
              <w:bottom w:val="single" w:sz="4" w:space="0" w:color="auto"/>
              <w:right w:val="single" w:sz="4" w:space="0" w:color="auto"/>
            </w:tcBorders>
            <w:shd w:val="clear" w:color="auto" w:fill="auto"/>
            <w:vAlign w:val="center"/>
            <w:hideMark/>
          </w:tcPr>
          <w:p w14:paraId="5F63DC05"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14</w:t>
            </w:r>
          </w:p>
        </w:tc>
        <w:tc>
          <w:tcPr>
            <w:tcW w:w="960" w:type="dxa"/>
            <w:tcBorders>
              <w:top w:val="nil"/>
              <w:left w:val="nil"/>
              <w:bottom w:val="single" w:sz="4" w:space="0" w:color="auto"/>
              <w:right w:val="single" w:sz="4" w:space="0" w:color="auto"/>
            </w:tcBorders>
            <w:shd w:val="clear" w:color="auto" w:fill="auto"/>
            <w:vAlign w:val="center"/>
            <w:hideMark/>
          </w:tcPr>
          <w:p w14:paraId="14FC8BA7" w14:textId="77777777" w:rsidR="00DF6D3F" w:rsidRPr="009E5B39" w:rsidRDefault="00DF6D3F" w:rsidP="003E291B">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336</w:t>
            </w:r>
          </w:p>
        </w:tc>
        <w:tc>
          <w:tcPr>
            <w:tcW w:w="1591" w:type="dxa"/>
            <w:tcBorders>
              <w:top w:val="nil"/>
              <w:left w:val="nil"/>
              <w:bottom w:val="single" w:sz="4" w:space="0" w:color="auto"/>
              <w:right w:val="single" w:sz="4" w:space="0" w:color="auto"/>
            </w:tcBorders>
            <w:shd w:val="clear" w:color="auto" w:fill="auto"/>
            <w:hideMark/>
          </w:tcPr>
          <w:p w14:paraId="3786455C"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531,526.50</w:t>
            </w:r>
          </w:p>
        </w:tc>
      </w:tr>
      <w:tr w:rsidR="00DF6D3F" w:rsidRPr="009E5B39" w14:paraId="30CC0609"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18D8281B"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Materiale de construcție</w:t>
            </w:r>
          </w:p>
        </w:tc>
        <w:tc>
          <w:tcPr>
            <w:tcW w:w="1559" w:type="dxa"/>
            <w:tcBorders>
              <w:top w:val="nil"/>
              <w:left w:val="nil"/>
              <w:bottom w:val="single" w:sz="4" w:space="0" w:color="auto"/>
              <w:right w:val="single" w:sz="4" w:space="0" w:color="auto"/>
            </w:tcBorders>
            <w:shd w:val="clear" w:color="auto" w:fill="auto"/>
            <w:vAlign w:val="center"/>
            <w:hideMark/>
          </w:tcPr>
          <w:p w14:paraId="37875260"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8</w:t>
            </w:r>
          </w:p>
        </w:tc>
        <w:tc>
          <w:tcPr>
            <w:tcW w:w="960" w:type="dxa"/>
            <w:tcBorders>
              <w:top w:val="nil"/>
              <w:left w:val="nil"/>
              <w:bottom w:val="single" w:sz="4" w:space="0" w:color="auto"/>
              <w:right w:val="single" w:sz="4" w:space="0" w:color="auto"/>
            </w:tcBorders>
            <w:shd w:val="clear" w:color="auto" w:fill="auto"/>
            <w:vAlign w:val="center"/>
            <w:hideMark/>
          </w:tcPr>
          <w:p w14:paraId="5D6FFA0D" w14:textId="77777777" w:rsidR="00DF6D3F" w:rsidRPr="009E5B39" w:rsidRDefault="00DF6D3F" w:rsidP="003E291B">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337</w:t>
            </w:r>
          </w:p>
        </w:tc>
        <w:tc>
          <w:tcPr>
            <w:tcW w:w="1591" w:type="dxa"/>
            <w:tcBorders>
              <w:top w:val="nil"/>
              <w:left w:val="nil"/>
              <w:bottom w:val="single" w:sz="4" w:space="0" w:color="auto"/>
              <w:right w:val="single" w:sz="4" w:space="0" w:color="auto"/>
            </w:tcBorders>
            <w:shd w:val="clear" w:color="auto" w:fill="auto"/>
            <w:hideMark/>
          </w:tcPr>
          <w:p w14:paraId="2BD8A203"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719,991.76</w:t>
            </w:r>
          </w:p>
        </w:tc>
      </w:tr>
      <w:tr w:rsidR="00DF6D3F" w:rsidRPr="009E5B39" w14:paraId="335CEB49"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1E1062E9"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Accesorii de pat, îmbrăcăminte, încălțăminte</w:t>
            </w:r>
          </w:p>
        </w:tc>
        <w:tc>
          <w:tcPr>
            <w:tcW w:w="1559" w:type="dxa"/>
            <w:tcBorders>
              <w:top w:val="nil"/>
              <w:left w:val="nil"/>
              <w:bottom w:val="single" w:sz="4" w:space="0" w:color="auto"/>
              <w:right w:val="single" w:sz="4" w:space="0" w:color="auto"/>
            </w:tcBorders>
            <w:shd w:val="clear" w:color="auto" w:fill="auto"/>
            <w:vAlign w:val="center"/>
            <w:hideMark/>
          </w:tcPr>
          <w:p w14:paraId="75AF3DBD"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4</w:t>
            </w:r>
          </w:p>
        </w:tc>
        <w:tc>
          <w:tcPr>
            <w:tcW w:w="960" w:type="dxa"/>
            <w:tcBorders>
              <w:top w:val="nil"/>
              <w:left w:val="nil"/>
              <w:bottom w:val="single" w:sz="4" w:space="0" w:color="auto"/>
              <w:right w:val="single" w:sz="4" w:space="0" w:color="auto"/>
            </w:tcBorders>
            <w:shd w:val="clear" w:color="auto" w:fill="auto"/>
            <w:vAlign w:val="center"/>
            <w:hideMark/>
          </w:tcPr>
          <w:p w14:paraId="5EE0653C" w14:textId="77777777" w:rsidR="00DF6D3F" w:rsidRPr="009E5B39" w:rsidRDefault="00DF6D3F" w:rsidP="003E291B">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338</w:t>
            </w:r>
          </w:p>
        </w:tc>
        <w:tc>
          <w:tcPr>
            <w:tcW w:w="1591" w:type="dxa"/>
            <w:tcBorders>
              <w:top w:val="nil"/>
              <w:left w:val="nil"/>
              <w:bottom w:val="single" w:sz="4" w:space="0" w:color="auto"/>
              <w:right w:val="single" w:sz="4" w:space="0" w:color="auto"/>
            </w:tcBorders>
            <w:shd w:val="clear" w:color="auto" w:fill="auto"/>
            <w:hideMark/>
          </w:tcPr>
          <w:p w14:paraId="61988616"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49,032.83</w:t>
            </w:r>
          </w:p>
        </w:tc>
      </w:tr>
      <w:tr w:rsidR="00DF6D3F" w:rsidRPr="009E5B39" w14:paraId="2AAA4AEA"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0EBB1B93" w14:textId="77777777" w:rsidR="00DF6D3F" w:rsidRPr="009E5B39" w:rsidRDefault="00DF6D3F" w:rsidP="003E291B">
            <w:pPr>
              <w:spacing w:after="0" w:line="240" w:lineRule="auto"/>
              <w:rPr>
                <w:rFonts w:asciiTheme="majorHAnsi" w:eastAsia="Times New Roman" w:hAnsiTheme="majorHAnsi" w:cstheme="majorHAnsi"/>
                <w:lang w:val="ro-MD"/>
              </w:rPr>
            </w:pPr>
            <w:r w:rsidRPr="009E5B39">
              <w:rPr>
                <w:rFonts w:asciiTheme="majorHAnsi" w:eastAsia="Times New Roman" w:hAnsiTheme="majorHAnsi" w:cstheme="majorHAnsi"/>
                <w:lang w:val="ro-MD"/>
              </w:rPr>
              <w:t>Alte materiale</w:t>
            </w:r>
          </w:p>
        </w:tc>
        <w:tc>
          <w:tcPr>
            <w:tcW w:w="1559" w:type="dxa"/>
            <w:tcBorders>
              <w:top w:val="nil"/>
              <w:left w:val="nil"/>
              <w:bottom w:val="single" w:sz="4" w:space="0" w:color="auto"/>
              <w:right w:val="single" w:sz="4" w:space="0" w:color="auto"/>
            </w:tcBorders>
            <w:shd w:val="clear" w:color="auto" w:fill="auto"/>
            <w:vAlign w:val="center"/>
            <w:hideMark/>
          </w:tcPr>
          <w:p w14:paraId="3B1D97E4"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9</w:t>
            </w:r>
          </w:p>
        </w:tc>
        <w:tc>
          <w:tcPr>
            <w:tcW w:w="960" w:type="dxa"/>
            <w:tcBorders>
              <w:top w:val="nil"/>
              <w:left w:val="nil"/>
              <w:bottom w:val="single" w:sz="4" w:space="0" w:color="auto"/>
              <w:right w:val="single" w:sz="4" w:space="0" w:color="auto"/>
            </w:tcBorders>
            <w:shd w:val="clear" w:color="auto" w:fill="auto"/>
            <w:vAlign w:val="center"/>
            <w:hideMark/>
          </w:tcPr>
          <w:p w14:paraId="7958D639" w14:textId="77777777" w:rsidR="00DF6D3F" w:rsidRPr="009E5B39" w:rsidRDefault="00DF6D3F" w:rsidP="003E291B">
            <w:pPr>
              <w:spacing w:after="0" w:line="240" w:lineRule="auto"/>
              <w:jc w:val="center"/>
              <w:rPr>
                <w:rFonts w:asciiTheme="majorHAnsi" w:eastAsia="Times New Roman" w:hAnsiTheme="majorHAnsi" w:cstheme="majorHAnsi"/>
                <w:lang w:val="ro-MD"/>
              </w:rPr>
            </w:pPr>
            <w:r w:rsidRPr="009E5B39">
              <w:rPr>
                <w:rFonts w:asciiTheme="majorHAnsi" w:eastAsia="Times New Roman" w:hAnsiTheme="majorHAnsi" w:cstheme="majorHAnsi"/>
                <w:lang w:val="ro-MD"/>
              </w:rPr>
              <w:t>339</w:t>
            </w:r>
          </w:p>
        </w:tc>
        <w:tc>
          <w:tcPr>
            <w:tcW w:w="1591" w:type="dxa"/>
            <w:tcBorders>
              <w:top w:val="nil"/>
              <w:left w:val="nil"/>
              <w:bottom w:val="single" w:sz="4" w:space="0" w:color="auto"/>
              <w:right w:val="single" w:sz="4" w:space="0" w:color="auto"/>
            </w:tcBorders>
            <w:shd w:val="clear" w:color="auto" w:fill="auto"/>
            <w:hideMark/>
          </w:tcPr>
          <w:p w14:paraId="601F4516" w14:textId="77777777" w:rsidR="00DF6D3F" w:rsidRPr="009E5B39" w:rsidRDefault="00DF6D3F" w:rsidP="003E291B">
            <w:pPr>
              <w:spacing w:after="0" w:line="240" w:lineRule="auto"/>
              <w:jc w:val="right"/>
              <w:rPr>
                <w:rFonts w:asciiTheme="majorHAnsi" w:eastAsia="Times New Roman" w:hAnsiTheme="majorHAnsi" w:cstheme="majorHAnsi"/>
                <w:lang w:val="ro-MD"/>
              </w:rPr>
            </w:pPr>
            <w:r w:rsidRPr="009E5B39">
              <w:rPr>
                <w:rFonts w:asciiTheme="majorHAnsi" w:eastAsia="Times New Roman" w:hAnsiTheme="majorHAnsi" w:cstheme="majorHAnsi"/>
                <w:lang w:val="ro-MD"/>
              </w:rPr>
              <w:t>802,811.59</w:t>
            </w:r>
          </w:p>
        </w:tc>
      </w:tr>
      <w:tr w:rsidR="00DF6D3F" w:rsidRPr="009E5B39" w14:paraId="02092F20" w14:textId="77777777" w:rsidTr="003E291B">
        <w:trPr>
          <w:trHeight w:val="43"/>
        </w:trPr>
        <w:tc>
          <w:tcPr>
            <w:tcW w:w="58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08B864" w14:textId="77777777" w:rsidR="00DF6D3F" w:rsidRPr="009E5B39" w:rsidRDefault="00DF6D3F" w:rsidP="003E291B">
            <w:pPr>
              <w:spacing w:after="0" w:line="240" w:lineRule="auto"/>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TOTAL AVANSURI ACORDATE</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0396B5D0"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X</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7C9AC1A" w14:textId="77777777" w:rsidR="00DF6D3F" w:rsidRPr="009E5B39" w:rsidRDefault="00DF6D3F" w:rsidP="003E291B">
            <w:pPr>
              <w:spacing w:after="0" w:line="240" w:lineRule="auto"/>
              <w:jc w:val="center"/>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X</w:t>
            </w:r>
          </w:p>
        </w:tc>
        <w:tc>
          <w:tcPr>
            <w:tcW w:w="1591" w:type="dxa"/>
            <w:tcBorders>
              <w:top w:val="nil"/>
              <w:left w:val="nil"/>
              <w:bottom w:val="single" w:sz="4" w:space="0" w:color="auto"/>
              <w:right w:val="single" w:sz="4" w:space="0" w:color="auto"/>
            </w:tcBorders>
            <w:shd w:val="clear" w:color="auto" w:fill="D9D9D9" w:themeFill="background1" w:themeFillShade="D9"/>
            <w:noWrap/>
            <w:vAlign w:val="center"/>
            <w:hideMark/>
          </w:tcPr>
          <w:p w14:paraId="1EDC3C7C" w14:textId="77777777" w:rsidR="00DF6D3F" w:rsidRPr="009E5B39" w:rsidRDefault="00DF6D3F" w:rsidP="003E291B">
            <w:pPr>
              <w:spacing w:after="0" w:line="240" w:lineRule="auto"/>
              <w:jc w:val="right"/>
              <w:rPr>
                <w:rFonts w:asciiTheme="majorHAnsi" w:eastAsia="Times New Roman" w:hAnsiTheme="majorHAnsi" w:cstheme="majorHAnsi"/>
                <w:b/>
                <w:bCs/>
                <w:lang w:val="ro-MD"/>
              </w:rPr>
            </w:pPr>
            <w:r w:rsidRPr="009E5B39">
              <w:rPr>
                <w:rFonts w:asciiTheme="majorHAnsi" w:eastAsia="Times New Roman" w:hAnsiTheme="majorHAnsi" w:cstheme="majorHAnsi"/>
                <w:b/>
                <w:bCs/>
                <w:lang w:val="ro-MD"/>
              </w:rPr>
              <w:t>12,218,626.83</w:t>
            </w:r>
          </w:p>
        </w:tc>
      </w:tr>
    </w:tbl>
    <w:p w14:paraId="35619C71" w14:textId="77777777" w:rsidR="00DF6D3F" w:rsidRPr="009E5B39" w:rsidRDefault="00DF6D3F" w:rsidP="00DF6D3F">
      <w:pPr>
        <w:spacing w:after="0"/>
        <w:jc w:val="center"/>
        <w:rPr>
          <w:rFonts w:asciiTheme="majorHAnsi" w:hAnsiTheme="majorHAnsi" w:cstheme="majorHAnsi"/>
          <w:b/>
          <w:bCs/>
          <w:sz w:val="24"/>
          <w:szCs w:val="24"/>
          <w:lang w:val="ro-MD"/>
        </w:rPr>
      </w:pPr>
    </w:p>
    <w:p w14:paraId="7CBB6F45" w14:textId="77777777" w:rsidR="00DF6D3F" w:rsidRPr="009E5B39" w:rsidRDefault="00DF6D3F" w:rsidP="00DF6D3F">
      <w:pPr>
        <w:spacing w:after="0"/>
        <w:jc w:val="center"/>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Tabelul nr.2. Avansuri acordate de către Primăria mun. Chișinău și instituțiile din subordine pentru servicii comunale și telecomunicații la situația din 31.12.2020</w:t>
      </w:r>
    </w:p>
    <w:tbl>
      <w:tblPr>
        <w:tblW w:w="10079" w:type="dxa"/>
        <w:tblInd w:w="-289" w:type="dxa"/>
        <w:tblLayout w:type="fixed"/>
        <w:tblLook w:val="04A0" w:firstRow="1" w:lastRow="0" w:firstColumn="1" w:lastColumn="0" w:noHBand="0" w:noVBand="1"/>
      </w:tblPr>
      <w:tblGrid>
        <w:gridCol w:w="458"/>
        <w:gridCol w:w="1593"/>
        <w:gridCol w:w="841"/>
        <w:gridCol w:w="962"/>
        <w:gridCol w:w="962"/>
        <w:gridCol w:w="1064"/>
        <w:gridCol w:w="962"/>
        <w:gridCol w:w="955"/>
        <w:gridCol w:w="1217"/>
        <w:gridCol w:w="1065"/>
      </w:tblGrid>
      <w:tr w:rsidR="00DF6D3F" w:rsidRPr="009E5B39" w14:paraId="6CDB2758" w14:textId="77777777" w:rsidTr="003E291B">
        <w:trPr>
          <w:trHeight w:val="360"/>
        </w:trPr>
        <w:tc>
          <w:tcPr>
            <w:tcW w:w="45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A8A134" w14:textId="76B99CDE" w:rsidR="00DF6D3F" w:rsidRPr="009E5B39" w:rsidRDefault="00116C17"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N</w:t>
            </w:r>
            <w:r w:rsidR="00DF6D3F" w:rsidRPr="009E5B39">
              <w:rPr>
                <w:rFonts w:asciiTheme="majorHAnsi" w:eastAsia="Times New Roman" w:hAnsiTheme="majorHAnsi" w:cstheme="majorHAnsi"/>
                <w:b/>
                <w:bCs/>
                <w:sz w:val="16"/>
                <w:szCs w:val="16"/>
                <w:lang w:val="ro-MD"/>
              </w:rPr>
              <w:t>r. d/o</w:t>
            </w:r>
          </w:p>
        </w:tc>
        <w:tc>
          <w:tcPr>
            <w:tcW w:w="159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93D1A8A"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Instituția</w:t>
            </w:r>
          </w:p>
        </w:tc>
        <w:tc>
          <w:tcPr>
            <w:tcW w:w="84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2FE106"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Codul instituției</w:t>
            </w:r>
          </w:p>
        </w:tc>
        <w:tc>
          <w:tcPr>
            <w:tcW w:w="962" w:type="dxa"/>
            <w:tcBorders>
              <w:top w:val="single" w:sz="4" w:space="0" w:color="auto"/>
              <w:left w:val="nil"/>
              <w:bottom w:val="single" w:sz="4" w:space="0" w:color="auto"/>
              <w:right w:val="single" w:sz="4" w:space="0" w:color="auto"/>
            </w:tcBorders>
            <w:shd w:val="clear" w:color="000000" w:fill="D9D9D9"/>
            <w:vAlign w:val="center"/>
            <w:hideMark/>
          </w:tcPr>
          <w:p w14:paraId="2FD86232" w14:textId="49C3DC9F"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Energie electric</w:t>
            </w:r>
            <w:r w:rsidR="00116C17" w:rsidRPr="009E5B39">
              <w:rPr>
                <w:rFonts w:asciiTheme="majorHAnsi" w:eastAsia="Times New Roman" w:hAnsiTheme="majorHAnsi" w:cstheme="majorHAnsi"/>
                <w:b/>
                <w:bCs/>
                <w:sz w:val="16"/>
                <w:szCs w:val="16"/>
                <w:lang w:val="ro-MD"/>
              </w:rPr>
              <w:t>ă</w:t>
            </w:r>
          </w:p>
        </w:tc>
        <w:tc>
          <w:tcPr>
            <w:tcW w:w="962" w:type="dxa"/>
            <w:tcBorders>
              <w:top w:val="single" w:sz="4" w:space="0" w:color="auto"/>
              <w:left w:val="nil"/>
              <w:bottom w:val="single" w:sz="4" w:space="0" w:color="auto"/>
              <w:right w:val="single" w:sz="4" w:space="0" w:color="auto"/>
            </w:tcBorders>
            <w:shd w:val="clear" w:color="000000" w:fill="D9D9D9"/>
            <w:vAlign w:val="center"/>
            <w:hideMark/>
          </w:tcPr>
          <w:p w14:paraId="1B3BE8CA"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Gaze</w:t>
            </w:r>
          </w:p>
        </w:tc>
        <w:tc>
          <w:tcPr>
            <w:tcW w:w="1064" w:type="dxa"/>
            <w:tcBorders>
              <w:top w:val="single" w:sz="4" w:space="0" w:color="auto"/>
              <w:left w:val="nil"/>
              <w:bottom w:val="single" w:sz="4" w:space="0" w:color="auto"/>
              <w:right w:val="single" w:sz="4" w:space="0" w:color="auto"/>
            </w:tcBorders>
            <w:shd w:val="clear" w:color="000000" w:fill="D9D9D9"/>
            <w:vAlign w:val="center"/>
            <w:hideMark/>
          </w:tcPr>
          <w:p w14:paraId="645E51F1" w14:textId="79F38FDB"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Energie termic</w:t>
            </w:r>
            <w:r w:rsidR="00116C17" w:rsidRPr="009E5B39">
              <w:rPr>
                <w:rFonts w:asciiTheme="majorHAnsi" w:eastAsia="Times New Roman" w:hAnsiTheme="majorHAnsi" w:cstheme="majorHAnsi"/>
                <w:b/>
                <w:bCs/>
                <w:sz w:val="16"/>
                <w:szCs w:val="16"/>
                <w:lang w:val="ro-MD"/>
              </w:rPr>
              <w:t>ă</w:t>
            </w:r>
          </w:p>
        </w:tc>
        <w:tc>
          <w:tcPr>
            <w:tcW w:w="962" w:type="dxa"/>
            <w:tcBorders>
              <w:top w:val="single" w:sz="4" w:space="0" w:color="auto"/>
              <w:left w:val="nil"/>
              <w:bottom w:val="single" w:sz="4" w:space="0" w:color="auto"/>
              <w:right w:val="single" w:sz="4" w:space="0" w:color="auto"/>
            </w:tcBorders>
            <w:shd w:val="clear" w:color="000000" w:fill="D9D9D9"/>
            <w:vAlign w:val="center"/>
            <w:hideMark/>
          </w:tcPr>
          <w:p w14:paraId="117A6C1C" w14:textId="0FE2CB6F"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Ap</w:t>
            </w:r>
            <w:r w:rsidR="00116C17" w:rsidRPr="009E5B39">
              <w:rPr>
                <w:rFonts w:asciiTheme="majorHAnsi" w:eastAsia="Times New Roman" w:hAnsiTheme="majorHAnsi" w:cstheme="majorHAnsi"/>
                <w:b/>
                <w:bCs/>
                <w:sz w:val="16"/>
                <w:szCs w:val="16"/>
                <w:lang w:val="ro-MD"/>
              </w:rPr>
              <w:t>ă</w:t>
            </w:r>
            <w:r w:rsidRPr="009E5B39">
              <w:rPr>
                <w:rFonts w:asciiTheme="majorHAnsi" w:eastAsia="Times New Roman" w:hAnsiTheme="majorHAnsi" w:cstheme="majorHAnsi"/>
                <w:b/>
                <w:bCs/>
                <w:sz w:val="16"/>
                <w:szCs w:val="16"/>
                <w:lang w:val="ro-MD"/>
              </w:rPr>
              <w:t xml:space="preserve"> si canalizare</w:t>
            </w:r>
          </w:p>
        </w:tc>
        <w:tc>
          <w:tcPr>
            <w:tcW w:w="955" w:type="dxa"/>
            <w:tcBorders>
              <w:top w:val="single" w:sz="4" w:space="0" w:color="auto"/>
              <w:left w:val="nil"/>
              <w:bottom w:val="single" w:sz="4" w:space="0" w:color="auto"/>
              <w:right w:val="single" w:sz="4" w:space="0" w:color="auto"/>
            </w:tcBorders>
            <w:shd w:val="clear" w:color="000000" w:fill="D9D9D9"/>
            <w:vAlign w:val="center"/>
            <w:hideMark/>
          </w:tcPr>
          <w:p w14:paraId="209234AF"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Alte servicii comunale</w:t>
            </w:r>
          </w:p>
        </w:tc>
        <w:tc>
          <w:tcPr>
            <w:tcW w:w="1217" w:type="dxa"/>
            <w:tcBorders>
              <w:top w:val="single" w:sz="4" w:space="0" w:color="auto"/>
              <w:left w:val="nil"/>
              <w:bottom w:val="single" w:sz="4" w:space="0" w:color="auto"/>
              <w:right w:val="single" w:sz="4" w:space="0" w:color="auto"/>
            </w:tcBorders>
            <w:shd w:val="clear" w:color="000000" w:fill="D9D9D9"/>
            <w:vAlign w:val="center"/>
            <w:hideMark/>
          </w:tcPr>
          <w:p w14:paraId="23FBCE21"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Servicii de telecomunicații</w:t>
            </w:r>
          </w:p>
        </w:tc>
        <w:tc>
          <w:tcPr>
            <w:tcW w:w="1065" w:type="dxa"/>
            <w:vMerge w:val="restart"/>
            <w:tcBorders>
              <w:top w:val="single" w:sz="4" w:space="0" w:color="auto"/>
              <w:left w:val="single" w:sz="4" w:space="0" w:color="auto"/>
              <w:bottom w:val="single" w:sz="4" w:space="0" w:color="auto"/>
              <w:right w:val="single" w:sz="4" w:space="0" w:color="auto"/>
            </w:tcBorders>
            <w:shd w:val="clear" w:color="000000" w:fill="D9D9D9"/>
            <w:hideMark/>
          </w:tcPr>
          <w:p w14:paraId="0E1F9671"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TOTAL</w:t>
            </w:r>
          </w:p>
        </w:tc>
      </w:tr>
      <w:tr w:rsidR="00DF6D3F" w:rsidRPr="009E5B39" w14:paraId="1E7F9346" w14:textId="77777777" w:rsidTr="003E291B">
        <w:trPr>
          <w:trHeight w:val="43"/>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2E8140F3" w14:textId="77777777" w:rsidR="00DF6D3F" w:rsidRPr="009E5B39" w:rsidRDefault="00DF6D3F" w:rsidP="003E291B">
            <w:pPr>
              <w:spacing w:after="0" w:line="240" w:lineRule="auto"/>
              <w:rPr>
                <w:rFonts w:asciiTheme="majorHAnsi" w:eastAsia="Times New Roman" w:hAnsiTheme="majorHAnsi" w:cstheme="majorHAnsi"/>
                <w:b/>
                <w:bCs/>
                <w:sz w:val="16"/>
                <w:szCs w:val="16"/>
                <w:lang w:val="ro-MD"/>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14:paraId="2FA565FF" w14:textId="77777777" w:rsidR="00DF6D3F" w:rsidRPr="009E5B39" w:rsidRDefault="00DF6D3F" w:rsidP="003E291B">
            <w:pPr>
              <w:spacing w:after="0" w:line="240" w:lineRule="auto"/>
              <w:rPr>
                <w:rFonts w:asciiTheme="majorHAnsi" w:eastAsia="Times New Roman" w:hAnsiTheme="majorHAnsi" w:cstheme="majorHAnsi"/>
                <w:b/>
                <w:bCs/>
                <w:sz w:val="16"/>
                <w:szCs w:val="16"/>
                <w:lang w:val="ro-MD"/>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14:paraId="7746B88E" w14:textId="77777777" w:rsidR="00DF6D3F" w:rsidRPr="009E5B39" w:rsidRDefault="00DF6D3F" w:rsidP="003E291B">
            <w:pPr>
              <w:spacing w:after="0" w:line="240" w:lineRule="auto"/>
              <w:rPr>
                <w:rFonts w:asciiTheme="majorHAnsi" w:eastAsia="Times New Roman" w:hAnsiTheme="majorHAnsi" w:cstheme="majorHAnsi"/>
                <w:b/>
                <w:bCs/>
                <w:sz w:val="16"/>
                <w:szCs w:val="16"/>
                <w:lang w:val="ro-MD"/>
              </w:rPr>
            </w:pPr>
          </w:p>
        </w:tc>
        <w:tc>
          <w:tcPr>
            <w:tcW w:w="962" w:type="dxa"/>
            <w:tcBorders>
              <w:top w:val="nil"/>
              <w:left w:val="nil"/>
              <w:bottom w:val="single" w:sz="4" w:space="0" w:color="auto"/>
              <w:right w:val="single" w:sz="4" w:space="0" w:color="auto"/>
            </w:tcBorders>
            <w:shd w:val="clear" w:color="000000" w:fill="D9D9D9"/>
            <w:hideMark/>
          </w:tcPr>
          <w:p w14:paraId="6F232661"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222110</w:t>
            </w:r>
          </w:p>
        </w:tc>
        <w:tc>
          <w:tcPr>
            <w:tcW w:w="962" w:type="dxa"/>
            <w:tcBorders>
              <w:top w:val="nil"/>
              <w:left w:val="nil"/>
              <w:bottom w:val="single" w:sz="4" w:space="0" w:color="auto"/>
              <w:right w:val="single" w:sz="4" w:space="0" w:color="auto"/>
            </w:tcBorders>
            <w:shd w:val="clear" w:color="000000" w:fill="D9D9D9"/>
            <w:hideMark/>
          </w:tcPr>
          <w:p w14:paraId="32844EC0"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222120</w:t>
            </w:r>
          </w:p>
        </w:tc>
        <w:tc>
          <w:tcPr>
            <w:tcW w:w="1064" w:type="dxa"/>
            <w:tcBorders>
              <w:top w:val="nil"/>
              <w:left w:val="nil"/>
              <w:bottom w:val="single" w:sz="4" w:space="0" w:color="auto"/>
              <w:right w:val="single" w:sz="4" w:space="0" w:color="auto"/>
            </w:tcBorders>
            <w:shd w:val="clear" w:color="000000" w:fill="D9D9D9"/>
            <w:hideMark/>
          </w:tcPr>
          <w:p w14:paraId="18CDEACD"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222130</w:t>
            </w:r>
          </w:p>
        </w:tc>
        <w:tc>
          <w:tcPr>
            <w:tcW w:w="962" w:type="dxa"/>
            <w:tcBorders>
              <w:top w:val="nil"/>
              <w:left w:val="nil"/>
              <w:bottom w:val="single" w:sz="4" w:space="0" w:color="auto"/>
              <w:right w:val="single" w:sz="4" w:space="0" w:color="auto"/>
            </w:tcBorders>
            <w:shd w:val="clear" w:color="000000" w:fill="D9D9D9"/>
            <w:hideMark/>
          </w:tcPr>
          <w:p w14:paraId="2EB58627"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222140</w:t>
            </w:r>
          </w:p>
        </w:tc>
        <w:tc>
          <w:tcPr>
            <w:tcW w:w="955" w:type="dxa"/>
            <w:tcBorders>
              <w:top w:val="nil"/>
              <w:left w:val="nil"/>
              <w:bottom w:val="single" w:sz="4" w:space="0" w:color="auto"/>
              <w:right w:val="single" w:sz="4" w:space="0" w:color="auto"/>
            </w:tcBorders>
            <w:shd w:val="clear" w:color="000000" w:fill="D9D9D9"/>
            <w:hideMark/>
          </w:tcPr>
          <w:p w14:paraId="04E84B2E"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222190</w:t>
            </w:r>
          </w:p>
        </w:tc>
        <w:tc>
          <w:tcPr>
            <w:tcW w:w="1217" w:type="dxa"/>
            <w:tcBorders>
              <w:top w:val="nil"/>
              <w:left w:val="nil"/>
              <w:bottom w:val="single" w:sz="4" w:space="0" w:color="auto"/>
              <w:right w:val="single" w:sz="4" w:space="0" w:color="auto"/>
            </w:tcBorders>
            <w:shd w:val="clear" w:color="000000" w:fill="D9D9D9"/>
            <w:hideMark/>
          </w:tcPr>
          <w:p w14:paraId="5E98E259"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222220</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2A306AD7" w14:textId="77777777" w:rsidR="00DF6D3F" w:rsidRPr="009E5B39" w:rsidRDefault="00DF6D3F" w:rsidP="003E291B">
            <w:pPr>
              <w:spacing w:after="0" w:line="240" w:lineRule="auto"/>
              <w:rPr>
                <w:rFonts w:asciiTheme="majorHAnsi" w:eastAsia="Times New Roman" w:hAnsiTheme="majorHAnsi" w:cstheme="majorHAnsi"/>
                <w:b/>
                <w:bCs/>
                <w:sz w:val="16"/>
                <w:szCs w:val="16"/>
                <w:lang w:val="ro-MD"/>
              </w:rPr>
            </w:pPr>
          </w:p>
        </w:tc>
      </w:tr>
      <w:tr w:rsidR="00DF6D3F" w:rsidRPr="009E5B39" w14:paraId="6D20EF78" w14:textId="77777777" w:rsidTr="003E291B">
        <w:trPr>
          <w:trHeight w:val="43"/>
        </w:trPr>
        <w:tc>
          <w:tcPr>
            <w:tcW w:w="458" w:type="dxa"/>
            <w:tcBorders>
              <w:top w:val="nil"/>
              <w:left w:val="single" w:sz="4" w:space="0" w:color="auto"/>
              <w:bottom w:val="single" w:sz="4" w:space="0" w:color="auto"/>
              <w:right w:val="single" w:sz="4" w:space="0" w:color="auto"/>
            </w:tcBorders>
            <w:shd w:val="clear" w:color="000000" w:fill="FFF2CC"/>
            <w:noWrap/>
            <w:vAlign w:val="center"/>
            <w:hideMark/>
          </w:tcPr>
          <w:p w14:paraId="1F419DC1"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0</w:t>
            </w:r>
          </w:p>
        </w:tc>
        <w:tc>
          <w:tcPr>
            <w:tcW w:w="1593" w:type="dxa"/>
            <w:tcBorders>
              <w:top w:val="nil"/>
              <w:left w:val="nil"/>
              <w:bottom w:val="single" w:sz="4" w:space="0" w:color="auto"/>
              <w:right w:val="single" w:sz="4" w:space="0" w:color="auto"/>
            </w:tcBorders>
            <w:shd w:val="clear" w:color="000000" w:fill="FFF2CC"/>
            <w:vAlign w:val="center"/>
            <w:hideMark/>
          </w:tcPr>
          <w:p w14:paraId="334DA6DE"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Consolidat</w:t>
            </w:r>
          </w:p>
        </w:tc>
        <w:tc>
          <w:tcPr>
            <w:tcW w:w="841" w:type="dxa"/>
            <w:tcBorders>
              <w:top w:val="nil"/>
              <w:left w:val="nil"/>
              <w:bottom w:val="single" w:sz="4" w:space="0" w:color="auto"/>
              <w:right w:val="single" w:sz="4" w:space="0" w:color="auto"/>
            </w:tcBorders>
            <w:shd w:val="clear" w:color="000000" w:fill="FFF2CC"/>
            <w:vAlign w:val="center"/>
            <w:hideMark/>
          </w:tcPr>
          <w:p w14:paraId="45075D80"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C_1001</w:t>
            </w:r>
          </w:p>
        </w:tc>
        <w:tc>
          <w:tcPr>
            <w:tcW w:w="962" w:type="dxa"/>
            <w:tcBorders>
              <w:top w:val="nil"/>
              <w:left w:val="nil"/>
              <w:bottom w:val="single" w:sz="4" w:space="0" w:color="auto"/>
              <w:right w:val="single" w:sz="4" w:space="0" w:color="auto"/>
            </w:tcBorders>
            <w:shd w:val="clear" w:color="000000" w:fill="FFF2CC"/>
            <w:vAlign w:val="center"/>
            <w:hideMark/>
          </w:tcPr>
          <w:p w14:paraId="469AE2F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959,881.97</w:t>
            </w:r>
          </w:p>
        </w:tc>
        <w:tc>
          <w:tcPr>
            <w:tcW w:w="962" w:type="dxa"/>
            <w:tcBorders>
              <w:top w:val="nil"/>
              <w:left w:val="nil"/>
              <w:bottom w:val="single" w:sz="4" w:space="0" w:color="auto"/>
              <w:right w:val="single" w:sz="4" w:space="0" w:color="auto"/>
            </w:tcBorders>
            <w:shd w:val="clear" w:color="000000" w:fill="FFF2CC"/>
            <w:vAlign w:val="center"/>
            <w:hideMark/>
          </w:tcPr>
          <w:p w14:paraId="3F0149E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330,192.64</w:t>
            </w:r>
          </w:p>
        </w:tc>
        <w:tc>
          <w:tcPr>
            <w:tcW w:w="1064" w:type="dxa"/>
            <w:tcBorders>
              <w:top w:val="nil"/>
              <w:left w:val="nil"/>
              <w:bottom w:val="single" w:sz="4" w:space="0" w:color="auto"/>
              <w:right w:val="single" w:sz="4" w:space="0" w:color="auto"/>
            </w:tcBorders>
            <w:shd w:val="clear" w:color="000000" w:fill="FFF2CC"/>
            <w:vAlign w:val="center"/>
            <w:hideMark/>
          </w:tcPr>
          <w:p w14:paraId="2F7C597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1,590,011.62</w:t>
            </w:r>
          </w:p>
        </w:tc>
        <w:tc>
          <w:tcPr>
            <w:tcW w:w="962" w:type="dxa"/>
            <w:tcBorders>
              <w:top w:val="nil"/>
              <w:left w:val="nil"/>
              <w:bottom w:val="single" w:sz="4" w:space="0" w:color="auto"/>
              <w:right w:val="single" w:sz="4" w:space="0" w:color="auto"/>
            </w:tcBorders>
            <w:shd w:val="clear" w:color="000000" w:fill="FFF2CC"/>
            <w:vAlign w:val="center"/>
            <w:hideMark/>
          </w:tcPr>
          <w:p w14:paraId="5081E9F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647,534.82</w:t>
            </w:r>
          </w:p>
        </w:tc>
        <w:tc>
          <w:tcPr>
            <w:tcW w:w="955" w:type="dxa"/>
            <w:tcBorders>
              <w:top w:val="nil"/>
              <w:left w:val="nil"/>
              <w:bottom w:val="single" w:sz="4" w:space="0" w:color="auto"/>
              <w:right w:val="single" w:sz="4" w:space="0" w:color="auto"/>
            </w:tcBorders>
            <w:shd w:val="clear" w:color="000000" w:fill="FFF2CC"/>
            <w:vAlign w:val="center"/>
            <w:hideMark/>
          </w:tcPr>
          <w:p w14:paraId="22F8EB7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114,850.95</w:t>
            </w:r>
          </w:p>
        </w:tc>
        <w:tc>
          <w:tcPr>
            <w:tcW w:w="1217" w:type="dxa"/>
            <w:tcBorders>
              <w:top w:val="nil"/>
              <w:left w:val="nil"/>
              <w:bottom w:val="single" w:sz="4" w:space="0" w:color="auto"/>
              <w:right w:val="single" w:sz="4" w:space="0" w:color="auto"/>
            </w:tcBorders>
            <w:shd w:val="clear" w:color="000000" w:fill="FFF2CC"/>
            <w:vAlign w:val="center"/>
            <w:hideMark/>
          </w:tcPr>
          <w:p w14:paraId="426D119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39,686.96</w:t>
            </w:r>
          </w:p>
        </w:tc>
        <w:tc>
          <w:tcPr>
            <w:tcW w:w="1065" w:type="dxa"/>
            <w:tcBorders>
              <w:top w:val="nil"/>
              <w:left w:val="nil"/>
              <w:bottom w:val="single" w:sz="4" w:space="0" w:color="auto"/>
              <w:right w:val="single" w:sz="4" w:space="0" w:color="auto"/>
            </w:tcBorders>
            <w:shd w:val="clear" w:color="000000" w:fill="FFF2CC"/>
            <w:vAlign w:val="center"/>
            <w:hideMark/>
          </w:tcPr>
          <w:p w14:paraId="6D478E09"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3,682,158.96</w:t>
            </w:r>
          </w:p>
        </w:tc>
      </w:tr>
      <w:tr w:rsidR="00DF6D3F" w:rsidRPr="009E5B39" w14:paraId="2B3D0052" w14:textId="77777777" w:rsidTr="003E291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238FC6B5"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w:t>
            </w:r>
          </w:p>
        </w:tc>
        <w:tc>
          <w:tcPr>
            <w:tcW w:w="1593" w:type="dxa"/>
            <w:tcBorders>
              <w:top w:val="nil"/>
              <w:left w:val="nil"/>
              <w:bottom w:val="single" w:sz="4" w:space="0" w:color="auto"/>
              <w:right w:val="single" w:sz="4" w:space="0" w:color="auto"/>
            </w:tcBorders>
            <w:shd w:val="clear" w:color="auto" w:fill="auto"/>
            <w:vAlign w:val="center"/>
            <w:hideMark/>
          </w:tcPr>
          <w:p w14:paraId="5DC6C7D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DGLCA</w:t>
            </w:r>
          </w:p>
        </w:tc>
        <w:tc>
          <w:tcPr>
            <w:tcW w:w="841" w:type="dxa"/>
            <w:tcBorders>
              <w:top w:val="nil"/>
              <w:left w:val="nil"/>
              <w:bottom w:val="single" w:sz="4" w:space="0" w:color="auto"/>
              <w:right w:val="single" w:sz="4" w:space="0" w:color="auto"/>
            </w:tcBorders>
            <w:shd w:val="clear" w:color="auto" w:fill="auto"/>
            <w:vAlign w:val="center"/>
            <w:hideMark/>
          </w:tcPr>
          <w:p w14:paraId="2DECBAB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1001 - 07284</w:t>
            </w:r>
          </w:p>
        </w:tc>
        <w:tc>
          <w:tcPr>
            <w:tcW w:w="962" w:type="dxa"/>
            <w:tcBorders>
              <w:top w:val="nil"/>
              <w:left w:val="nil"/>
              <w:bottom w:val="single" w:sz="4" w:space="0" w:color="auto"/>
              <w:right w:val="single" w:sz="4" w:space="0" w:color="auto"/>
            </w:tcBorders>
            <w:shd w:val="clear" w:color="auto" w:fill="auto"/>
            <w:vAlign w:val="center"/>
            <w:hideMark/>
          </w:tcPr>
          <w:p w14:paraId="6DC4399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7,417.79</w:t>
            </w:r>
          </w:p>
        </w:tc>
        <w:tc>
          <w:tcPr>
            <w:tcW w:w="962" w:type="dxa"/>
            <w:tcBorders>
              <w:top w:val="nil"/>
              <w:left w:val="nil"/>
              <w:bottom w:val="single" w:sz="4" w:space="0" w:color="auto"/>
              <w:right w:val="single" w:sz="4" w:space="0" w:color="auto"/>
            </w:tcBorders>
            <w:shd w:val="clear" w:color="auto" w:fill="auto"/>
            <w:vAlign w:val="center"/>
            <w:hideMark/>
          </w:tcPr>
          <w:p w14:paraId="1BE1AB9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4,348.10</w:t>
            </w:r>
          </w:p>
        </w:tc>
        <w:tc>
          <w:tcPr>
            <w:tcW w:w="1064" w:type="dxa"/>
            <w:tcBorders>
              <w:top w:val="nil"/>
              <w:left w:val="nil"/>
              <w:bottom w:val="single" w:sz="4" w:space="0" w:color="auto"/>
              <w:right w:val="single" w:sz="4" w:space="0" w:color="auto"/>
            </w:tcBorders>
            <w:shd w:val="clear" w:color="auto" w:fill="auto"/>
            <w:vAlign w:val="center"/>
            <w:hideMark/>
          </w:tcPr>
          <w:p w14:paraId="3B80D55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58852C6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0804E49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3EC2AD7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6,496.84</w:t>
            </w:r>
          </w:p>
        </w:tc>
        <w:tc>
          <w:tcPr>
            <w:tcW w:w="1065" w:type="dxa"/>
            <w:tcBorders>
              <w:top w:val="nil"/>
              <w:left w:val="nil"/>
              <w:bottom w:val="single" w:sz="4" w:space="0" w:color="auto"/>
              <w:right w:val="single" w:sz="4" w:space="0" w:color="auto"/>
            </w:tcBorders>
            <w:shd w:val="clear" w:color="000000" w:fill="FFF2CC"/>
            <w:vAlign w:val="center"/>
            <w:hideMark/>
          </w:tcPr>
          <w:p w14:paraId="4D8610BD"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18,262.73</w:t>
            </w:r>
          </w:p>
        </w:tc>
      </w:tr>
      <w:tr w:rsidR="00DF6D3F" w:rsidRPr="009E5B39" w14:paraId="63F198D0"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E422593"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w:t>
            </w:r>
          </w:p>
        </w:tc>
        <w:tc>
          <w:tcPr>
            <w:tcW w:w="1593" w:type="dxa"/>
            <w:tcBorders>
              <w:top w:val="nil"/>
              <w:left w:val="nil"/>
              <w:bottom w:val="single" w:sz="4" w:space="0" w:color="auto"/>
              <w:right w:val="single" w:sz="4" w:space="0" w:color="auto"/>
            </w:tcBorders>
            <w:shd w:val="clear" w:color="auto" w:fill="auto"/>
            <w:vAlign w:val="center"/>
            <w:hideMark/>
          </w:tcPr>
          <w:p w14:paraId="2AA865C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Pretura sectorului Botanica</w:t>
            </w:r>
          </w:p>
        </w:tc>
        <w:tc>
          <w:tcPr>
            <w:tcW w:w="841" w:type="dxa"/>
            <w:tcBorders>
              <w:top w:val="nil"/>
              <w:left w:val="nil"/>
              <w:bottom w:val="single" w:sz="4" w:space="0" w:color="auto"/>
              <w:right w:val="single" w:sz="4" w:space="0" w:color="auto"/>
            </w:tcBorders>
            <w:shd w:val="clear" w:color="auto" w:fill="auto"/>
            <w:vAlign w:val="center"/>
            <w:hideMark/>
          </w:tcPr>
          <w:p w14:paraId="1956247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1001 - 07290</w:t>
            </w:r>
          </w:p>
        </w:tc>
        <w:tc>
          <w:tcPr>
            <w:tcW w:w="962" w:type="dxa"/>
            <w:tcBorders>
              <w:top w:val="nil"/>
              <w:left w:val="nil"/>
              <w:bottom w:val="single" w:sz="4" w:space="0" w:color="auto"/>
              <w:right w:val="single" w:sz="4" w:space="0" w:color="auto"/>
            </w:tcBorders>
            <w:shd w:val="clear" w:color="auto" w:fill="auto"/>
            <w:vAlign w:val="center"/>
            <w:hideMark/>
          </w:tcPr>
          <w:p w14:paraId="18C0DB0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399F0BB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2591F8A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6BFBD6F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3773589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5F1B5B9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217.00</w:t>
            </w:r>
          </w:p>
        </w:tc>
        <w:tc>
          <w:tcPr>
            <w:tcW w:w="1065" w:type="dxa"/>
            <w:tcBorders>
              <w:top w:val="nil"/>
              <w:left w:val="nil"/>
              <w:bottom w:val="single" w:sz="4" w:space="0" w:color="auto"/>
              <w:right w:val="single" w:sz="4" w:space="0" w:color="auto"/>
            </w:tcBorders>
            <w:shd w:val="clear" w:color="000000" w:fill="FFF2CC"/>
            <w:vAlign w:val="center"/>
            <w:hideMark/>
          </w:tcPr>
          <w:p w14:paraId="3794D664"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217.00</w:t>
            </w:r>
          </w:p>
        </w:tc>
      </w:tr>
      <w:tr w:rsidR="00DF6D3F" w:rsidRPr="009E5B39" w14:paraId="66C5B063"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46803F46"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w:t>
            </w:r>
          </w:p>
        </w:tc>
        <w:tc>
          <w:tcPr>
            <w:tcW w:w="1593" w:type="dxa"/>
            <w:tcBorders>
              <w:top w:val="nil"/>
              <w:left w:val="nil"/>
              <w:bottom w:val="single" w:sz="4" w:space="0" w:color="auto"/>
              <w:right w:val="single" w:sz="4" w:space="0" w:color="auto"/>
            </w:tcBorders>
            <w:shd w:val="clear" w:color="auto" w:fill="auto"/>
            <w:vAlign w:val="center"/>
            <w:hideMark/>
          </w:tcPr>
          <w:p w14:paraId="410846DB" w14:textId="0AA31301"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Pretura sectorului R</w:t>
            </w:r>
            <w:r w:rsidR="00EC524A" w:rsidRPr="009E5B39">
              <w:rPr>
                <w:rFonts w:asciiTheme="majorHAnsi" w:eastAsia="Times New Roman" w:hAnsiTheme="majorHAnsi" w:cstheme="majorHAnsi"/>
                <w:sz w:val="16"/>
                <w:szCs w:val="16"/>
                <w:lang w:val="ro-MD"/>
              </w:rPr>
              <w:t>î</w:t>
            </w:r>
            <w:r w:rsidRPr="009E5B39">
              <w:rPr>
                <w:rFonts w:asciiTheme="majorHAnsi" w:eastAsia="Times New Roman" w:hAnsiTheme="majorHAnsi" w:cstheme="majorHAnsi"/>
                <w:sz w:val="16"/>
                <w:szCs w:val="16"/>
                <w:lang w:val="ro-MD"/>
              </w:rPr>
              <w:t>șcani</w:t>
            </w:r>
          </w:p>
        </w:tc>
        <w:tc>
          <w:tcPr>
            <w:tcW w:w="841" w:type="dxa"/>
            <w:tcBorders>
              <w:top w:val="nil"/>
              <w:left w:val="nil"/>
              <w:bottom w:val="single" w:sz="4" w:space="0" w:color="auto"/>
              <w:right w:val="single" w:sz="4" w:space="0" w:color="auto"/>
            </w:tcBorders>
            <w:shd w:val="clear" w:color="auto" w:fill="auto"/>
            <w:vAlign w:val="center"/>
            <w:hideMark/>
          </w:tcPr>
          <w:p w14:paraId="7593250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1001 - 07355</w:t>
            </w:r>
          </w:p>
        </w:tc>
        <w:tc>
          <w:tcPr>
            <w:tcW w:w="962" w:type="dxa"/>
            <w:tcBorders>
              <w:top w:val="nil"/>
              <w:left w:val="nil"/>
              <w:bottom w:val="single" w:sz="4" w:space="0" w:color="auto"/>
              <w:right w:val="single" w:sz="4" w:space="0" w:color="auto"/>
            </w:tcBorders>
            <w:shd w:val="clear" w:color="auto" w:fill="auto"/>
            <w:vAlign w:val="center"/>
            <w:hideMark/>
          </w:tcPr>
          <w:p w14:paraId="28FFBBA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75CFE91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442DD9E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2E0CE50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3FBC332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3202928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6,237.14</w:t>
            </w:r>
          </w:p>
        </w:tc>
        <w:tc>
          <w:tcPr>
            <w:tcW w:w="1065" w:type="dxa"/>
            <w:tcBorders>
              <w:top w:val="nil"/>
              <w:left w:val="nil"/>
              <w:bottom w:val="single" w:sz="4" w:space="0" w:color="auto"/>
              <w:right w:val="single" w:sz="4" w:space="0" w:color="auto"/>
            </w:tcBorders>
            <w:shd w:val="clear" w:color="000000" w:fill="FFF2CC"/>
            <w:vAlign w:val="center"/>
            <w:hideMark/>
          </w:tcPr>
          <w:p w14:paraId="27BBB2C3"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6,237.14</w:t>
            </w:r>
          </w:p>
        </w:tc>
      </w:tr>
      <w:tr w:rsidR="00DF6D3F" w:rsidRPr="009E5B39" w14:paraId="2099543B"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490CC618"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w:t>
            </w:r>
          </w:p>
        </w:tc>
        <w:tc>
          <w:tcPr>
            <w:tcW w:w="1593" w:type="dxa"/>
            <w:tcBorders>
              <w:top w:val="nil"/>
              <w:left w:val="nil"/>
              <w:bottom w:val="single" w:sz="4" w:space="0" w:color="auto"/>
              <w:right w:val="single" w:sz="4" w:space="0" w:color="auto"/>
            </w:tcBorders>
            <w:shd w:val="clear" w:color="auto" w:fill="auto"/>
            <w:vAlign w:val="center"/>
            <w:hideMark/>
          </w:tcPr>
          <w:p w14:paraId="0A18516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Pretura sectorului Buiucani</w:t>
            </w:r>
          </w:p>
        </w:tc>
        <w:tc>
          <w:tcPr>
            <w:tcW w:w="841" w:type="dxa"/>
            <w:tcBorders>
              <w:top w:val="nil"/>
              <w:left w:val="nil"/>
              <w:bottom w:val="single" w:sz="4" w:space="0" w:color="auto"/>
              <w:right w:val="single" w:sz="4" w:space="0" w:color="auto"/>
            </w:tcBorders>
            <w:shd w:val="clear" w:color="auto" w:fill="auto"/>
            <w:vAlign w:val="center"/>
            <w:hideMark/>
          </w:tcPr>
          <w:p w14:paraId="61F879BE"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1001 - 07413</w:t>
            </w:r>
          </w:p>
        </w:tc>
        <w:tc>
          <w:tcPr>
            <w:tcW w:w="962" w:type="dxa"/>
            <w:tcBorders>
              <w:top w:val="nil"/>
              <w:left w:val="nil"/>
              <w:bottom w:val="single" w:sz="4" w:space="0" w:color="auto"/>
              <w:right w:val="single" w:sz="4" w:space="0" w:color="auto"/>
            </w:tcBorders>
            <w:shd w:val="clear" w:color="auto" w:fill="auto"/>
            <w:vAlign w:val="center"/>
            <w:hideMark/>
          </w:tcPr>
          <w:p w14:paraId="1463623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43BC8D6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338ABBE8"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6C57924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7694070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27DDC7B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11.58</w:t>
            </w:r>
          </w:p>
        </w:tc>
        <w:tc>
          <w:tcPr>
            <w:tcW w:w="1065" w:type="dxa"/>
            <w:tcBorders>
              <w:top w:val="nil"/>
              <w:left w:val="nil"/>
              <w:bottom w:val="single" w:sz="4" w:space="0" w:color="auto"/>
              <w:right w:val="single" w:sz="4" w:space="0" w:color="auto"/>
            </w:tcBorders>
            <w:shd w:val="clear" w:color="000000" w:fill="FFF2CC"/>
            <w:vAlign w:val="center"/>
            <w:hideMark/>
          </w:tcPr>
          <w:p w14:paraId="0244B325"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11.58</w:t>
            </w:r>
          </w:p>
        </w:tc>
      </w:tr>
      <w:tr w:rsidR="00DF6D3F" w:rsidRPr="009E5B39" w14:paraId="0ABF50DE"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35412158"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5</w:t>
            </w:r>
          </w:p>
        </w:tc>
        <w:tc>
          <w:tcPr>
            <w:tcW w:w="1593" w:type="dxa"/>
            <w:tcBorders>
              <w:top w:val="nil"/>
              <w:left w:val="nil"/>
              <w:bottom w:val="single" w:sz="4" w:space="0" w:color="auto"/>
              <w:right w:val="single" w:sz="4" w:space="0" w:color="auto"/>
            </w:tcBorders>
            <w:shd w:val="clear" w:color="auto" w:fill="auto"/>
            <w:vAlign w:val="center"/>
            <w:hideMark/>
          </w:tcPr>
          <w:p w14:paraId="1EA9098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Pretura sectorului Centru</w:t>
            </w:r>
          </w:p>
        </w:tc>
        <w:tc>
          <w:tcPr>
            <w:tcW w:w="841" w:type="dxa"/>
            <w:tcBorders>
              <w:top w:val="nil"/>
              <w:left w:val="nil"/>
              <w:bottom w:val="single" w:sz="4" w:space="0" w:color="auto"/>
              <w:right w:val="single" w:sz="4" w:space="0" w:color="auto"/>
            </w:tcBorders>
            <w:shd w:val="clear" w:color="auto" w:fill="auto"/>
            <w:vAlign w:val="center"/>
            <w:hideMark/>
          </w:tcPr>
          <w:p w14:paraId="55DE8037"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1001 - 07498</w:t>
            </w:r>
          </w:p>
        </w:tc>
        <w:tc>
          <w:tcPr>
            <w:tcW w:w="962" w:type="dxa"/>
            <w:tcBorders>
              <w:top w:val="nil"/>
              <w:left w:val="nil"/>
              <w:bottom w:val="single" w:sz="4" w:space="0" w:color="auto"/>
              <w:right w:val="single" w:sz="4" w:space="0" w:color="auto"/>
            </w:tcBorders>
            <w:shd w:val="clear" w:color="auto" w:fill="auto"/>
            <w:vAlign w:val="center"/>
            <w:hideMark/>
          </w:tcPr>
          <w:p w14:paraId="53E99C7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44245CF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420E6FF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26,648.75</w:t>
            </w:r>
          </w:p>
        </w:tc>
        <w:tc>
          <w:tcPr>
            <w:tcW w:w="962" w:type="dxa"/>
            <w:tcBorders>
              <w:top w:val="nil"/>
              <w:left w:val="nil"/>
              <w:bottom w:val="single" w:sz="4" w:space="0" w:color="auto"/>
              <w:right w:val="single" w:sz="4" w:space="0" w:color="auto"/>
            </w:tcBorders>
            <w:shd w:val="clear" w:color="auto" w:fill="auto"/>
            <w:vAlign w:val="center"/>
            <w:hideMark/>
          </w:tcPr>
          <w:p w14:paraId="3EEAAF4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4C52E80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572.00</w:t>
            </w:r>
          </w:p>
        </w:tc>
        <w:tc>
          <w:tcPr>
            <w:tcW w:w="1217" w:type="dxa"/>
            <w:tcBorders>
              <w:top w:val="nil"/>
              <w:left w:val="nil"/>
              <w:bottom w:val="single" w:sz="4" w:space="0" w:color="auto"/>
              <w:right w:val="single" w:sz="4" w:space="0" w:color="auto"/>
            </w:tcBorders>
            <w:shd w:val="clear" w:color="auto" w:fill="auto"/>
            <w:vAlign w:val="center"/>
            <w:hideMark/>
          </w:tcPr>
          <w:p w14:paraId="239BEE9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301E0555"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27,220.75</w:t>
            </w:r>
          </w:p>
        </w:tc>
      </w:tr>
      <w:tr w:rsidR="00DF6D3F" w:rsidRPr="009E5B39" w14:paraId="1551E58C"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688E16F5"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6</w:t>
            </w:r>
          </w:p>
        </w:tc>
        <w:tc>
          <w:tcPr>
            <w:tcW w:w="1593" w:type="dxa"/>
            <w:tcBorders>
              <w:top w:val="nil"/>
              <w:left w:val="nil"/>
              <w:bottom w:val="single" w:sz="4" w:space="0" w:color="auto"/>
              <w:right w:val="single" w:sz="4" w:space="0" w:color="auto"/>
            </w:tcBorders>
            <w:shd w:val="clear" w:color="auto" w:fill="auto"/>
            <w:vAlign w:val="center"/>
            <w:hideMark/>
          </w:tcPr>
          <w:p w14:paraId="2E13ABB1"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„Mircea Eliade”</w:t>
            </w:r>
          </w:p>
        </w:tc>
        <w:tc>
          <w:tcPr>
            <w:tcW w:w="841" w:type="dxa"/>
            <w:tcBorders>
              <w:top w:val="nil"/>
              <w:left w:val="nil"/>
              <w:bottom w:val="single" w:sz="4" w:space="0" w:color="auto"/>
              <w:right w:val="single" w:sz="4" w:space="0" w:color="auto"/>
            </w:tcBorders>
            <w:shd w:val="clear" w:color="auto" w:fill="auto"/>
            <w:vAlign w:val="center"/>
            <w:hideMark/>
          </w:tcPr>
          <w:p w14:paraId="43AE745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1001 - 14204</w:t>
            </w:r>
          </w:p>
        </w:tc>
        <w:tc>
          <w:tcPr>
            <w:tcW w:w="962" w:type="dxa"/>
            <w:tcBorders>
              <w:top w:val="nil"/>
              <w:left w:val="nil"/>
              <w:bottom w:val="single" w:sz="4" w:space="0" w:color="auto"/>
              <w:right w:val="single" w:sz="4" w:space="0" w:color="auto"/>
            </w:tcBorders>
            <w:shd w:val="clear" w:color="auto" w:fill="auto"/>
            <w:vAlign w:val="center"/>
            <w:hideMark/>
          </w:tcPr>
          <w:p w14:paraId="16B26C6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34,078.45</w:t>
            </w:r>
          </w:p>
        </w:tc>
        <w:tc>
          <w:tcPr>
            <w:tcW w:w="962" w:type="dxa"/>
            <w:tcBorders>
              <w:top w:val="nil"/>
              <w:left w:val="nil"/>
              <w:bottom w:val="single" w:sz="4" w:space="0" w:color="auto"/>
              <w:right w:val="single" w:sz="4" w:space="0" w:color="auto"/>
            </w:tcBorders>
            <w:shd w:val="clear" w:color="auto" w:fill="auto"/>
            <w:vAlign w:val="center"/>
            <w:hideMark/>
          </w:tcPr>
          <w:p w14:paraId="55F463E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1BA8BA1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135,033.59</w:t>
            </w:r>
          </w:p>
        </w:tc>
        <w:tc>
          <w:tcPr>
            <w:tcW w:w="962" w:type="dxa"/>
            <w:tcBorders>
              <w:top w:val="nil"/>
              <w:left w:val="nil"/>
              <w:bottom w:val="single" w:sz="4" w:space="0" w:color="auto"/>
              <w:right w:val="single" w:sz="4" w:space="0" w:color="auto"/>
            </w:tcBorders>
            <w:shd w:val="clear" w:color="auto" w:fill="auto"/>
            <w:vAlign w:val="center"/>
            <w:hideMark/>
          </w:tcPr>
          <w:p w14:paraId="32F871F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18,754.73</w:t>
            </w:r>
          </w:p>
        </w:tc>
        <w:tc>
          <w:tcPr>
            <w:tcW w:w="955" w:type="dxa"/>
            <w:tcBorders>
              <w:top w:val="nil"/>
              <w:left w:val="nil"/>
              <w:bottom w:val="single" w:sz="4" w:space="0" w:color="auto"/>
              <w:right w:val="single" w:sz="4" w:space="0" w:color="auto"/>
            </w:tcBorders>
            <w:shd w:val="clear" w:color="auto" w:fill="auto"/>
            <w:vAlign w:val="center"/>
            <w:hideMark/>
          </w:tcPr>
          <w:p w14:paraId="003876C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11329C8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5DAB726F"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187,866.77</w:t>
            </w:r>
          </w:p>
        </w:tc>
      </w:tr>
      <w:tr w:rsidR="00DF6D3F" w:rsidRPr="009E5B39" w14:paraId="1638EE1A"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1DFF405"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7</w:t>
            </w:r>
          </w:p>
        </w:tc>
        <w:tc>
          <w:tcPr>
            <w:tcW w:w="1593" w:type="dxa"/>
            <w:tcBorders>
              <w:top w:val="nil"/>
              <w:left w:val="nil"/>
              <w:bottom w:val="single" w:sz="4" w:space="0" w:color="auto"/>
              <w:right w:val="single" w:sz="4" w:space="0" w:color="auto"/>
            </w:tcBorders>
            <w:shd w:val="clear" w:color="auto" w:fill="auto"/>
            <w:vAlign w:val="center"/>
            <w:hideMark/>
          </w:tcPr>
          <w:p w14:paraId="07A11439"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„Alexandr Puşkin”</w:t>
            </w:r>
          </w:p>
        </w:tc>
        <w:tc>
          <w:tcPr>
            <w:tcW w:w="841" w:type="dxa"/>
            <w:tcBorders>
              <w:top w:val="nil"/>
              <w:left w:val="nil"/>
              <w:bottom w:val="single" w:sz="4" w:space="0" w:color="auto"/>
              <w:right w:val="single" w:sz="4" w:space="0" w:color="auto"/>
            </w:tcBorders>
            <w:shd w:val="clear" w:color="auto" w:fill="auto"/>
            <w:vAlign w:val="center"/>
            <w:hideMark/>
          </w:tcPr>
          <w:p w14:paraId="49918F39"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1001 - 14205</w:t>
            </w:r>
          </w:p>
        </w:tc>
        <w:tc>
          <w:tcPr>
            <w:tcW w:w="962" w:type="dxa"/>
            <w:tcBorders>
              <w:top w:val="nil"/>
              <w:left w:val="nil"/>
              <w:bottom w:val="single" w:sz="4" w:space="0" w:color="auto"/>
              <w:right w:val="single" w:sz="4" w:space="0" w:color="auto"/>
            </w:tcBorders>
            <w:shd w:val="clear" w:color="auto" w:fill="auto"/>
            <w:vAlign w:val="center"/>
            <w:hideMark/>
          </w:tcPr>
          <w:p w14:paraId="7030573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098F8C0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62FC1D3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11,592.97</w:t>
            </w:r>
          </w:p>
        </w:tc>
        <w:tc>
          <w:tcPr>
            <w:tcW w:w="962" w:type="dxa"/>
            <w:tcBorders>
              <w:top w:val="nil"/>
              <w:left w:val="nil"/>
              <w:bottom w:val="single" w:sz="4" w:space="0" w:color="auto"/>
              <w:right w:val="single" w:sz="4" w:space="0" w:color="auto"/>
            </w:tcBorders>
            <w:shd w:val="clear" w:color="auto" w:fill="auto"/>
            <w:vAlign w:val="center"/>
            <w:hideMark/>
          </w:tcPr>
          <w:p w14:paraId="7CF8DE8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6,683.22</w:t>
            </w:r>
          </w:p>
        </w:tc>
        <w:tc>
          <w:tcPr>
            <w:tcW w:w="955" w:type="dxa"/>
            <w:tcBorders>
              <w:top w:val="nil"/>
              <w:left w:val="nil"/>
              <w:bottom w:val="single" w:sz="4" w:space="0" w:color="auto"/>
              <w:right w:val="single" w:sz="4" w:space="0" w:color="auto"/>
            </w:tcBorders>
            <w:shd w:val="clear" w:color="auto" w:fill="auto"/>
            <w:vAlign w:val="center"/>
            <w:hideMark/>
          </w:tcPr>
          <w:p w14:paraId="727DD94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61064D5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4.90</w:t>
            </w:r>
          </w:p>
        </w:tc>
        <w:tc>
          <w:tcPr>
            <w:tcW w:w="1065" w:type="dxa"/>
            <w:tcBorders>
              <w:top w:val="nil"/>
              <w:left w:val="nil"/>
              <w:bottom w:val="single" w:sz="4" w:space="0" w:color="auto"/>
              <w:right w:val="single" w:sz="4" w:space="0" w:color="auto"/>
            </w:tcBorders>
            <w:shd w:val="clear" w:color="000000" w:fill="FFF2CC"/>
            <w:vAlign w:val="center"/>
            <w:hideMark/>
          </w:tcPr>
          <w:p w14:paraId="49D1F1E0"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18,281.09</w:t>
            </w:r>
          </w:p>
        </w:tc>
      </w:tr>
      <w:tr w:rsidR="00DF6D3F" w:rsidRPr="009E5B39" w14:paraId="39AE03CC"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2113191D"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8</w:t>
            </w:r>
          </w:p>
        </w:tc>
        <w:tc>
          <w:tcPr>
            <w:tcW w:w="1593" w:type="dxa"/>
            <w:tcBorders>
              <w:top w:val="nil"/>
              <w:left w:val="nil"/>
              <w:bottom w:val="single" w:sz="4" w:space="0" w:color="auto"/>
              <w:right w:val="single" w:sz="4" w:space="0" w:color="auto"/>
            </w:tcBorders>
            <w:shd w:val="clear" w:color="auto" w:fill="auto"/>
            <w:vAlign w:val="center"/>
            <w:hideMark/>
          </w:tcPr>
          <w:p w14:paraId="74B733D1"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„Spiru Haret”</w:t>
            </w:r>
          </w:p>
        </w:tc>
        <w:tc>
          <w:tcPr>
            <w:tcW w:w="841" w:type="dxa"/>
            <w:tcBorders>
              <w:top w:val="nil"/>
              <w:left w:val="nil"/>
              <w:bottom w:val="single" w:sz="4" w:space="0" w:color="auto"/>
              <w:right w:val="single" w:sz="4" w:space="0" w:color="auto"/>
            </w:tcBorders>
            <w:shd w:val="clear" w:color="auto" w:fill="auto"/>
            <w:vAlign w:val="center"/>
            <w:hideMark/>
          </w:tcPr>
          <w:p w14:paraId="334BC14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1001 - 14207</w:t>
            </w:r>
          </w:p>
        </w:tc>
        <w:tc>
          <w:tcPr>
            <w:tcW w:w="962" w:type="dxa"/>
            <w:tcBorders>
              <w:top w:val="nil"/>
              <w:left w:val="nil"/>
              <w:bottom w:val="single" w:sz="4" w:space="0" w:color="auto"/>
              <w:right w:val="single" w:sz="4" w:space="0" w:color="auto"/>
            </w:tcBorders>
            <w:shd w:val="clear" w:color="auto" w:fill="auto"/>
            <w:vAlign w:val="center"/>
            <w:hideMark/>
          </w:tcPr>
          <w:p w14:paraId="7C4381D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44D9BB6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6FF80AA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19BDA28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1B0FEFD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4D705E0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632.88</w:t>
            </w:r>
          </w:p>
        </w:tc>
        <w:tc>
          <w:tcPr>
            <w:tcW w:w="1065" w:type="dxa"/>
            <w:tcBorders>
              <w:top w:val="nil"/>
              <w:left w:val="nil"/>
              <w:bottom w:val="single" w:sz="4" w:space="0" w:color="auto"/>
              <w:right w:val="single" w:sz="4" w:space="0" w:color="auto"/>
            </w:tcBorders>
            <w:shd w:val="clear" w:color="000000" w:fill="FFF2CC"/>
            <w:vAlign w:val="center"/>
            <w:hideMark/>
          </w:tcPr>
          <w:p w14:paraId="6AD2F280"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632.88</w:t>
            </w:r>
          </w:p>
        </w:tc>
      </w:tr>
      <w:tr w:rsidR="00DF6D3F" w:rsidRPr="009E5B39" w14:paraId="5AACCEC5" w14:textId="77777777" w:rsidTr="003E291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63D48724"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9</w:t>
            </w:r>
          </w:p>
        </w:tc>
        <w:tc>
          <w:tcPr>
            <w:tcW w:w="1593" w:type="dxa"/>
            <w:tcBorders>
              <w:top w:val="nil"/>
              <w:left w:val="nil"/>
              <w:bottom w:val="single" w:sz="4" w:space="0" w:color="auto"/>
              <w:right w:val="single" w:sz="4" w:space="0" w:color="auto"/>
            </w:tcBorders>
            <w:shd w:val="clear" w:color="auto" w:fill="auto"/>
            <w:vAlign w:val="center"/>
            <w:hideMark/>
          </w:tcPr>
          <w:p w14:paraId="6B516EB4"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Şcoala-grădiniță nr.152 „Pas cu pas”</w:t>
            </w:r>
          </w:p>
        </w:tc>
        <w:tc>
          <w:tcPr>
            <w:tcW w:w="841" w:type="dxa"/>
            <w:tcBorders>
              <w:top w:val="nil"/>
              <w:left w:val="nil"/>
              <w:bottom w:val="single" w:sz="4" w:space="0" w:color="auto"/>
              <w:right w:val="single" w:sz="4" w:space="0" w:color="auto"/>
            </w:tcBorders>
            <w:shd w:val="clear" w:color="auto" w:fill="auto"/>
            <w:vAlign w:val="center"/>
            <w:hideMark/>
          </w:tcPr>
          <w:p w14:paraId="2E10EE8C"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1001 - 14208</w:t>
            </w:r>
          </w:p>
        </w:tc>
        <w:tc>
          <w:tcPr>
            <w:tcW w:w="962" w:type="dxa"/>
            <w:tcBorders>
              <w:top w:val="nil"/>
              <w:left w:val="nil"/>
              <w:bottom w:val="single" w:sz="4" w:space="0" w:color="auto"/>
              <w:right w:val="single" w:sz="4" w:space="0" w:color="auto"/>
            </w:tcBorders>
            <w:shd w:val="clear" w:color="auto" w:fill="auto"/>
            <w:vAlign w:val="center"/>
            <w:hideMark/>
          </w:tcPr>
          <w:p w14:paraId="5A9C2DC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117,579.46</w:t>
            </w:r>
          </w:p>
        </w:tc>
        <w:tc>
          <w:tcPr>
            <w:tcW w:w="962" w:type="dxa"/>
            <w:tcBorders>
              <w:top w:val="nil"/>
              <w:left w:val="nil"/>
              <w:bottom w:val="single" w:sz="4" w:space="0" w:color="auto"/>
              <w:right w:val="single" w:sz="4" w:space="0" w:color="auto"/>
            </w:tcBorders>
            <w:shd w:val="clear" w:color="auto" w:fill="auto"/>
            <w:vAlign w:val="center"/>
            <w:hideMark/>
          </w:tcPr>
          <w:p w14:paraId="3494F89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5212B09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320E9AD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24,349.57</w:t>
            </w:r>
          </w:p>
        </w:tc>
        <w:tc>
          <w:tcPr>
            <w:tcW w:w="955" w:type="dxa"/>
            <w:tcBorders>
              <w:top w:val="nil"/>
              <w:left w:val="nil"/>
              <w:bottom w:val="single" w:sz="4" w:space="0" w:color="auto"/>
              <w:right w:val="single" w:sz="4" w:space="0" w:color="auto"/>
            </w:tcBorders>
            <w:shd w:val="clear" w:color="auto" w:fill="auto"/>
            <w:vAlign w:val="center"/>
            <w:hideMark/>
          </w:tcPr>
          <w:p w14:paraId="7556936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1,186.18</w:t>
            </w:r>
          </w:p>
        </w:tc>
        <w:tc>
          <w:tcPr>
            <w:tcW w:w="1217" w:type="dxa"/>
            <w:tcBorders>
              <w:top w:val="nil"/>
              <w:left w:val="nil"/>
              <w:bottom w:val="single" w:sz="4" w:space="0" w:color="auto"/>
              <w:right w:val="single" w:sz="4" w:space="0" w:color="auto"/>
            </w:tcBorders>
            <w:shd w:val="clear" w:color="auto" w:fill="auto"/>
            <w:vAlign w:val="center"/>
            <w:hideMark/>
          </w:tcPr>
          <w:p w14:paraId="1561AED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4,461.35</w:t>
            </w:r>
          </w:p>
        </w:tc>
        <w:tc>
          <w:tcPr>
            <w:tcW w:w="1065" w:type="dxa"/>
            <w:tcBorders>
              <w:top w:val="nil"/>
              <w:left w:val="nil"/>
              <w:bottom w:val="single" w:sz="4" w:space="0" w:color="auto"/>
              <w:right w:val="single" w:sz="4" w:space="0" w:color="auto"/>
            </w:tcBorders>
            <w:shd w:val="clear" w:color="000000" w:fill="FFF2CC"/>
            <w:vAlign w:val="center"/>
            <w:hideMark/>
          </w:tcPr>
          <w:p w14:paraId="5F7D081B"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147,576.56</w:t>
            </w:r>
          </w:p>
        </w:tc>
      </w:tr>
      <w:tr w:rsidR="00DF6D3F" w:rsidRPr="009E5B39" w14:paraId="0FD1D5E3"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3285490A"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10</w:t>
            </w:r>
          </w:p>
        </w:tc>
        <w:tc>
          <w:tcPr>
            <w:tcW w:w="1593" w:type="dxa"/>
            <w:tcBorders>
              <w:top w:val="nil"/>
              <w:left w:val="nil"/>
              <w:bottom w:val="single" w:sz="4" w:space="0" w:color="auto"/>
              <w:right w:val="single" w:sz="4" w:space="0" w:color="auto"/>
            </w:tcBorders>
            <w:shd w:val="clear" w:color="auto" w:fill="auto"/>
            <w:vAlign w:val="center"/>
            <w:hideMark/>
          </w:tcPr>
          <w:p w14:paraId="3E4FC69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„Liviu Rebreanu”</w:t>
            </w:r>
          </w:p>
        </w:tc>
        <w:tc>
          <w:tcPr>
            <w:tcW w:w="841" w:type="dxa"/>
            <w:tcBorders>
              <w:top w:val="nil"/>
              <w:left w:val="nil"/>
              <w:bottom w:val="single" w:sz="4" w:space="0" w:color="auto"/>
              <w:right w:val="single" w:sz="4" w:space="0" w:color="auto"/>
            </w:tcBorders>
            <w:shd w:val="clear" w:color="auto" w:fill="auto"/>
            <w:vAlign w:val="center"/>
            <w:hideMark/>
          </w:tcPr>
          <w:p w14:paraId="1581A2E3"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1001 - 14209</w:t>
            </w:r>
          </w:p>
        </w:tc>
        <w:tc>
          <w:tcPr>
            <w:tcW w:w="962" w:type="dxa"/>
            <w:tcBorders>
              <w:top w:val="nil"/>
              <w:left w:val="nil"/>
              <w:bottom w:val="single" w:sz="4" w:space="0" w:color="auto"/>
              <w:right w:val="single" w:sz="4" w:space="0" w:color="auto"/>
            </w:tcBorders>
            <w:shd w:val="clear" w:color="auto" w:fill="auto"/>
            <w:vAlign w:val="center"/>
            <w:hideMark/>
          </w:tcPr>
          <w:p w14:paraId="29529BC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128.65</w:t>
            </w:r>
          </w:p>
        </w:tc>
        <w:tc>
          <w:tcPr>
            <w:tcW w:w="962" w:type="dxa"/>
            <w:tcBorders>
              <w:top w:val="nil"/>
              <w:left w:val="nil"/>
              <w:bottom w:val="single" w:sz="4" w:space="0" w:color="auto"/>
              <w:right w:val="single" w:sz="4" w:space="0" w:color="auto"/>
            </w:tcBorders>
            <w:shd w:val="clear" w:color="auto" w:fill="auto"/>
            <w:vAlign w:val="center"/>
            <w:hideMark/>
          </w:tcPr>
          <w:p w14:paraId="612E2B4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433F3FC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6C7E67D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32.74</w:t>
            </w:r>
          </w:p>
        </w:tc>
        <w:tc>
          <w:tcPr>
            <w:tcW w:w="955" w:type="dxa"/>
            <w:tcBorders>
              <w:top w:val="nil"/>
              <w:left w:val="nil"/>
              <w:bottom w:val="single" w:sz="4" w:space="0" w:color="auto"/>
              <w:right w:val="single" w:sz="4" w:space="0" w:color="auto"/>
            </w:tcBorders>
            <w:shd w:val="clear" w:color="auto" w:fill="auto"/>
            <w:vAlign w:val="center"/>
            <w:hideMark/>
          </w:tcPr>
          <w:p w14:paraId="4863A0C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122.00</w:t>
            </w:r>
          </w:p>
        </w:tc>
        <w:tc>
          <w:tcPr>
            <w:tcW w:w="1217" w:type="dxa"/>
            <w:tcBorders>
              <w:top w:val="nil"/>
              <w:left w:val="nil"/>
              <w:bottom w:val="single" w:sz="4" w:space="0" w:color="auto"/>
              <w:right w:val="single" w:sz="4" w:space="0" w:color="auto"/>
            </w:tcBorders>
            <w:shd w:val="clear" w:color="auto" w:fill="auto"/>
            <w:vAlign w:val="center"/>
            <w:hideMark/>
          </w:tcPr>
          <w:p w14:paraId="311C4A0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398.06</w:t>
            </w:r>
          </w:p>
        </w:tc>
        <w:tc>
          <w:tcPr>
            <w:tcW w:w="1065" w:type="dxa"/>
            <w:tcBorders>
              <w:top w:val="nil"/>
              <w:left w:val="nil"/>
              <w:bottom w:val="single" w:sz="4" w:space="0" w:color="auto"/>
              <w:right w:val="single" w:sz="4" w:space="0" w:color="auto"/>
            </w:tcBorders>
            <w:shd w:val="clear" w:color="000000" w:fill="FFF2CC"/>
            <w:vAlign w:val="center"/>
            <w:hideMark/>
          </w:tcPr>
          <w:p w14:paraId="25502CC2"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681.45</w:t>
            </w:r>
          </w:p>
        </w:tc>
      </w:tr>
      <w:tr w:rsidR="00DF6D3F" w:rsidRPr="009E5B39" w14:paraId="3DE42BD4" w14:textId="77777777" w:rsidTr="003E291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0071CEA"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11</w:t>
            </w:r>
          </w:p>
        </w:tc>
        <w:tc>
          <w:tcPr>
            <w:tcW w:w="1593" w:type="dxa"/>
            <w:tcBorders>
              <w:top w:val="nil"/>
              <w:left w:val="nil"/>
              <w:bottom w:val="single" w:sz="4" w:space="0" w:color="auto"/>
              <w:right w:val="single" w:sz="4" w:space="0" w:color="auto"/>
            </w:tcBorders>
            <w:shd w:val="clear" w:color="auto" w:fill="auto"/>
            <w:vAlign w:val="center"/>
            <w:hideMark/>
          </w:tcPr>
          <w:p w14:paraId="2BED005F"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„Tudor Vladimirescu”</w:t>
            </w:r>
          </w:p>
        </w:tc>
        <w:tc>
          <w:tcPr>
            <w:tcW w:w="841" w:type="dxa"/>
            <w:tcBorders>
              <w:top w:val="nil"/>
              <w:left w:val="nil"/>
              <w:bottom w:val="single" w:sz="4" w:space="0" w:color="auto"/>
              <w:right w:val="single" w:sz="4" w:space="0" w:color="auto"/>
            </w:tcBorders>
            <w:shd w:val="clear" w:color="auto" w:fill="auto"/>
            <w:vAlign w:val="center"/>
            <w:hideMark/>
          </w:tcPr>
          <w:p w14:paraId="3E33FB4E"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1001 - 14210</w:t>
            </w:r>
          </w:p>
        </w:tc>
        <w:tc>
          <w:tcPr>
            <w:tcW w:w="962" w:type="dxa"/>
            <w:tcBorders>
              <w:top w:val="nil"/>
              <w:left w:val="nil"/>
              <w:bottom w:val="single" w:sz="4" w:space="0" w:color="auto"/>
              <w:right w:val="single" w:sz="4" w:space="0" w:color="auto"/>
            </w:tcBorders>
            <w:shd w:val="clear" w:color="auto" w:fill="auto"/>
            <w:vAlign w:val="center"/>
            <w:hideMark/>
          </w:tcPr>
          <w:p w14:paraId="6B3CA8B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12,432.97</w:t>
            </w:r>
          </w:p>
        </w:tc>
        <w:tc>
          <w:tcPr>
            <w:tcW w:w="962" w:type="dxa"/>
            <w:tcBorders>
              <w:top w:val="nil"/>
              <w:left w:val="nil"/>
              <w:bottom w:val="single" w:sz="4" w:space="0" w:color="auto"/>
              <w:right w:val="single" w:sz="4" w:space="0" w:color="auto"/>
            </w:tcBorders>
            <w:shd w:val="clear" w:color="auto" w:fill="auto"/>
            <w:vAlign w:val="center"/>
            <w:hideMark/>
          </w:tcPr>
          <w:p w14:paraId="1120617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22482A6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47,323.38</w:t>
            </w:r>
          </w:p>
        </w:tc>
        <w:tc>
          <w:tcPr>
            <w:tcW w:w="962" w:type="dxa"/>
            <w:tcBorders>
              <w:top w:val="nil"/>
              <w:left w:val="nil"/>
              <w:bottom w:val="single" w:sz="4" w:space="0" w:color="auto"/>
              <w:right w:val="single" w:sz="4" w:space="0" w:color="auto"/>
            </w:tcBorders>
            <w:shd w:val="clear" w:color="auto" w:fill="auto"/>
            <w:vAlign w:val="center"/>
            <w:hideMark/>
          </w:tcPr>
          <w:p w14:paraId="458FD49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39DC560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54DD90A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4.60</w:t>
            </w:r>
          </w:p>
        </w:tc>
        <w:tc>
          <w:tcPr>
            <w:tcW w:w="1065" w:type="dxa"/>
            <w:tcBorders>
              <w:top w:val="nil"/>
              <w:left w:val="nil"/>
              <w:bottom w:val="single" w:sz="4" w:space="0" w:color="auto"/>
              <w:right w:val="single" w:sz="4" w:space="0" w:color="auto"/>
            </w:tcBorders>
            <w:shd w:val="clear" w:color="000000" w:fill="FFF2CC"/>
            <w:vAlign w:val="center"/>
            <w:hideMark/>
          </w:tcPr>
          <w:p w14:paraId="53033A66"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59,760.95</w:t>
            </w:r>
          </w:p>
        </w:tc>
      </w:tr>
      <w:tr w:rsidR="00DF6D3F" w:rsidRPr="009E5B39" w14:paraId="30284928"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75723682"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12</w:t>
            </w:r>
          </w:p>
        </w:tc>
        <w:tc>
          <w:tcPr>
            <w:tcW w:w="1593" w:type="dxa"/>
            <w:tcBorders>
              <w:top w:val="nil"/>
              <w:left w:val="nil"/>
              <w:bottom w:val="single" w:sz="4" w:space="0" w:color="auto"/>
              <w:right w:val="single" w:sz="4" w:space="0" w:color="auto"/>
            </w:tcBorders>
            <w:shd w:val="clear" w:color="auto" w:fill="auto"/>
            <w:vAlign w:val="center"/>
            <w:hideMark/>
          </w:tcPr>
          <w:p w14:paraId="39A218E8"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„Traian”</w:t>
            </w:r>
          </w:p>
        </w:tc>
        <w:tc>
          <w:tcPr>
            <w:tcW w:w="841" w:type="dxa"/>
            <w:tcBorders>
              <w:top w:val="nil"/>
              <w:left w:val="nil"/>
              <w:bottom w:val="single" w:sz="4" w:space="0" w:color="auto"/>
              <w:right w:val="single" w:sz="4" w:space="0" w:color="auto"/>
            </w:tcBorders>
            <w:shd w:val="clear" w:color="auto" w:fill="auto"/>
            <w:vAlign w:val="center"/>
            <w:hideMark/>
          </w:tcPr>
          <w:p w14:paraId="1AA2438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1001 - 14211</w:t>
            </w:r>
          </w:p>
        </w:tc>
        <w:tc>
          <w:tcPr>
            <w:tcW w:w="962" w:type="dxa"/>
            <w:tcBorders>
              <w:top w:val="nil"/>
              <w:left w:val="nil"/>
              <w:bottom w:val="single" w:sz="4" w:space="0" w:color="auto"/>
              <w:right w:val="single" w:sz="4" w:space="0" w:color="auto"/>
            </w:tcBorders>
            <w:shd w:val="clear" w:color="auto" w:fill="auto"/>
            <w:vAlign w:val="center"/>
            <w:hideMark/>
          </w:tcPr>
          <w:p w14:paraId="5E05D50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3,517.74</w:t>
            </w:r>
          </w:p>
        </w:tc>
        <w:tc>
          <w:tcPr>
            <w:tcW w:w="962" w:type="dxa"/>
            <w:tcBorders>
              <w:top w:val="nil"/>
              <w:left w:val="nil"/>
              <w:bottom w:val="single" w:sz="4" w:space="0" w:color="auto"/>
              <w:right w:val="single" w:sz="4" w:space="0" w:color="auto"/>
            </w:tcBorders>
            <w:shd w:val="clear" w:color="auto" w:fill="auto"/>
            <w:vAlign w:val="center"/>
            <w:hideMark/>
          </w:tcPr>
          <w:p w14:paraId="20C9795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6C406FE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6,042.37</w:t>
            </w:r>
          </w:p>
        </w:tc>
        <w:tc>
          <w:tcPr>
            <w:tcW w:w="962" w:type="dxa"/>
            <w:tcBorders>
              <w:top w:val="nil"/>
              <w:left w:val="nil"/>
              <w:bottom w:val="single" w:sz="4" w:space="0" w:color="auto"/>
              <w:right w:val="single" w:sz="4" w:space="0" w:color="auto"/>
            </w:tcBorders>
            <w:shd w:val="clear" w:color="auto" w:fill="auto"/>
            <w:vAlign w:val="center"/>
            <w:hideMark/>
          </w:tcPr>
          <w:p w14:paraId="7F12737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4,191.03</w:t>
            </w:r>
          </w:p>
        </w:tc>
        <w:tc>
          <w:tcPr>
            <w:tcW w:w="955" w:type="dxa"/>
            <w:tcBorders>
              <w:top w:val="nil"/>
              <w:left w:val="nil"/>
              <w:bottom w:val="single" w:sz="4" w:space="0" w:color="auto"/>
              <w:right w:val="single" w:sz="4" w:space="0" w:color="auto"/>
            </w:tcBorders>
            <w:shd w:val="clear" w:color="auto" w:fill="auto"/>
            <w:vAlign w:val="center"/>
            <w:hideMark/>
          </w:tcPr>
          <w:p w14:paraId="01E5A2F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61AA5AE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44.26</w:t>
            </w:r>
          </w:p>
        </w:tc>
        <w:tc>
          <w:tcPr>
            <w:tcW w:w="1065" w:type="dxa"/>
            <w:tcBorders>
              <w:top w:val="nil"/>
              <w:left w:val="nil"/>
              <w:bottom w:val="single" w:sz="4" w:space="0" w:color="auto"/>
              <w:right w:val="single" w:sz="4" w:space="0" w:color="auto"/>
            </w:tcBorders>
            <w:shd w:val="clear" w:color="000000" w:fill="FFF2CC"/>
            <w:vAlign w:val="center"/>
            <w:hideMark/>
          </w:tcPr>
          <w:p w14:paraId="5F6E93C8"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13,795.40</w:t>
            </w:r>
          </w:p>
        </w:tc>
      </w:tr>
      <w:tr w:rsidR="00DF6D3F" w:rsidRPr="009E5B39" w14:paraId="606AF1C0"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148B53C8"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13</w:t>
            </w:r>
          </w:p>
        </w:tc>
        <w:tc>
          <w:tcPr>
            <w:tcW w:w="1593" w:type="dxa"/>
            <w:tcBorders>
              <w:top w:val="nil"/>
              <w:left w:val="nil"/>
              <w:bottom w:val="single" w:sz="4" w:space="0" w:color="auto"/>
              <w:right w:val="single" w:sz="4" w:space="0" w:color="auto"/>
            </w:tcBorders>
            <w:shd w:val="clear" w:color="auto" w:fill="auto"/>
            <w:vAlign w:val="center"/>
            <w:hideMark/>
          </w:tcPr>
          <w:p w14:paraId="4019E7B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„Petru Movilă”</w:t>
            </w:r>
          </w:p>
        </w:tc>
        <w:tc>
          <w:tcPr>
            <w:tcW w:w="841" w:type="dxa"/>
            <w:tcBorders>
              <w:top w:val="nil"/>
              <w:left w:val="nil"/>
              <w:bottom w:val="single" w:sz="4" w:space="0" w:color="auto"/>
              <w:right w:val="single" w:sz="4" w:space="0" w:color="auto"/>
            </w:tcBorders>
            <w:shd w:val="clear" w:color="auto" w:fill="auto"/>
            <w:vAlign w:val="center"/>
            <w:hideMark/>
          </w:tcPr>
          <w:p w14:paraId="3CDC0D76"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1001 - 14212</w:t>
            </w:r>
          </w:p>
        </w:tc>
        <w:tc>
          <w:tcPr>
            <w:tcW w:w="962" w:type="dxa"/>
            <w:tcBorders>
              <w:top w:val="nil"/>
              <w:left w:val="nil"/>
              <w:bottom w:val="single" w:sz="4" w:space="0" w:color="auto"/>
              <w:right w:val="single" w:sz="4" w:space="0" w:color="auto"/>
            </w:tcBorders>
            <w:shd w:val="clear" w:color="auto" w:fill="auto"/>
            <w:vAlign w:val="center"/>
            <w:hideMark/>
          </w:tcPr>
          <w:p w14:paraId="60FD2C8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26,130.33</w:t>
            </w:r>
          </w:p>
        </w:tc>
        <w:tc>
          <w:tcPr>
            <w:tcW w:w="962" w:type="dxa"/>
            <w:tcBorders>
              <w:top w:val="nil"/>
              <w:left w:val="nil"/>
              <w:bottom w:val="single" w:sz="4" w:space="0" w:color="auto"/>
              <w:right w:val="single" w:sz="4" w:space="0" w:color="auto"/>
            </w:tcBorders>
            <w:shd w:val="clear" w:color="auto" w:fill="auto"/>
            <w:vAlign w:val="center"/>
            <w:hideMark/>
          </w:tcPr>
          <w:p w14:paraId="6BA1130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1D63B5E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23,682.58</w:t>
            </w:r>
          </w:p>
        </w:tc>
        <w:tc>
          <w:tcPr>
            <w:tcW w:w="962" w:type="dxa"/>
            <w:tcBorders>
              <w:top w:val="nil"/>
              <w:left w:val="nil"/>
              <w:bottom w:val="single" w:sz="4" w:space="0" w:color="auto"/>
              <w:right w:val="single" w:sz="4" w:space="0" w:color="auto"/>
            </w:tcBorders>
            <w:shd w:val="clear" w:color="auto" w:fill="auto"/>
            <w:vAlign w:val="center"/>
            <w:hideMark/>
          </w:tcPr>
          <w:p w14:paraId="154742E8"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5,456.56</w:t>
            </w:r>
          </w:p>
        </w:tc>
        <w:tc>
          <w:tcPr>
            <w:tcW w:w="955" w:type="dxa"/>
            <w:tcBorders>
              <w:top w:val="nil"/>
              <w:left w:val="nil"/>
              <w:bottom w:val="single" w:sz="4" w:space="0" w:color="auto"/>
              <w:right w:val="single" w:sz="4" w:space="0" w:color="auto"/>
            </w:tcBorders>
            <w:shd w:val="clear" w:color="auto" w:fill="auto"/>
            <w:vAlign w:val="center"/>
            <w:hideMark/>
          </w:tcPr>
          <w:p w14:paraId="69DE70C8"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159992D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686.00</w:t>
            </w:r>
          </w:p>
        </w:tc>
        <w:tc>
          <w:tcPr>
            <w:tcW w:w="1065" w:type="dxa"/>
            <w:tcBorders>
              <w:top w:val="nil"/>
              <w:left w:val="nil"/>
              <w:bottom w:val="single" w:sz="4" w:space="0" w:color="auto"/>
              <w:right w:val="single" w:sz="4" w:space="0" w:color="auto"/>
            </w:tcBorders>
            <w:shd w:val="clear" w:color="000000" w:fill="FFF2CC"/>
            <w:vAlign w:val="center"/>
            <w:hideMark/>
          </w:tcPr>
          <w:p w14:paraId="3FA2B79E"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55,955.47</w:t>
            </w:r>
          </w:p>
        </w:tc>
      </w:tr>
      <w:tr w:rsidR="00DF6D3F" w:rsidRPr="009E5B39" w14:paraId="41C65AC3"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1C94C4A"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14</w:t>
            </w:r>
          </w:p>
        </w:tc>
        <w:tc>
          <w:tcPr>
            <w:tcW w:w="1593" w:type="dxa"/>
            <w:tcBorders>
              <w:top w:val="nil"/>
              <w:left w:val="nil"/>
              <w:bottom w:val="single" w:sz="4" w:space="0" w:color="auto"/>
              <w:right w:val="single" w:sz="4" w:space="0" w:color="auto"/>
            </w:tcBorders>
            <w:shd w:val="clear" w:color="auto" w:fill="auto"/>
            <w:vAlign w:val="center"/>
            <w:hideMark/>
          </w:tcPr>
          <w:p w14:paraId="228057D3"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„Ștefan cel Mare”</w:t>
            </w:r>
          </w:p>
        </w:tc>
        <w:tc>
          <w:tcPr>
            <w:tcW w:w="841" w:type="dxa"/>
            <w:tcBorders>
              <w:top w:val="nil"/>
              <w:left w:val="nil"/>
              <w:bottom w:val="single" w:sz="4" w:space="0" w:color="auto"/>
              <w:right w:val="single" w:sz="4" w:space="0" w:color="auto"/>
            </w:tcBorders>
            <w:shd w:val="clear" w:color="auto" w:fill="auto"/>
            <w:vAlign w:val="center"/>
            <w:hideMark/>
          </w:tcPr>
          <w:p w14:paraId="30B60230"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1001 - 14213</w:t>
            </w:r>
          </w:p>
        </w:tc>
        <w:tc>
          <w:tcPr>
            <w:tcW w:w="962" w:type="dxa"/>
            <w:tcBorders>
              <w:top w:val="nil"/>
              <w:left w:val="nil"/>
              <w:bottom w:val="single" w:sz="4" w:space="0" w:color="auto"/>
              <w:right w:val="single" w:sz="4" w:space="0" w:color="auto"/>
            </w:tcBorders>
            <w:shd w:val="clear" w:color="auto" w:fill="auto"/>
            <w:vAlign w:val="center"/>
            <w:hideMark/>
          </w:tcPr>
          <w:p w14:paraId="517EAF5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4,064.32</w:t>
            </w:r>
          </w:p>
        </w:tc>
        <w:tc>
          <w:tcPr>
            <w:tcW w:w="962" w:type="dxa"/>
            <w:tcBorders>
              <w:top w:val="nil"/>
              <w:left w:val="nil"/>
              <w:bottom w:val="single" w:sz="4" w:space="0" w:color="auto"/>
              <w:right w:val="single" w:sz="4" w:space="0" w:color="auto"/>
            </w:tcBorders>
            <w:shd w:val="clear" w:color="auto" w:fill="auto"/>
            <w:vAlign w:val="center"/>
            <w:hideMark/>
          </w:tcPr>
          <w:p w14:paraId="0418CC5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4664AAA8"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24,390.79</w:t>
            </w:r>
          </w:p>
        </w:tc>
        <w:tc>
          <w:tcPr>
            <w:tcW w:w="962" w:type="dxa"/>
            <w:tcBorders>
              <w:top w:val="nil"/>
              <w:left w:val="nil"/>
              <w:bottom w:val="single" w:sz="4" w:space="0" w:color="auto"/>
              <w:right w:val="single" w:sz="4" w:space="0" w:color="auto"/>
            </w:tcBorders>
            <w:shd w:val="clear" w:color="auto" w:fill="auto"/>
            <w:vAlign w:val="center"/>
            <w:hideMark/>
          </w:tcPr>
          <w:p w14:paraId="1EF3C29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087C6F8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28D0282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110.31</w:t>
            </w:r>
          </w:p>
        </w:tc>
        <w:tc>
          <w:tcPr>
            <w:tcW w:w="1065" w:type="dxa"/>
            <w:tcBorders>
              <w:top w:val="nil"/>
              <w:left w:val="nil"/>
              <w:bottom w:val="single" w:sz="4" w:space="0" w:color="auto"/>
              <w:right w:val="single" w:sz="4" w:space="0" w:color="auto"/>
            </w:tcBorders>
            <w:shd w:val="clear" w:color="000000" w:fill="FFF2CC"/>
            <w:vAlign w:val="center"/>
            <w:hideMark/>
          </w:tcPr>
          <w:p w14:paraId="54A10EEC"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28,565.42</w:t>
            </w:r>
          </w:p>
        </w:tc>
      </w:tr>
      <w:tr w:rsidR="00DF6D3F" w:rsidRPr="009E5B39" w14:paraId="12033D29" w14:textId="77777777" w:rsidTr="003E291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7194BB4F"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15</w:t>
            </w:r>
          </w:p>
        </w:tc>
        <w:tc>
          <w:tcPr>
            <w:tcW w:w="1593" w:type="dxa"/>
            <w:tcBorders>
              <w:top w:val="nil"/>
              <w:left w:val="nil"/>
              <w:bottom w:val="single" w:sz="4" w:space="0" w:color="auto"/>
              <w:right w:val="single" w:sz="4" w:space="0" w:color="auto"/>
            </w:tcBorders>
            <w:shd w:val="clear" w:color="auto" w:fill="auto"/>
            <w:vAlign w:val="center"/>
            <w:hideMark/>
          </w:tcPr>
          <w:p w14:paraId="71E2C90C"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 „Onisifor Ghibu”</w:t>
            </w:r>
          </w:p>
        </w:tc>
        <w:tc>
          <w:tcPr>
            <w:tcW w:w="841" w:type="dxa"/>
            <w:tcBorders>
              <w:top w:val="nil"/>
              <w:left w:val="nil"/>
              <w:bottom w:val="single" w:sz="4" w:space="0" w:color="auto"/>
              <w:right w:val="single" w:sz="4" w:space="0" w:color="auto"/>
            </w:tcBorders>
            <w:shd w:val="clear" w:color="auto" w:fill="auto"/>
            <w:vAlign w:val="center"/>
            <w:hideMark/>
          </w:tcPr>
          <w:p w14:paraId="2447BB3C"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1001 - 14242</w:t>
            </w:r>
          </w:p>
        </w:tc>
        <w:tc>
          <w:tcPr>
            <w:tcW w:w="962" w:type="dxa"/>
            <w:tcBorders>
              <w:top w:val="nil"/>
              <w:left w:val="nil"/>
              <w:bottom w:val="single" w:sz="4" w:space="0" w:color="auto"/>
              <w:right w:val="single" w:sz="4" w:space="0" w:color="auto"/>
            </w:tcBorders>
            <w:shd w:val="clear" w:color="auto" w:fill="auto"/>
            <w:vAlign w:val="center"/>
            <w:hideMark/>
          </w:tcPr>
          <w:p w14:paraId="6EE6B99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18,224.61</w:t>
            </w:r>
          </w:p>
        </w:tc>
        <w:tc>
          <w:tcPr>
            <w:tcW w:w="962" w:type="dxa"/>
            <w:tcBorders>
              <w:top w:val="nil"/>
              <w:left w:val="nil"/>
              <w:bottom w:val="single" w:sz="4" w:space="0" w:color="auto"/>
              <w:right w:val="single" w:sz="4" w:space="0" w:color="auto"/>
            </w:tcBorders>
            <w:shd w:val="clear" w:color="auto" w:fill="auto"/>
            <w:vAlign w:val="center"/>
            <w:hideMark/>
          </w:tcPr>
          <w:p w14:paraId="246B036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386DE0E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6A58F18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7135AC9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9,115.92</w:t>
            </w:r>
          </w:p>
        </w:tc>
        <w:tc>
          <w:tcPr>
            <w:tcW w:w="1217" w:type="dxa"/>
            <w:tcBorders>
              <w:top w:val="nil"/>
              <w:left w:val="nil"/>
              <w:bottom w:val="single" w:sz="4" w:space="0" w:color="auto"/>
              <w:right w:val="single" w:sz="4" w:space="0" w:color="auto"/>
            </w:tcBorders>
            <w:shd w:val="clear" w:color="auto" w:fill="auto"/>
            <w:vAlign w:val="center"/>
            <w:hideMark/>
          </w:tcPr>
          <w:p w14:paraId="332A143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565.86</w:t>
            </w:r>
          </w:p>
        </w:tc>
        <w:tc>
          <w:tcPr>
            <w:tcW w:w="1065" w:type="dxa"/>
            <w:tcBorders>
              <w:top w:val="nil"/>
              <w:left w:val="nil"/>
              <w:bottom w:val="single" w:sz="4" w:space="0" w:color="auto"/>
              <w:right w:val="single" w:sz="4" w:space="0" w:color="auto"/>
            </w:tcBorders>
            <w:shd w:val="clear" w:color="000000" w:fill="FFF2CC"/>
            <w:vAlign w:val="center"/>
            <w:hideMark/>
          </w:tcPr>
          <w:p w14:paraId="70554349"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27,906.39</w:t>
            </w:r>
          </w:p>
        </w:tc>
      </w:tr>
      <w:tr w:rsidR="00DF6D3F" w:rsidRPr="009E5B39" w14:paraId="60CB0484" w14:textId="77777777" w:rsidTr="003E291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214E0844"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16</w:t>
            </w:r>
          </w:p>
        </w:tc>
        <w:tc>
          <w:tcPr>
            <w:tcW w:w="1593" w:type="dxa"/>
            <w:tcBorders>
              <w:top w:val="nil"/>
              <w:left w:val="nil"/>
              <w:bottom w:val="single" w:sz="4" w:space="0" w:color="auto"/>
              <w:right w:val="single" w:sz="4" w:space="0" w:color="auto"/>
            </w:tcBorders>
            <w:shd w:val="clear" w:color="auto" w:fill="auto"/>
            <w:vAlign w:val="center"/>
            <w:hideMark/>
          </w:tcPr>
          <w:p w14:paraId="499FDF49"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 „Petru Rareș”</w:t>
            </w:r>
          </w:p>
        </w:tc>
        <w:tc>
          <w:tcPr>
            <w:tcW w:w="841" w:type="dxa"/>
            <w:tcBorders>
              <w:top w:val="nil"/>
              <w:left w:val="nil"/>
              <w:bottom w:val="single" w:sz="4" w:space="0" w:color="auto"/>
              <w:right w:val="single" w:sz="4" w:space="0" w:color="auto"/>
            </w:tcBorders>
            <w:shd w:val="clear" w:color="auto" w:fill="auto"/>
            <w:vAlign w:val="center"/>
            <w:hideMark/>
          </w:tcPr>
          <w:p w14:paraId="1545D168"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1001 - 14243</w:t>
            </w:r>
          </w:p>
        </w:tc>
        <w:tc>
          <w:tcPr>
            <w:tcW w:w="962" w:type="dxa"/>
            <w:tcBorders>
              <w:top w:val="nil"/>
              <w:left w:val="nil"/>
              <w:bottom w:val="single" w:sz="4" w:space="0" w:color="auto"/>
              <w:right w:val="single" w:sz="4" w:space="0" w:color="auto"/>
            </w:tcBorders>
            <w:shd w:val="clear" w:color="auto" w:fill="auto"/>
            <w:vAlign w:val="center"/>
            <w:hideMark/>
          </w:tcPr>
          <w:p w14:paraId="327F4D1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58BE0C3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0DE7095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735E68B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07E4C02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6DAB5E9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247.09</w:t>
            </w:r>
          </w:p>
        </w:tc>
        <w:tc>
          <w:tcPr>
            <w:tcW w:w="1065" w:type="dxa"/>
            <w:tcBorders>
              <w:top w:val="nil"/>
              <w:left w:val="nil"/>
              <w:bottom w:val="single" w:sz="4" w:space="0" w:color="auto"/>
              <w:right w:val="single" w:sz="4" w:space="0" w:color="auto"/>
            </w:tcBorders>
            <w:shd w:val="clear" w:color="000000" w:fill="FFF2CC"/>
            <w:vAlign w:val="center"/>
            <w:hideMark/>
          </w:tcPr>
          <w:p w14:paraId="6257E3CC"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247.09</w:t>
            </w:r>
          </w:p>
        </w:tc>
      </w:tr>
      <w:tr w:rsidR="00DF6D3F" w:rsidRPr="009E5B39" w14:paraId="3659B2E0"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67791C02"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17</w:t>
            </w:r>
          </w:p>
        </w:tc>
        <w:tc>
          <w:tcPr>
            <w:tcW w:w="1593" w:type="dxa"/>
            <w:tcBorders>
              <w:top w:val="nil"/>
              <w:left w:val="nil"/>
              <w:bottom w:val="single" w:sz="4" w:space="0" w:color="auto"/>
              <w:right w:val="single" w:sz="4" w:space="0" w:color="auto"/>
            </w:tcBorders>
            <w:shd w:val="clear" w:color="auto" w:fill="auto"/>
            <w:vAlign w:val="center"/>
            <w:hideMark/>
          </w:tcPr>
          <w:p w14:paraId="2C3473AF"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 „Ginta Latină”</w:t>
            </w:r>
          </w:p>
        </w:tc>
        <w:tc>
          <w:tcPr>
            <w:tcW w:w="841" w:type="dxa"/>
            <w:tcBorders>
              <w:top w:val="nil"/>
              <w:left w:val="nil"/>
              <w:bottom w:val="single" w:sz="4" w:space="0" w:color="auto"/>
              <w:right w:val="single" w:sz="4" w:space="0" w:color="auto"/>
            </w:tcBorders>
            <w:shd w:val="clear" w:color="auto" w:fill="auto"/>
            <w:vAlign w:val="center"/>
            <w:hideMark/>
          </w:tcPr>
          <w:p w14:paraId="7346DD2F"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1001 - 14248</w:t>
            </w:r>
          </w:p>
        </w:tc>
        <w:tc>
          <w:tcPr>
            <w:tcW w:w="962" w:type="dxa"/>
            <w:tcBorders>
              <w:top w:val="nil"/>
              <w:left w:val="nil"/>
              <w:bottom w:val="single" w:sz="4" w:space="0" w:color="auto"/>
              <w:right w:val="single" w:sz="4" w:space="0" w:color="auto"/>
            </w:tcBorders>
            <w:shd w:val="clear" w:color="auto" w:fill="auto"/>
            <w:vAlign w:val="center"/>
            <w:hideMark/>
          </w:tcPr>
          <w:p w14:paraId="00A0416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78,396.19</w:t>
            </w:r>
          </w:p>
        </w:tc>
        <w:tc>
          <w:tcPr>
            <w:tcW w:w="962" w:type="dxa"/>
            <w:tcBorders>
              <w:top w:val="nil"/>
              <w:left w:val="nil"/>
              <w:bottom w:val="single" w:sz="4" w:space="0" w:color="auto"/>
              <w:right w:val="single" w:sz="4" w:space="0" w:color="auto"/>
            </w:tcBorders>
            <w:shd w:val="clear" w:color="auto" w:fill="auto"/>
            <w:vAlign w:val="center"/>
            <w:hideMark/>
          </w:tcPr>
          <w:p w14:paraId="1EF99A2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689AC70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14D2DB4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29,983.20</w:t>
            </w:r>
          </w:p>
        </w:tc>
        <w:tc>
          <w:tcPr>
            <w:tcW w:w="955" w:type="dxa"/>
            <w:tcBorders>
              <w:top w:val="nil"/>
              <w:left w:val="nil"/>
              <w:bottom w:val="single" w:sz="4" w:space="0" w:color="auto"/>
              <w:right w:val="single" w:sz="4" w:space="0" w:color="auto"/>
            </w:tcBorders>
            <w:shd w:val="clear" w:color="auto" w:fill="auto"/>
            <w:vAlign w:val="center"/>
            <w:hideMark/>
          </w:tcPr>
          <w:p w14:paraId="7833391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602107D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6E365B4E"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108,379.39</w:t>
            </w:r>
          </w:p>
        </w:tc>
      </w:tr>
      <w:tr w:rsidR="00DF6D3F" w:rsidRPr="009E5B39" w14:paraId="11C7E3B1" w14:textId="77777777" w:rsidTr="003E291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2A3018D0"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18</w:t>
            </w:r>
          </w:p>
        </w:tc>
        <w:tc>
          <w:tcPr>
            <w:tcW w:w="1593" w:type="dxa"/>
            <w:tcBorders>
              <w:top w:val="nil"/>
              <w:left w:val="nil"/>
              <w:bottom w:val="single" w:sz="4" w:space="0" w:color="auto"/>
              <w:right w:val="single" w:sz="4" w:space="0" w:color="auto"/>
            </w:tcBorders>
            <w:shd w:val="clear" w:color="auto" w:fill="auto"/>
            <w:vAlign w:val="center"/>
            <w:hideMark/>
          </w:tcPr>
          <w:p w14:paraId="1234AA73"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 „Constantin Negruzzi”</w:t>
            </w:r>
          </w:p>
        </w:tc>
        <w:tc>
          <w:tcPr>
            <w:tcW w:w="841" w:type="dxa"/>
            <w:tcBorders>
              <w:top w:val="nil"/>
              <w:left w:val="nil"/>
              <w:bottom w:val="single" w:sz="4" w:space="0" w:color="auto"/>
              <w:right w:val="single" w:sz="4" w:space="0" w:color="auto"/>
            </w:tcBorders>
            <w:shd w:val="clear" w:color="auto" w:fill="auto"/>
            <w:vAlign w:val="center"/>
            <w:hideMark/>
          </w:tcPr>
          <w:p w14:paraId="097BAAD0"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1001 - 14252</w:t>
            </w:r>
          </w:p>
        </w:tc>
        <w:tc>
          <w:tcPr>
            <w:tcW w:w="962" w:type="dxa"/>
            <w:tcBorders>
              <w:top w:val="nil"/>
              <w:left w:val="nil"/>
              <w:bottom w:val="single" w:sz="4" w:space="0" w:color="auto"/>
              <w:right w:val="single" w:sz="4" w:space="0" w:color="auto"/>
            </w:tcBorders>
            <w:shd w:val="clear" w:color="auto" w:fill="auto"/>
            <w:vAlign w:val="center"/>
            <w:hideMark/>
          </w:tcPr>
          <w:p w14:paraId="6854A768"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17,685.90</w:t>
            </w:r>
          </w:p>
        </w:tc>
        <w:tc>
          <w:tcPr>
            <w:tcW w:w="962" w:type="dxa"/>
            <w:tcBorders>
              <w:top w:val="nil"/>
              <w:left w:val="nil"/>
              <w:bottom w:val="single" w:sz="4" w:space="0" w:color="auto"/>
              <w:right w:val="single" w:sz="4" w:space="0" w:color="auto"/>
            </w:tcBorders>
            <w:shd w:val="clear" w:color="auto" w:fill="auto"/>
            <w:vAlign w:val="center"/>
            <w:hideMark/>
          </w:tcPr>
          <w:p w14:paraId="12A7235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3102886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121,159.77</w:t>
            </w:r>
          </w:p>
        </w:tc>
        <w:tc>
          <w:tcPr>
            <w:tcW w:w="962" w:type="dxa"/>
            <w:tcBorders>
              <w:top w:val="nil"/>
              <w:left w:val="nil"/>
              <w:bottom w:val="single" w:sz="4" w:space="0" w:color="auto"/>
              <w:right w:val="single" w:sz="4" w:space="0" w:color="auto"/>
            </w:tcBorders>
            <w:shd w:val="clear" w:color="auto" w:fill="auto"/>
            <w:vAlign w:val="center"/>
            <w:hideMark/>
          </w:tcPr>
          <w:p w14:paraId="4938D208"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4,189.07</w:t>
            </w:r>
          </w:p>
        </w:tc>
        <w:tc>
          <w:tcPr>
            <w:tcW w:w="955" w:type="dxa"/>
            <w:tcBorders>
              <w:top w:val="nil"/>
              <w:left w:val="nil"/>
              <w:bottom w:val="single" w:sz="4" w:space="0" w:color="auto"/>
              <w:right w:val="single" w:sz="4" w:space="0" w:color="auto"/>
            </w:tcBorders>
            <w:shd w:val="clear" w:color="auto" w:fill="auto"/>
            <w:vAlign w:val="center"/>
            <w:hideMark/>
          </w:tcPr>
          <w:p w14:paraId="23DE503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22B89A5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427.44</w:t>
            </w:r>
          </w:p>
        </w:tc>
        <w:tc>
          <w:tcPr>
            <w:tcW w:w="1065" w:type="dxa"/>
            <w:tcBorders>
              <w:top w:val="nil"/>
              <w:left w:val="nil"/>
              <w:bottom w:val="single" w:sz="4" w:space="0" w:color="auto"/>
              <w:right w:val="single" w:sz="4" w:space="0" w:color="auto"/>
            </w:tcBorders>
            <w:shd w:val="clear" w:color="000000" w:fill="FFF2CC"/>
            <w:vAlign w:val="center"/>
            <w:hideMark/>
          </w:tcPr>
          <w:p w14:paraId="1F04AF5A"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143,462.18</w:t>
            </w:r>
          </w:p>
        </w:tc>
      </w:tr>
      <w:tr w:rsidR="00DF6D3F" w:rsidRPr="009E5B39" w14:paraId="14DBE868" w14:textId="77777777" w:rsidTr="003E291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3C76C888"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19</w:t>
            </w:r>
          </w:p>
        </w:tc>
        <w:tc>
          <w:tcPr>
            <w:tcW w:w="1593" w:type="dxa"/>
            <w:tcBorders>
              <w:top w:val="nil"/>
              <w:left w:val="nil"/>
              <w:bottom w:val="single" w:sz="4" w:space="0" w:color="auto"/>
              <w:right w:val="single" w:sz="4" w:space="0" w:color="auto"/>
            </w:tcBorders>
            <w:shd w:val="clear" w:color="auto" w:fill="auto"/>
            <w:vAlign w:val="center"/>
            <w:hideMark/>
          </w:tcPr>
          <w:p w14:paraId="33F7CAF8"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 „Minerva”</w:t>
            </w:r>
          </w:p>
        </w:tc>
        <w:tc>
          <w:tcPr>
            <w:tcW w:w="841" w:type="dxa"/>
            <w:tcBorders>
              <w:top w:val="nil"/>
              <w:left w:val="nil"/>
              <w:bottom w:val="single" w:sz="4" w:space="0" w:color="auto"/>
              <w:right w:val="single" w:sz="4" w:space="0" w:color="auto"/>
            </w:tcBorders>
            <w:shd w:val="clear" w:color="auto" w:fill="auto"/>
            <w:vAlign w:val="center"/>
            <w:hideMark/>
          </w:tcPr>
          <w:p w14:paraId="44326376"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1001 - 14254</w:t>
            </w:r>
          </w:p>
        </w:tc>
        <w:tc>
          <w:tcPr>
            <w:tcW w:w="962" w:type="dxa"/>
            <w:tcBorders>
              <w:top w:val="nil"/>
              <w:left w:val="nil"/>
              <w:bottom w:val="single" w:sz="4" w:space="0" w:color="auto"/>
              <w:right w:val="single" w:sz="4" w:space="0" w:color="auto"/>
            </w:tcBorders>
            <w:shd w:val="clear" w:color="auto" w:fill="auto"/>
            <w:vAlign w:val="center"/>
            <w:hideMark/>
          </w:tcPr>
          <w:p w14:paraId="5C1E77C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17E5622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55F29A9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5720ECA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2523375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530F677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31.55</w:t>
            </w:r>
          </w:p>
        </w:tc>
        <w:tc>
          <w:tcPr>
            <w:tcW w:w="1065" w:type="dxa"/>
            <w:tcBorders>
              <w:top w:val="nil"/>
              <w:left w:val="nil"/>
              <w:bottom w:val="single" w:sz="4" w:space="0" w:color="auto"/>
              <w:right w:val="single" w:sz="4" w:space="0" w:color="auto"/>
            </w:tcBorders>
            <w:shd w:val="clear" w:color="000000" w:fill="FFF2CC"/>
            <w:vAlign w:val="center"/>
            <w:hideMark/>
          </w:tcPr>
          <w:p w14:paraId="1102008D"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31.55</w:t>
            </w:r>
          </w:p>
        </w:tc>
      </w:tr>
      <w:tr w:rsidR="00DF6D3F" w:rsidRPr="009E5B39" w14:paraId="7468CFD5" w14:textId="77777777" w:rsidTr="003E291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36FA6B0"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20</w:t>
            </w:r>
          </w:p>
        </w:tc>
        <w:tc>
          <w:tcPr>
            <w:tcW w:w="1593" w:type="dxa"/>
            <w:tcBorders>
              <w:top w:val="nil"/>
              <w:left w:val="nil"/>
              <w:bottom w:val="single" w:sz="4" w:space="0" w:color="auto"/>
              <w:right w:val="single" w:sz="4" w:space="0" w:color="auto"/>
            </w:tcBorders>
            <w:shd w:val="clear" w:color="auto" w:fill="auto"/>
            <w:vAlign w:val="center"/>
            <w:hideMark/>
          </w:tcPr>
          <w:p w14:paraId="7D5A7DA8"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 „Alexandru Ioan Cuza”</w:t>
            </w:r>
          </w:p>
        </w:tc>
        <w:tc>
          <w:tcPr>
            <w:tcW w:w="841" w:type="dxa"/>
            <w:tcBorders>
              <w:top w:val="nil"/>
              <w:left w:val="nil"/>
              <w:bottom w:val="single" w:sz="4" w:space="0" w:color="auto"/>
              <w:right w:val="single" w:sz="4" w:space="0" w:color="auto"/>
            </w:tcBorders>
            <w:shd w:val="clear" w:color="auto" w:fill="auto"/>
            <w:vAlign w:val="center"/>
            <w:hideMark/>
          </w:tcPr>
          <w:p w14:paraId="1393A06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1001 - 14256</w:t>
            </w:r>
          </w:p>
        </w:tc>
        <w:tc>
          <w:tcPr>
            <w:tcW w:w="962" w:type="dxa"/>
            <w:tcBorders>
              <w:top w:val="nil"/>
              <w:left w:val="nil"/>
              <w:bottom w:val="single" w:sz="4" w:space="0" w:color="auto"/>
              <w:right w:val="single" w:sz="4" w:space="0" w:color="auto"/>
            </w:tcBorders>
            <w:shd w:val="clear" w:color="auto" w:fill="auto"/>
            <w:vAlign w:val="center"/>
            <w:hideMark/>
          </w:tcPr>
          <w:p w14:paraId="217E3BF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4,723.97</w:t>
            </w:r>
          </w:p>
        </w:tc>
        <w:tc>
          <w:tcPr>
            <w:tcW w:w="962" w:type="dxa"/>
            <w:tcBorders>
              <w:top w:val="nil"/>
              <w:left w:val="nil"/>
              <w:bottom w:val="single" w:sz="4" w:space="0" w:color="auto"/>
              <w:right w:val="single" w:sz="4" w:space="0" w:color="auto"/>
            </w:tcBorders>
            <w:shd w:val="clear" w:color="auto" w:fill="auto"/>
            <w:vAlign w:val="center"/>
            <w:hideMark/>
          </w:tcPr>
          <w:p w14:paraId="02CEEEF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57B3103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0B82D41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705.78</w:t>
            </w:r>
          </w:p>
        </w:tc>
        <w:tc>
          <w:tcPr>
            <w:tcW w:w="955" w:type="dxa"/>
            <w:tcBorders>
              <w:top w:val="nil"/>
              <w:left w:val="nil"/>
              <w:bottom w:val="single" w:sz="4" w:space="0" w:color="auto"/>
              <w:right w:val="single" w:sz="4" w:space="0" w:color="auto"/>
            </w:tcBorders>
            <w:shd w:val="clear" w:color="auto" w:fill="auto"/>
            <w:vAlign w:val="center"/>
            <w:hideMark/>
          </w:tcPr>
          <w:p w14:paraId="350E943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0B58445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54419E75"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5,429.75</w:t>
            </w:r>
          </w:p>
        </w:tc>
      </w:tr>
      <w:tr w:rsidR="00DF6D3F" w:rsidRPr="009E5B39" w14:paraId="51B2B8B6"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73FA1CB5"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21</w:t>
            </w:r>
          </w:p>
        </w:tc>
        <w:tc>
          <w:tcPr>
            <w:tcW w:w="1593" w:type="dxa"/>
            <w:tcBorders>
              <w:top w:val="nil"/>
              <w:left w:val="nil"/>
              <w:bottom w:val="single" w:sz="4" w:space="0" w:color="auto"/>
              <w:right w:val="single" w:sz="4" w:space="0" w:color="auto"/>
            </w:tcBorders>
            <w:shd w:val="clear" w:color="auto" w:fill="auto"/>
            <w:vAlign w:val="center"/>
            <w:hideMark/>
          </w:tcPr>
          <w:p w14:paraId="5D2C2F2F"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 „Universul”</w:t>
            </w:r>
          </w:p>
        </w:tc>
        <w:tc>
          <w:tcPr>
            <w:tcW w:w="841" w:type="dxa"/>
            <w:tcBorders>
              <w:top w:val="nil"/>
              <w:left w:val="nil"/>
              <w:bottom w:val="single" w:sz="4" w:space="0" w:color="auto"/>
              <w:right w:val="single" w:sz="4" w:space="0" w:color="auto"/>
            </w:tcBorders>
            <w:shd w:val="clear" w:color="auto" w:fill="auto"/>
            <w:vAlign w:val="center"/>
            <w:hideMark/>
          </w:tcPr>
          <w:p w14:paraId="031AF96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1001 - 14257</w:t>
            </w:r>
          </w:p>
        </w:tc>
        <w:tc>
          <w:tcPr>
            <w:tcW w:w="962" w:type="dxa"/>
            <w:tcBorders>
              <w:top w:val="nil"/>
              <w:left w:val="nil"/>
              <w:bottom w:val="single" w:sz="4" w:space="0" w:color="auto"/>
              <w:right w:val="single" w:sz="4" w:space="0" w:color="auto"/>
            </w:tcBorders>
            <w:shd w:val="clear" w:color="auto" w:fill="auto"/>
            <w:vAlign w:val="center"/>
            <w:hideMark/>
          </w:tcPr>
          <w:p w14:paraId="3CDF1B18"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264.39</w:t>
            </w:r>
          </w:p>
        </w:tc>
        <w:tc>
          <w:tcPr>
            <w:tcW w:w="962" w:type="dxa"/>
            <w:tcBorders>
              <w:top w:val="nil"/>
              <w:left w:val="nil"/>
              <w:bottom w:val="single" w:sz="4" w:space="0" w:color="auto"/>
              <w:right w:val="single" w:sz="4" w:space="0" w:color="auto"/>
            </w:tcBorders>
            <w:shd w:val="clear" w:color="auto" w:fill="auto"/>
            <w:vAlign w:val="center"/>
            <w:hideMark/>
          </w:tcPr>
          <w:p w14:paraId="561F3B6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07373E3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6D5B266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5CDD873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298.49</w:t>
            </w:r>
          </w:p>
        </w:tc>
        <w:tc>
          <w:tcPr>
            <w:tcW w:w="1217" w:type="dxa"/>
            <w:tcBorders>
              <w:top w:val="nil"/>
              <w:left w:val="nil"/>
              <w:bottom w:val="single" w:sz="4" w:space="0" w:color="auto"/>
              <w:right w:val="single" w:sz="4" w:space="0" w:color="auto"/>
            </w:tcBorders>
            <w:shd w:val="clear" w:color="auto" w:fill="auto"/>
            <w:vAlign w:val="center"/>
            <w:hideMark/>
          </w:tcPr>
          <w:p w14:paraId="39988F8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299.47</w:t>
            </w:r>
          </w:p>
        </w:tc>
        <w:tc>
          <w:tcPr>
            <w:tcW w:w="1065" w:type="dxa"/>
            <w:tcBorders>
              <w:top w:val="nil"/>
              <w:left w:val="nil"/>
              <w:bottom w:val="single" w:sz="4" w:space="0" w:color="auto"/>
              <w:right w:val="single" w:sz="4" w:space="0" w:color="auto"/>
            </w:tcBorders>
            <w:shd w:val="clear" w:color="000000" w:fill="FFF2CC"/>
            <w:vAlign w:val="center"/>
            <w:hideMark/>
          </w:tcPr>
          <w:p w14:paraId="2CC66238"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862.35</w:t>
            </w:r>
          </w:p>
        </w:tc>
      </w:tr>
      <w:tr w:rsidR="00DF6D3F" w:rsidRPr="009E5B39" w14:paraId="2D7872F2" w14:textId="77777777" w:rsidTr="003E291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0650B10"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22</w:t>
            </w:r>
          </w:p>
        </w:tc>
        <w:tc>
          <w:tcPr>
            <w:tcW w:w="1593" w:type="dxa"/>
            <w:tcBorders>
              <w:top w:val="nil"/>
              <w:left w:val="nil"/>
              <w:bottom w:val="single" w:sz="4" w:space="0" w:color="auto"/>
              <w:right w:val="single" w:sz="4" w:space="0" w:color="auto"/>
            </w:tcBorders>
            <w:shd w:val="clear" w:color="auto" w:fill="auto"/>
            <w:vAlign w:val="center"/>
            <w:hideMark/>
          </w:tcPr>
          <w:p w14:paraId="4F6642B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 „Hyperion”, or. Durlești</w:t>
            </w:r>
          </w:p>
        </w:tc>
        <w:tc>
          <w:tcPr>
            <w:tcW w:w="841" w:type="dxa"/>
            <w:tcBorders>
              <w:top w:val="nil"/>
              <w:left w:val="nil"/>
              <w:bottom w:val="single" w:sz="4" w:space="0" w:color="auto"/>
              <w:right w:val="single" w:sz="4" w:space="0" w:color="auto"/>
            </w:tcBorders>
            <w:shd w:val="clear" w:color="auto" w:fill="auto"/>
            <w:vAlign w:val="center"/>
            <w:hideMark/>
          </w:tcPr>
          <w:p w14:paraId="2119975C"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1001 - 14259</w:t>
            </w:r>
          </w:p>
        </w:tc>
        <w:tc>
          <w:tcPr>
            <w:tcW w:w="962" w:type="dxa"/>
            <w:tcBorders>
              <w:top w:val="nil"/>
              <w:left w:val="nil"/>
              <w:bottom w:val="single" w:sz="4" w:space="0" w:color="auto"/>
              <w:right w:val="single" w:sz="4" w:space="0" w:color="auto"/>
            </w:tcBorders>
            <w:shd w:val="clear" w:color="auto" w:fill="auto"/>
            <w:vAlign w:val="center"/>
            <w:hideMark/>
          </w:tcPr>
          <w:p w14:paraId="6DD05F1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16,316.43</w:t>
            </w:r>
          </w:p>
        </w:tc>
        <w:tc>
          <w:tcPr>
            <w:tcW w:w="962" w:type="dxa"/>
            <w:tcBorders>
              <w:top w:val="nil"/>
              <w:left w:val="nil"/>
              <w:bottom w:val="single" w:sz="4" w:space="0" w:color="auto"/>
              <w:right w:val="single" w:sz="4" w:space="0" w:color="auto"/>
            </w:tcBorders>
            <w:shd w:val="clear" w:color="auto" w:fill="auto"/>
            <w:vAlign w:val="center"/>
            <w:hideMark/>
          </w:tcPr>
          <w:p w14:paraId="6DDCD7C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145,462.81</w:t>
            </w:r>
          </w:p>
        </w:tc>
        <w:tc>
          <w:tcPr>
            <w:tcW w:w="1064" w:type="dxa"/>
            <w:tcBorders>
              <w:top w:val="nil"/>
              <w:left w:val="nil"/>
              <w:bottom w:val="single" w:sz="4" w:space="0" w:color="auto"/>
              <w:right w:val="single" w:sz="4" w:space="0" w:color="auto"/>
            </w:tcBorders>
            <w:shd w:val="clear" w:color="auto" w:fill="auto"/>
            <w:vAlign w:val="center"/>
            <w:hideMark/>
          </w:tcPr>
          <w:p w14:paraId="4C50141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3720766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33,647.78</w:t>
            </w:r>
          </w:p>
        </w:tc>
        <w:tc>
          <w:tcPr>
            <w:tcW w:w="955" w:type="dxa"/>
            <w:tcBorders>
              <w:top w:val="nil"/>
              <w:left w:val="nil"/>
              <w:bottom w:val="single" w:sz="4" w:space="0" w:color="auto"/>
              <w:right w:val="single" w:sz="4" w:space="0" w:color="auto"/>
            </w:tcBorders>
            <w:shd w:val="clear" w:color="auto" w:fill="auto"/>
            <w:vAlign w:val="center"/>
            <w:hideMark/>
          </w:tcPr>
          <w:p w14:paraId="736A128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47565E4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247.09</w:t>
            </w:r>
          </w:p>
        </w:tc>
        <w:tc>
          <w:tcPr>
            <w:tcW w:w="1065" w:type="dxa"/>
            <w:tcBorders>
              <w:top w:val="nil"/>
              <w:left w:val="nil"/>
              <w:bottom w:val="single" w:sz="4" w:space="0" w:color="auto"/>
              <w:right w:val="single" w:sz="4" w:space="0" w:color="auto"/>
            </w:tcBorders>
            <w:shd w:val="clear" w:color="000000" w:fill="FFF2CC"/>
            <w:vAlign w:val="center"/>
            <w:hideMark/>
          </w:tcPr>
          <w:p w14:paraId="576A8B8D"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195,674.11</w:t>
            </w:r>
          </w:p>
        </w:tc>
      </w:tr>
      <w:tr w:rsidR="00DF6D3F" w:rsidRPr="009E5B39" w14:paraId="31CC2DC2" w14:textId="77777777" w:rsidTr="003E291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0DE75C6"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23</w:t>
            </w:r>
          </w:p>
        </w:tc>
        <w:tc>
          <w:tcPr>
            <w:tcW w:w="1593" w:type="dxa"/>
            <w:tcBorders>
              <w:top w:val="nil"/>
              <w:left w:val="nil"/>
              <w:bottom w:val="single" w:sz="4" w:space="0" w:color="auto"/>
              <w:right w:val="single" w:sz="4" w:space="0" w:color="auto"/>
            </w:tcBorders>
            <w:shd w:val="clear" w:color="auto" w:fill="auto"/>
            <w:vAlign w:val="center"/>
            <w:hideMark/>
          </w:tcPr>
          <w:p w14:paraId="7158E7D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 „Alexandru cel Bun”, or. Sîngera</w:t>
            </w:r>
          </w:p>
        </w:tc>
        <w:tc>
          <w:tcPr>
            <w:tcW w:w="841" w:type="dxa"/>
            <w:tcBorders>
              <w:top w:val="nil"/>
              <w:left w:val="nil"/>
              <w:bottom w:val="single" w:sz="4" w:space="0" w:color="auto"/>
              <w:right w:val="single" w:sz="4" w:space="0" w:color="auto"/>
            </w:tcBorders>
            <w:shd w:val="clear" w:color="auto" w:fill="auto"/>
            <w:vAlign w:val="center"/>
            <w:hideMark/>
          </w:tcPr>
          <w:p w14:paraId="7AC25AA6"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1001 - 14260</w:t>
            </w:r>
          </w:p>
        </w:tc>
        <w:tc>
          <w:tcPr>
            <w:tcW w:w="962" w:type="dxa"/>
            <w:tcBorders>
              <w:top w:val="nil"/>
              <w:left w:val="nil"/>
              <w:bottom w:val="single" w:sz="4" w:space="0" w:color="auto"/>
              <w:right w:val="single" w:sz="4" w:space="0" w:color="auto"/>
            </w:tcBorders>
            <w:shd w:val="clear" w:color="auto" w:fill="auto"/>
            <w:vAlign w:val="center"/>
            <w:hideMark/>
          </w:tcPr>
          <w:p w14:paraId="0D1C855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1A336DB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38,210.19</w:t>
            </w:r>
          </w:p>
        </w:tc>
        <w:tc>
          <w:tcPr>
            <w:tcW w:w="1064" w:type="dxa"/>
            <w:tcBorders>
              <w:top w:val="nil"/>
              <w:left w:val="nil"/>
              <w:bottom w:val="single" w:sz="4" w:space="0" w:color="auto"/>
              <w:right w:val="single" w:sz="4" w:space="0" w:color="auto"/>
            </w:tcBorders>
            <w:shd w:val="clear" w:color="auto" w:fill="auto"/>
            <w:vAlign w:val="center"/>
            <w:hideMark/>
          </w:tcPr>
          <w:p w14:paraId="4205A20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6D26EE5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47,136.15</w:t>
            </w:r>
          </w:p>
        </w:tc>
        <w:tc>
          <w:tcPr>
            <w:tcW w:w="955" w:type="dxa"/>
            <w:tcBorders>
              <w:top w:val="nil"/>
              <w:left w:val="nil"/>
              <w:bottom w:val="single" w:sz="4" w:space="0" w:color="auto"/>
              <w:right w:val="single" w:sz="4" w:space="0" w:color="auto"/>
            </w:tcBorders>
            <w:shd w:val="clear" w:color="auto" w:fill="auto"/>
            <w:vAlign w:val="center"/>
            <w:hideMark/>
          </w:tcPr>
          <w:p w14:paraId="09927818"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11,144.00</w:t>
            </w:r>
          </w:p>
        </w:tc>
        <w:tc>
          <w:tcPr>
            <w:tcW w:w="1217" w:type="dxa"/>
            <w:tcBorders>
              <w:top w:val="nil"/>
              <w:left w:val="nil"/>
              <w:bottom w:val="single" w:sz="4" w:space="0" w:color="auto"/>
              <w:right w:val="single" w:sz="4" w:space="0" w:color="auto"/>
            </w:tcBorders>
            <w:shd w:val="clear" w:color="auto" w:fill="auto"/>
            <w:vAlign w:val="center"/>
            <w:hideMark/>
          </w:tcPr>
          <w:p w14:paraId="5315E73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970.12</w:t>
            </w:r>
          </w:p>
        </w:tc>
        <w:tc>
          <w:tcPr>
            <w:tcW w:w="1065" w:type="dxa"/>
            <w:tcBorders>
              <w:top w:val="nil"/>
              <w:left w:val="nil"/>
              <w:bottom w:val="single" w:sz="4" w:space="0" w:color="auto"/>
              <w:right w:val="single" w:sz="4" w:space="0" w:color="auto"/>
            </w:tcBorders>
            <w:shd w:val="clear" w:color="000000" w:fill="FFF2CC"/>
            <w:vAlign w:val="center"/>
            <w:hideMark/>
          </w:tcPr>
          <w:p w14:paraId="0A531EAB"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97,460.46</w:t>
            </w:r>
          </w:p>
        </w:tc>
      </w:tr>
      <w:tr w:rsidR="00DF6D3F" w:rsidRPr="009E5B39" w14:paraId="461FE177" w14:textId="77777777" w:rsidTr="003E291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10448B1"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24</w:t>
            </w:r>
          </w:p>
        </w:tc>
        <w:tc>
          <w:tcPr>
            <w:tcW w:w="1593" w:type="dxa"/>
            <w:tcBorders>
              <w:top w:val="nil"/>
              <w:left w:val="nil"/>
              <w:bottom w:val="single" w:sz="4" w:space="0" w:color="auto"/>
              <w:right w:val="single" w:sz="4" w:space="0" w:color="auto"/>
            </w:tcBorders>
            <w:shd w:val="clear" w:color="auto" w:fill="auto"/>
            <w:vAlign w:val="center"/>
            <w:hideMark/>
          </w:tcPr>
          <w:p w14:paraId="1C656048"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LT„Toader Bubuiog”, com. Bubuieci</w:t>
            </w:r>
          </w:p>
        </w:tc>
        <w:tc>
          <w:tcPr>
            <w:tcW w:w="841" w:type="dxa"/>
            <w:tcBorders>
              <w:top w:val="nil"/>
              <w:left w:val="nil"/>
              <w:bottom w:val="single" w:sz="4" w:space="0" w:color="auto"/>
              <w:right w:val="single" w:sz="4" w:space="0" w:color="auto"/>
            </w:tcBorders>
            <w:shd w:val="clear" w:color="auto" w:fill="auto"/>
            <w:vAlign w:val="center"/>
            <w:hideMark/>
          </w:tcPr>
          <w:p w14:paraId="782B638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1001 - 14261</w:t>
            </w:r>
          </w:p>
        </w:tc>
        <w:tc>
          <w:tcPr>
            <w:tcW w:w="962" w:type="dxa"/>
            <w:tcBorders>
              <w:top w:val="nil"/>
              <w:left w:val="nil"/>
              <w:bottom w:val="single" w:sz="4" w:space="0" w:color="auto"/>
              <w:right w:val="single" w:sz="4" w:space="0" w:color="auto"/>
            </w:tcBorders>
            <w:shd w:val="clear" w:color="auto" w:fill="auto"/>
            <w:vAlign w:val="center"/>
            <w:hideMark/>
          </w:tcPr>
          <w:p w14:paraId="339702C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435394B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787C2DC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4EF61A1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1,271.14</w:t>
            </w:r>
          </w:p>
        </w:tc>
        <w:tc>
          <w:tcPr>
            <w:tcW w:w="955" w:type="dxa"/>
            <w:tcBorders>
              <w:top w:val="nil"/>
              <w:left w:val="nil"/>
              <w:bottom w:val="single" w:sz="4" w:space="0" w:color="auto"/>
              <w:right w:val="single" w:sz="4" w:space="0" w:color="auto"/>
            </w:tcBorders>
            <w:shd w:val="clear" w:color="auto" w:fill="auto"/>
            <w:vAlign w:val="center"/>
            <w:hideMark/>
          </w:tcPr>
          <w:p w14:paraId="5252DD1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4FF95A5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2C0B3C95"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1,271.14</w:t>
            </w:r>
          </w:p>
        </w:tc>
      </w:tr>
      <w:tr w:rsidR="00DF6D3F" w:rsidRPr="009E5B39" w14:paraId="4C82EA5F" w14:textId="77777777" w:rsidTr="003E291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0197B0E"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25</w:t>
            </w:r>
          </w:p>
        </w:tc>
        <w:tc>
          <w:tcPr>
            <w:tcW w:w="1593" w:type="dxa"/>
            <w:tcBorders>
              <w:top w:val="nil"/>
              <w:left w:val="nil"/>
              <w:bottom w:val="single" w:sz="4" w:space="0" w:color="auto"/>
              <w:right w:val="single" w:sz="4" w:space="0" w:color="auto"/>
            </w:tcBorders>
            <w:shd w:val="clear" w:color="auto" w:fill="auto"/>
            <w:vAlign w:val="center"/>
            <w:hideMark/>
          </w:tcPr>
          <w:p w14:paraId="7C92A658"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„Nicolae Bălcescu”</w:t>
            </w:r>
          </w:p>
        </w:tc>
        <w:tc>
          <w:tcPr>
            <w:tcW w:w="841" w:type="dxa"/>
            <w:tcBorders>
              <w:top w:val="nil"/>
              <w:left w:val="nil"/>
              <w:bottom w:val="single" w:sz="4" w:space="0" w:color="auto"/>
              <w:right w:val="single" w:sz="4" w:space="0" w:color="auto"/>
            </w:tcBorders>
            <w:shd w:val="clear" w:color="auto" w:fill="auto"/>
            <w:vAlign w:val="center"/>
            <w:hideMark/>
          </w:tcPr>
          <w:p w14:paraId="21046B24"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1001 - 14262</w:t>
            </w:r>
          </w:p>
        </w:tc>
        <w:tc>
          <w:tcPr>
            <w:tcW w:w="962" w:type="dxa"/>
            <w:tcBorders>
              <w:top w:val="nil"/>
              <w:left w:val="nil"/>
              <w:bottom w:val="single" w:sz="4" w:space="0" w:color="auto"/>
              <w:right w:val="single" w:sz="4" w:space="0" w:color="auto"/>
            </w:tcBorders>
            <w:shd w:val="clear" w:color="auto" w:fill="auto"/>
            <w:vAlign w:val="center"/>
            <w:hideMark/>
          </w:tcPr>
          <w:p w14:paraId="418F109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1,647.22</w:t>
            </w:r>
          </w:p>
        </w:tc>
        <w:tc>
          <w:tcPr>
            <w:tcW w:w="962" w:type="dxa"/>
            <w:tcBorders>
              <w:top w:val="nil"/>
              <w:left w:val="nil"/>
              <w:bottom w:val="single" w:sz="4" w:space="0" w:color="auto"/>
              <w:right w:val="single" w:sz="4" w:space="0" w:color="auto"/>
            </w:tcBorders>
            <w:shd w:val="clear" w:color="auto" w:fill="auto"/>
            <w:vAlign w:val="center"/>
            <w:hideMark/>
          </w:tcPr>
          <w:p w14:paraId="287BE91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34A8E8D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4EF9A51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7,279.02</w:t>
            </w:r>
          </w:p>
        </w:tc>
        <w:tc>
          <w:tcPr>
            <w:tcW w:w="955" w:type="dxa"/>
            <w:tcBorders>
              <w:top w:val="nil"/>
              <w:left w:val="nil"/>
              <w:bottom w:val="single" w:sz="4" w:space="0" w:color="auto"/>
              <w:right w:val="single" w:sz="4" w:space="0" w:color="auto"/>
            </w:tcBorders>
            <w:shd w:val="clear" w:color="auto" w:fill="auto"/>
            <w:vAlign w:val="center"/>
            <w:hideMark/>
          </w:tcPr>
          <w:p w14:paraId="5A3F88D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5272B63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15C548B4"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8,926.24</w:t>
            </w:r>
          </w:p>
        </w:tc>
      </w:tr>
      <w:tr w:rsidR="00DF6D3F" w:rsidRPr="009E5B39" w14:paraId="2CF06BB2" w14:textId="77777777" w:rsidTr="003E291B">
        <w:trPr>
          <w:trHeight w:val="13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5661534"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26</w:t>
            </w:r>
          </w:p>
        </w:tc>
        <w:tc>
          <w:tcPr>
            <w:tcW w:w="1593" w:type="dxa"/>
            <w:tcBorders>
              <w:top w:val="nil"/>
              <w:left w:val="nil"/>
              <w:bottom w:val="single" w:sz="4" w:space="0" w:color="auto"/>
              <w:right w:val="single" w:sz="4" w:space="0" w:color="auto"/>
            </w:tcBorders>
            <w:shd w:val="clear" w:color="auto" w:fill="auto"/>
            <w:vAlign w:val="center"/>
            <w:hideMark/>
          </w:tcPr>
          <w:p w14:paraId="48484BCC"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 „Budești”, com. Budești</w:t>
            </w:r>
          </w:p>
        </w:tc>
        <w:tc>
          <w:tcPr>
            <w:tcW w:w="841" w:type="dxa"/>
            <w:tcBorders>
              <w:top w:val="nil"/>
              <w:left w:val="nil"/>
              <w:bottom w:val="single" w:sz="4" w:space="0" w:color="auto"/>
              <w:right w:val="single" w:sz="4" w:space="0" w:color="auto"/>
            </w:tcBorders>
            <w:shd w:val="clear" w:color="auto" w:fill="auto"/>
            <w:vAlign w:val="center"/>
            <w:hideMark/>
          </w:tcPr>
          <w:p w14:paraId="1890BE2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1001 - 14263</w:t>
            </w:r>
          </w:p>
        </w:tc>
        <w:tc>
          <w:tcPr>
            <w:tcW w:w="962" w:type="dxa"/>
            <w:tcBorders>
              <w:top w:val="nil"/>
              <w:left w:val="nil"/>
              <w:bottom w:val="single" w:sz="4" w:space="0" w:color="auto"/>
              <w:right w:val="single" w:sz="4" w:space="0" w:color="auto"/>
            </w:tcBorders>
            <w:shd w:val="clear" w:color="auto" w:fill="auto"/>
            <w:vAlign w:val="center"/>
            <w:hideMark/>
          </w:tcPr>
          <w:p w14:paraId="03DADCD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11,600.00</w:t>
            </w:r>
          </w:p>
        </w:tc>
        <w:tc>
          <w:tcPr>
            <w:tcW w:w="962" w:type="dxa"/>
            <w:tcBorders>
              <w:top w:val="nil"/>
              <w:left w:val="nil"/>
              <w:bottom w:val="single" w:sz="4" w:space="0" w:color="auto"/>
              <w:right w:val="single" w:sz="4" w:space="0" w:color="auto"/>
            </w:tcBorders>
            <w:shd w:val="clear" w:color="auto" w:fill="auto"/>
            <w:vAlign w:val="center"/>
            <w:hideMark/>
          </w:tcPr>
          <w:p w14:paraId="7E5710A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37,833.36</w:t>
            </w:r>
          </w:p>
        </w:tc>
        <w:tc>
          <w:tcPr>
            <w:tcW w:w="1064" w:type="dxa"/>
            <w:tcBorders>
              <w:top w:val="nil"/>
              <w:left w:val="nil"/>
              <w:bottom w:val="single" w:sz="4" w:space="0" w:color="auto"/>
              <w:right w:val="single" w:sz="4" w:space="0" w:color="auto"/>
            </w:tcBorders>
            <w:shd w:val="clear" w:color="auto" w:fill="auto"/>
            <w:vAlign w:val="center"/>
            <w:hideMark/>
          </w:tcPr>
          <w:p w14:paraId="6D279E4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23EF028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3,559.54</w:t>
            </w:r>
          </w:p>
        </w:tc>
        <w:tc>
          <w:tcPr>
            <w:tcW w:w="955" w:type="dxa"/>
            <w:tcBorders>
              <w:top w:val="nil"/>
              <w:left w:val="nil"/>
              <w:bottom w:val="single" w:sz="4" w:space="0" w:color="auto"/>
              <w:right w:val="single" w:sz="4" w:space="0" w:color="auto"/>
            </w:tcBorders>
            <w:shd w:val="clear" w:color="auto" w:fill="auto"/>
            <w:vAlign w:val="center"/>
            <w:hideMark/>
          </w:tcPr>
          <w:p w14:paraId="23419418"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25DB316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6502868B"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52,992.90</w:t>
            </w:r>
          </w:p>
        </w:tc>
      </w:tr>
      <w:tr w:rsidR="00DF6D3F" w:rsidRPr="009E5B39" w14:paraId="6F9638BE" w14:textId="77777777" w:rsidTr="003E291B">
        <w:trPr>
          <w:trHeight w:val="16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1E606668"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27</w:t>
            </w:r>
          </w:p>
        </w:tc>
        <w:tc>
          <w:tcPr>
            <w:tcW w:w="1593" w:type="dxa"/>
            <w:tcBorders>
              <w:top w:val="nil"/>
              <w:left w:val="nil"/>
              <w:bottom w:val="single" w:sz="4" w:space="0" w:color="auto"/>
              <w:right w:val="single" w:sz="4" w:space="0" w:color="auto"/>
            </w:tcBorders>
            <w:shd w:val="clear" w:color="auto" w:fill="auto"/>
            <w:vAlign w:val="center"/>
            <w:hideMark/>
          </w:tcPr>
          <w:p w14:paraId="734555FB"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 „Grigore Vieru”, com. Băcioi</w:t>
            </w:r>
          </w:p>
        </w:tc>
        <w:tc>
          <w:tcPr>
            <w:tcW w:w="841" w:type="dxa"/>
            <w:tcBorders>
              <w:top w:val="nil"/>
              <w:left w:val="nil"/>
              <w:bottom w:val="single" w:sz="4" w:space="0" w:color="auto"/>
              <w:right w:val="single" w:sz="4" w:space="0" w:color="auto"/>
            </w:tcBorders>
            <w:shd w:val="clear" w:color="auto" w:fill="auto"/>
            <w:vAlign w:val="center"/>
            <w:hideMark/>
          </w:tcPr>
          <w:p w14:paraId="460072D9"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1001 - 14264</w:t>
            </w:r>
          </w:p>
        </w:tc>
        <w:tc>
          <w:tcPr>
            <w:tcW w:w="962" w:type="dxa"/>
            <w:tcBorders>
              <w:top w:val="nil"/>
              <w:left w:val="nil"/>
              <w:bottom w:val="single" w:sz="4" w:space="0" w:color="auto"/>
              <w:right w:val="single" w:sz="4" w:space="0" w:color="auto"/>
            </w:tcBorders>
            <w:shd w:val="clear" w:color="auto" w:fill="auto"/>
            <w:vAlign w:val="center"/>
            <w:hideMark/>
          </w:tcPr>
          <w:p w14:paraId="1A42C1A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2,273.81</w:t>
            </w:r>
          </w:p>
        </w:tc>
        <w:tc>
          <w:tcPr>
            <w:tcW w:w="962" w:type="dxa"/>
            <w:tcBorders>
              <w:top w:val="nil"/>
              <w:left w:val="nil"/>
              <w:bottom w:val="single" w:sz="4" w:space="0" w:color="auto"/>
              <w:right w:val="single" w:sz="4" w:space="0" w:color="auto"/>
            </w:tcBorders>
            <w:shd w:val="clear" w:color="auto" w:fill="auto"/>
            <w:vAlign w:val="center"/>
            <w:hideMark/>
          </w:tcPr>
          <w:p w14:paraId="0E0B0C5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18,779.58</w:t>
            </w:r>
          </w:p>
        </w:tc>
        <w:tc>
          <w:tcPr>
            <w:tcW w:w="1064" w:type="dxa"/>
            <w:tcBorders>
              <w:top w:val="nil"/>
              <w:left w:val="nil"/>
              <w:bottom w:val="single" w:sz="4" w:space="0" w:color="auto"/>
              <w:right w:val="single" w:sz="4" w:space="0" w:color="auto"/>
            </w:tcBorders>
            <w:shd w:val="clear" w:color="auto" w:fill="auto"/>
            <w:vAlign w:val="center"/>
            <w:hideMark/>
          </w:tcPr>
          <w:p w14:paraId="58E4363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460013E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3,423.00</w:t>
            </w:r>
          </w:p>
        </w:tc>
        <w:tc>
          <w:tcPr>
            <w:tcW w:w="955" w:type="dxa"/>
            <w:tcBorders>
              <w:top w:val="nil"/>
              <w:left w:val="nil"/>
              <w:bottom w:val="single" w:sz="4" w:space="0" w:color="auto"/>
              <w:right w:val="single" w:sz="4" w:space="0" w:color="auto"/>
            </w:tcBorders>
            <w:shd w:val="clear" w:color="auto" w:fill="auto"/>
            <w:vAlign w:val="center"/>
            <w:hideMark/>
          </w:tcPr>
          <w:p w14:paraId="0C08427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33E97B0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1F21D287"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24,476.39</w:t>
            </w:r>
          </w:p>
        </w:tc>
      </w:tr>
      <w:tr w:rsidR="00DF6D3F" w:rsidRPr="009E5B39" w14:paraId="52795E5A"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710BB799"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28</w:t>
            </w:r>
          </w:p>
        </w:tc>
        <w:tc>
          <w:tcPr>
            <w:tcW w:w="1593" w:type="dxa"/>
            <w:tcBorders>
              <w:top w:val="nil"/>
              <w:left w:val="nil"/>
              <w:bottom w:val="single" w:sz="4" w:space="0" w:color="auto"/>
              <w:right w:val="single" w:sz="4" w:space="0" w:color="auto"/>
            </w:tcBorders>
            <w:shd w:val="clear" w:color="auto" w:fill="auto"/>
            <w:vAlign w:val="center"/>
            <w:hideMark/>
          </w:tcPr>
          <w:p w14:paraId="698F5C0B"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Şcoala sportivă de polo pe apă „Delfin”</w:t>
            </w:r>
          </w:p>
        </w:tc>
        <w:tc>
          <w:tcPr>
            <w:tcW w:w="841" w:type="dxa"/>
            <w:tcBorders>
              <w:top w:val="nil"/>
              <w:left w:val="nil"/>
              <w:bottom w:val="single" w:sz="4" w:space="0" w:color="auto"/>
              <w:right w:val="single" w:sz="4" w:space="0" w:color="auto"/>
            </w:tcBorders>
            <w:shd w:val="clear" w:color="auto" w:fill="auto"/>
            <w:vAlign w:val="center"/>
            <w:hideMark/>
          </w:tcPr>
          <w:p w14:paraId="3BCB0EC1"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1001 - 14286</w:t>
            </w:r>
          </w:p>
        </w:tc>
        <w:tc>
          <w:tcPr>
            <w:tcW w:w="962" w:type="dxa"/>
            <w:tcBorders>
              <w:top w:val="nil"/>
              <w:left w:val="nil"/>
              <w:bottom w:val="single" w:sz="4" w:space="0" w:color="auto"/>
              <w:right w:val="single" w:sz="4" w:space="0" w:color="auto"/>
            </w:tcBorders>
            <w:shd w:val="clear" w:color="auto" w:fill="auto"/>
            <w:vAlign w:val="center"/>
            <w:hideMark/>
          </w:tcPr>
          <w:p w14:paraId="7801C62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9,329.73</w:t>
            </w:r>
          </w:p>
        </w:tc>
        <w:tc>
          <w:tcPr>
            <w:tcW w:w="962" w:type="dxa"/>
            <w:tcBorders>
              <w:top w:val="nil"/>
              <w:left w:val="nil"/>
              <w:bottom w:val="single" w:sz="4" w:space="0" w:color="auto"/>
              <w:right w:val="single" w:sz="4" w:space="0" w:color="auto"/>
            </w:tcBorders>
            <w:shd w:val="clear" w:color="auto" w:fill="auto"/>
            <w:vAlign w:val="center"/>
            <w:hideMark/>
          </w:tcPr>
          <w:p w14:paraId="771B76F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73AF055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1C6CDC4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228.70</w:t>
            </w:r>
          </w:p>
        </w:tc>
        <w:tc>
          <w:tcPr>
            <w:tcW w:w="955" w:type="dxa"/>
            <w:tcBorders>
              <w:top w:val="nil"/>
              <w:left w:val="nil"/>
              <w:bottom w:val="single" w:sz="4" w:space="0" w:color="auto"/>
              <w:right w:val="single" w:sz="4" w:space="0" w:color="auto"/>
            </w:tcBorders>
            <w:shd w:val="clear" w:color="auto" w:fill="auto"/>
            <w:vAlign w:val="center"/>
            <w:hideMark/>
          </w:tcPr>
          <w:p w14:paraId="174C865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6DCB521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2C18E797"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9,558.43</w:t>
            </w:r>
          </w:p>
        </w:tc>
      </w:tr>
      <w:tr w:rsidR="00DF6D3F" w:rsidRPr="009E5B39" w14:paraId="62589178"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15257C03"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29</w:t>
            </w:r>
          </w:p>
        </w:tc>
        <w:tc>
          <w:tcPr>
            <w:tcW w:w="1593" w:type="dxa"/>
            <w:tcBorders>
              <w:top w:val="nil"/>
              <w:left w:val="nil"/>
              <w:bottom w:val="single" w:sz="4" w:space="0" w:color="auto"/>
              <w:right w:val="single" w:sz="4" w:space="0" w:color="auto"/>
            </w:tcBorders>
            <w:shd w:val="clear" w:color="auto" w:fill="auto"/>
            <w:vAlign w:val="center"/>
            <w:hideMark/>
          </w:tcPr>
          <w:p w14:paraId="5A134658"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„Georghe Asachi”</w:t>
            </w:r>
          </w:p>
        </w:tc>
        <w:tc>
          <w:tcPr>
            <w:tcW w:w="841" w:type="dxa"/>
            <w:tcBorders>
              <w:top w:val="nil"/>
              <w:left w:val="nil"/>
              <w:bottom w:val="single" w:sz="4" w:space="0" w:color="auto"/>
              <w:right w:val="single" w:sz="4" w:space="0" w:color="auto"/>
            </w:tcBorders>
            <w:shd w:val="clear" w:color="auto" w:fill="auto"/>
            <w:vAlign w:val="center"/>
            <w:hideMark/>
          </w:tcPr>
          <w:p w14:paraId="307E9435"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1001 - 15290</w:t>
            </w:r>
          </w:p>
        </w:tc>
        <w:tc>
          <w:tcPr>
            <w:tcW w:w="962" w:type="dxa"/>
            <w:tcBorders>
              <w:top w:val="nil"/>
              <w:left w:val="nil"/>
              <w:bottom w:val="single" w:sz="4" w:space="0" w:color="auto"/>
              <w:right w:val="single" w:sz="4" w:space="0" w:color="auto"/>
            </w:tcBorders>
            <w:shd w:val="clear" w:color="auto" w:fill="auto"/>
            <w:vAlign w:val="center"/>
            <w:hideMark/>
          </w:tcPr>
          <w:p w14:paraId="030880D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50,000.00</w:t>
            </w:r>
          </w:p>
        </w:tc>
        <w:tc>
          <w:tcPr>
            <w:tcW w:w="962" w:type="dxa"/>
            <w:tcBorders>
              <w:top w:val="nil"/>
              <w:left w:val="nil"/>
              <w:bottom w:val="single" w:sz="4" w:space="0" w:color="auto"/>
              <w:right w:val="single" w:sz="4" w:space="0" w:color="auto"/>
            </w:tcBorders>
            <w:shd w:val="clear" w:color="auto" w:fill="auto"/>
            <w:vAlign w:val="center"/>
            <w:hideMark/>
          </w:tcPr>
          <w:p w14:paraId="784435F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6BD7077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59,616.93</w:t>
            </w:r>
          </w:p>
        </w:tc>
        <w:tc>
          <w:tcPr>
            <w:tcW w:w="962" w:type="dxa"/>
            <w:tcBorders>
              <w:top w:val="nil"/>
              <w:left w:val="nil"/>
              <w:bottom w:val="single" w:sz="4" w:space="0" w:color="auto"/>
              <w:right w:val="single" w:sz="4" w:space="0" w:color="auto"/>
            </w:tcBorders>
            <w:shd w:val="clear" w:color="auto" w:fill="auto"/>
            <w:vAlign w:val="center"/>
            <w:hideMark/>
          </w:tcPr>
          <w:p w14:paraId="3347578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52F6698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2,860.00</w:t>
            </w:r>
          </w:p>
        </w:tc>
        <w:tc>
          <w:tcPr>
            <w:tcW w:w="1217" w:type="dxa"/>
            <w:tcBorders>
              <w:top w:val="nil"/>
              <w:left w:val="nil"/>
              <w:bottom w:val="single" w:sz="4" w:space="0" w:color="auto"/>
              <w:right w:val="single" w:sz="4" w:space="0" w:color="auto"/>
            </w:tcBorders>
            <w:shd w:val="clear" w:color="auto" w:fill="auto"/>
            <w:vAlign w:val="center"/>
            <w:hideMark/>
          </w:tcPr>
          <w:p w14:paraId="523C424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6CC87C61"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112,476.93</w:t>
            </w:r>
          </w:p>
        </w:tc>
      </w:tr>
      <w:tr w:rsidR="00DF6D3F" w:rsidRPr="009E5B39" w14:paraId="73DC2779" w14:textId="77777777" w:rsidTr="003E291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7AD188B9"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30</w:t>
            </w:r>
          </w:p>
        </w:tc>
        <w:tc>
          <w:tcPr>
            <w:tcW w:w="1593" w:type="dxa"/>
            <w:tcBorders>
              <w:top w:val="nil"/>
              <w:left w:val="nil"/>
              <w:bottom w:val="single" w:sz="4" w:space="0" w:color="auto"/>
              <w:right w:val="single" w:sz="4" w:space="0" w:color="auto"/>
            </w:tcBorders>
            <w:shd w:val="clear" w:color="auto" w:fill="auto"/>
            <w:vAlign w:val="center"/>
            <w:hideMark/>
          </w:tcPr>
          <w:p w14:paraId="5377232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„Mihail Berezovschi”</w:t>
            </w:r>
          </w:p>
        </w:tc>
        <w:tc>
          <w:tcPr>
            <w:tcW w:w="841" w:type="dxa"/>
            <w:tcBorders>
              <w:top w:val="nil"/>
              <w:left w:val="nil"/>
              <w:bottom w:val="single" w:sz="4" w:space="0" w:color="auto"/>
              <w:right w:val="single" w:sz="4" w:space="0" w:color="auto"/>
            </w:tcBorders>
            <w:shd w:val="clear" w:color="auto" w:fill="auto"/>
            <w:vAlign w:val="center"/>
            <w:hideMark/>
          </w:tcPr>
          <w:p w14:paraId="1C8BA7FF"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1001 - 15291</w:t>
            </w:r>
          </w:p>
        </w:tc>
        <w:tc>
          <w:tcPr>
            <w:tcW w:w="962" w:type="dxa"/>
            <w:tcBorders>
              <w:top w:val="nil"/>
              <w:left w:val="nil"/>
              <w:bottom w:val="single" w:sz="4" w:space="0" w:color="auto"/>
              <w:right w:val="single" w:sz="4" w:space="0" w:color="auto"/>
            </w:tcBorders>
            <w:shd w:val="clear" w:color="auto" w:fill="auto"/>
            <w:vAlign w:val="center"/>
            <w:hideMark/>
          </w:tcPr>
          <w:p w14:paraId="34B8908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278DF31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0BB3CE5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0BFEB0C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13,942.20</w:t>
            </w:r>
          </w:p>
        </w:tc>
        <w:tc>
          <w:tcPr>
            <w:tcW w:w="955" w:type="dxa"/>
            <w:tcBorders>
              <w:top w:val="nil"/>
              <w:left w:val="nil"/>
              <w:bottom w:val="single" w:sz="4" w:space="0" w:color="auto"/>
              <w:right w:val="single" w:sz="4" w:space="0" w:color="auto"/>
            </w:tcBorders>
            <w:shd w:val="clear" w:color="auto" w:fill="auto"/>
            <w:vAlign w:val="center"/>
            <w:hideMark/>
          </w:tcPr>
          <w:p w14:paraId="44D164D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1,560.00</w:t>
            </w:r>
          </w:p>
        </w:tc>
        <w:tc>
          <w:tcPr>
            <w:tcW w:w="1217" w:type="dxa"/>
            <w:tcBorders>
              <w:top w:val="nil"/>
              <w:left w:val="nil"/>
              <w:bottom w:val="single" w:sz="4" w:space="0" w:color="auto"/>
              <w:right w:val="single" w:sz="4" w:space="0" w:color="auto"/>
            </w:tcBorders>
            <w:shd w:val="clear" w:color="auto" w:fill="auto"/>
            <w:vAlign w:val="center"/>
            <w:hideMark/>
          </w:tcPr>
          <w:p w14:paraId="30175B9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0B205EA9"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15,502.20</w:t>
            </w:r>
          </w:p>
        </w:tc>
      </w:tr>
      <w:tr w:rsidR="00DF6D3F" w:rsidRPr="009E5B39" w14:paraId="0948A6B1"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FE341FE"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31</w:t>
            </w:r>
          </w:p>
        </w:tc>
        <w:tc>
          <w:tcPr>
            <w:tcW w:w="1593" w:type="dxa"/>
            <w:tcBorders>
              <w:top w:val="nil"/>
              <w:left w:val="nil"/>
              <w:bottom w:val="single" w:sz="4" w:space="0" w:color="auto"/>
              <w:right w:val="single" w:sz="4" w:space="0" w:color="auto"/>
            </w:tcBorders>
            <w:shd w:val="clear" w:color="auto" w:fill="auto"/>
            <w:vAlign w:val="center"/>
            <w:hideMark/>
          </w:tcPr>
          <w:p w14:paraId="2C67A2F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„Milescu Spătaru”</w:t>
            </w:r>
          </w:p>
        </w:tc>
        <w:tc>
          <w:tcPr>
            <w:tcW w:w="841" w:type="dxa"/>
            <w:tcBorders>
              <w:top w:val="nil"/>
              <w:left w:val="nil"/>
              <w:bottom w:val="single" w:sz="4" w:space="0" w:color="auto"/>
              <w:right w:val="single" w:sz="4" w:space="0" w:color="auto"/>
            </w:tcBorders>
            <w:shd w:val="clear" w:color="auto" w:fill="auto"/>
            <w:vAlign w:val="center"/>
            <w:hideMark/>
          </w:tcPr>
          <w:p w14:paraId="1EE4851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1001 - 15294</w:t>
            </w:r>
          </w:p>
        </w:tc>
        <w:tc>
          <w:tcPr>
            <w:tcW w:w="962" w:type="dxa"/>
            <w:tcBorders>
              <w:top w:val="nil"/>
              <w:left w:val="nil"/>
              <w:bottom w:val="single" w:sz="4" w:space="0" w:color="auto"/>
              <w:right w:val="single" w:sz="4" w:space="0" w:color="auto"/>
            </w:tcBorders>
            <w:shd w:val="clear" w:color="auto" w:fill="auto"/>
            <w:vAlign w:val="center"/>
            <w:hideMark/>
          </w:tcPr>
          <w:p w14:paraId="3FD2EAF8"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11,622.96</w:t>
            </w:r>
          </w:p>
        </w:tc>
        <w:tc>
          <w:tcPr>
            <w:tcW w:w="962" w:type="dxa"/>
            <w:tcBorders>
              <w:top w:val="nil"/>
              <w:left w:val="nil"/>
              <w:bottom w:val="single" w:sz="4" w:space="0" w:color="auto"/>
              <w:right w:val="single" w:sz="4" w:space="0" w:color="auto"/>
            </w:tcBorders>
            <w:shd w:val="clear" w:color="auto" w:fill="auto"/>
            <w:vAlign w:val="center"/>
            <w:hideMark/>
          </w:tcPr>
          <w:p w14:paraId="198D129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540F3DA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67BC900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8,806.95</w:t>
            </w:r>
          </w:p>
        </w:tc>
        <w:tc>
          <w:tcPr>
            <w:tcW w:w="955" w:type="dxa"/>
            <w:tcBorders>
              <w:top w:val="nil"/>
              <w:left w:val="nil"/>
              <w:bottom w:val="single" w:sz="4" w:space="0" w:color="auto"/>
              <w:right w:val="single" w:sz="4" w:space="0" w:color="auto"/>
            </w:tcBorders>
            <w:shd w:val="clear" w:color="auto" w:fill="auto"/>
            <w:vAlign w:val="center"/>
            <w:hideMark/>
          </w:tcPr>
          <w:p w14:paraId="47EF038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37677D2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42.00</w:t>
            </w:r>
          </w:p>
        </w:tc>
        <w:tc>
          <w:tcPr>
            <w:tcW w:w="1065" w:type="dxa"/>
            <w:tcBorders>
              <w:top w:val="nil"/>
              <w:left w:val="nil"/>
              <w:bottom w:val="single" w:sz="4" w:space="0" w:color="auto"/>
              <w:right w:val="single" w:sz="4" w:space="0" w:color="auto"/>
            </w:tcBorders>
            <w:shd w:val="clear" w:color="000000" w:fill="FFF2CC"/>
            <w:vAlign w:val="center"/>
            <w:hideMark/>
          </w:tcPr>
          <w:p w14:paraId="183A2275"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20,471.91</w:t>
            </w:r>
          </w:p>
        </w:tc>
      </w:tr>
      <w:tr w:rsidR="00DF6D3F" w:rsidRPr="009E5B39" w14:paraId="06545B6B"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432F9304"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32</w:t>
            </w:r>
          </w:p>
        </w:tc>
        <w:tc>
          <w:tcPr>
            <w:tcW w:w="1593" w:type="dxa"/>
            <w:tcBorders>
              <w:top w:val="nil"/>
              <w:left w:val="nil"/>
              <w:bottom w:val="single" w:sz="4" w:space="0" w:color="auto"/>
              <w:right w:val="single" w:sz="4" w:space="0" w:color="auto"/>
            </w:tcBorders>
            <w:shd w:val="clear" w:color="auto" w:fill="auto"/>
            <w:vAlign w:val="center"/>
            <w:hideMark/>
          </w:tcPr>
          <w:p w14:paraId="1327DB9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„Vasile Vasilache”</w:t>
            </w:r>
          </w:p>
        </w:tc>
        <w:tc>
          <w:tcPr>
            <w:tcW w:w="841" w:type="dxa"/>
            <w:tcBorders>
              <w:top w:val="nil"/>
              <w:left w:val="nil"/>
              <w:bottom w:val="single" w:sz="4" w:space="0" w:color="auto"/>
              <w:right w:val="single" w:sz="4" w:space="0" w:color="auto"/>
            </w:tcBorders>
            <w:shd w:val="clear" w:color="auto" w:fill="auto"/>
            <w:vAlign w:val="center"/>
            <w:hideMark/>
          </w:tcPr>
          <w:p w14:paraId="7B1F1EB7"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1001 - 15789</w:t>
            </w:r>
          </w:p>
        </w:tc>
        <w:tc>
          <w:tcPr>
            <w:tcW w:w="962" w:type="dxa"/>
            <w:tcBorders>
              <w:top w:val="nil"/>
              <w:left w:val="nil"/>
              <w:bottom w:val="single" w:sz="4" w:space="0" w:color="auto"/>
              <w:right w:val="single" w:sz="4" w:space="0" w:color="auto"/>
            </w:tcBorders>
            <w:shd w:val="clear" w:color="auto" w:fill="auto"/>
            <w:vAlign w:val="center"/>
            <w:hideMark/>
          </w:tcPr>
          <w:p w14:paraId="73EA58E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12,342.91</w:t>
            </w:r>
          </w:p>
        </w:tc>
        <w:tc>
          <w:tcPr>
            <w:tcW w:w="962" w:type="dxa"/>
            <w:tcBorders>
              <w:top w:val="nil"/>
              <w:left w:val="nil"/>
              <w:bottom w:val="single" w:sz="4" w:space="0" w:color="auto"/>
              <w:right w:val="single" w:sz="4" w:space="0" w:color="auto"/>
            </w:tcBorders>
            <w:shd w:val="clear" w:color="auto" w:fill="auto"/>
            <w:vAlign w:val="center"/>
            <w:hideMark/>
          </w:tcPr>
          <w:p w14:paraId="00616AA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3445C00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11,596.28</w:t>
            </w:r>
          </w:p>
        </w:tc>
        <w:tc>
          <w:tcPr>
            <w:tcW w:w="962" w:type="dxa"/>
            <w:tcBorders>
              <w:top w:val="nil"/>
              <w:left w:val="nil"/>
              <w:bottom w:val="single" w:sz="4" w:space="0" w:color="auto"/>
              <w:right w:val="single" w:sz="4" w:space="0" w:color="auto"/>
            </w:tcBorders>
            <w:shd w:val="clear" w:color="auto" w:fill="auto"/>
            <w:vAlign w:val="center"/>
            <w:hideMark/>
          </w:tcPr>
          <w:p w14:paraId="72E4458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1,479.76</w:t>
            </w:r>
          </w:p>
        </w:tc>
        <w:tc>
          <w:tcPr>
            <w:tcW w:w="955" w:type="dxa"/>
            <w:tcBorders>
              <w:top w:val="nil"/>
              <w:left w:val="nil"/>
              <w:bottom w:val="single" w:sz="4" w:space="0" w:color="auto"/>
              <w:right w:val="single" w:sz="4" w:space="0" w:color="auto"/>
            </w:tcBorders>
            <w:shd w:val="clear" w:color="auto" w:fill="auto"/>
            <w:vAlign w:val="center"/>
            <w:hideMark/>
          </w:tcPr>
          <w:p w14:paraId="3A4B24E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6FD29C6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1,011.19</w:t>
            </w:r>
          </w:p>
        </w:tc>
        <w:tc>
          <w:tcPr>
            <w:tcW w:w="1065" w:type="dxa"/>
            <w:tcBorders>
              <w:top w:val="nil"/>
              <w:left w:val="nil"/>
              <w:bottom w:val="single" w:sz="4" w:space="0" w:color="auto"/>
              <w:right w:val="single" w:sz="4" w:space="0" w:color="auto"/>
            </w:tcBorders>
            <w:shd w:val="clear" w:color="000000" w:fill="FFF2CC"/>
            <w:vAlign w:val="center"/>
            <w:hideMark/>
          </w:tcPr>
          <w:p w14:paraId="7DC84036"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26,430.14</w:t>
            </w:r>
          </w:p>
        </w:tc>
      </w:tr>
      <w:tr w:rsidR="00DF6D3F" w:rsidRPr="009E5B39" w14:paraId="64323E67" w14:textId="77777777" w:rsidTr="003E291B">
        <w:trPr>
          <w:trHeight w:val="43"/>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6D43DED3"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33</w:t>
            </w:r>
          </w:p>
        </w:tc>
        <w:tc>
          <w:tcPr>
            <w:tcW w:w="1593" w:type="dxa"/>
            <w:tcBorders>
              <w:top w:val="nil"/>
              <w:left w:val="nil"/>
              <w:bottom w:val="single" w:sz="4" w:space="0" w:color="auto"/>
              <w:right w:val="single" w:sz="4" w:space="0" w:color="auto"/>
            </w:tcBorders>
            <w:shd w:val="clear" w:color="auto" w:fill="auto"/>
            <w:vAlign w:val="center"/>
            <w:hideMark/>
          </w:tcPr>
          <w:p w14:paraId="5FC84561"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 „Alexei Mateevici”,o. Cricova</w:t>
            </w:r>
          </w:p>
        </w:tc>
        <w:tc>
          <w:tcPr>
            <w:tcW w:w="841" w:type="dxa"/>
            <w:tcBorders>
              <w:top w:val="nil"/>
              <w:left w:val="nil"/>
              <w:bottom w:val="single" w:sz="4" w:space="0" w:color="auto"/>
              <w:right w:val="single" w:sz="4" w:space="0" w:color="auto"/>
            </w:tcBorders>
            <w:shd w:val="clear" w:color="auto" w:fill="auto"/>
            <w:vAlign w:val="center"/>
            <w:hideMark/>
          </w:tcPr>
          <w:p w14:paraId="211A767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1001 - 15977</w:t>
            </w:r>
          </w:p>
        </w:tc>
        <w:tc>
          <w:tcPr>
            <w:tcW w:w="962" w:type="dxa"/>
            <w:tcBorders>
              <w:top w:val="nil"/>
              <w:left w:val="nil"/>
              <w:bottom w:val="single" w:sz="4" w:space="0" w:color="auto"/>
              <w:right w:val="single" w:sz="4" w:space="0" w:color="auto"/>
            </w:tcBorders>
            <w:shd w:val="clear" w:color="auto" w:fill="auto"/>
            <w:vAlign w:val="center"/>
            <w:hideMark/>
          </w:tcPr>
          <w:p w14:paraId="0F3FF0C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2305B11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2C67267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4,630.89</w:t>
            </w:r>
          </w:p>
        </w:tc>
        <w:tc>
          <w:tcPr>
            <w:tcW w:w="962" w:type="dxa"/>
            <w:tcBorders>
              <w:top w:val="nil"/>
              <w:left w:val="nil"/>
              <w:bottom w:val="single" w:sz="4" w:space="0" w:color="auto"/>
              <w:right w:val="single" w:sz="4" w:space="0" w:color="auto"/>
            </w:tcBorders>
            <w:shd w:val="clear" w:color="auto" w:fill="auto"/>
            <w:vAlign w:val="center"/>
            <w:hideMark/>
          </w:tcPr>
          <w:p w14:paraId="0C3C0AD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7678788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06B4A32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5AE37CA9"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4,630.89</w:t>
            </w:r>
          </w:p>
        </w:tc>
      </w:tr>
      <w:tr w:rsidR="00DF6D3F" w:rsidRPr="009E5B39" w14:paraId="3C03BFF2" w14:textId="77777777" w:rsidTr="003E291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7690DB8B"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34</w:t>
            </w:r>
          </w:p>
        </w:tc>
        <w:tc>
          <w:tcPr>
            <w:tcW w:w="1593" w:type="dxa"/>
            <w:tcBorders>
              <w:top w:val="nil"/>
              <w:left w:val="nil"/>
              <w:bottom w:val="single" w:sz="4" w:space="0" w:color="auto"/>
              <w:right w:val="single" w:sz="4" w:space="0" w:color="auto"/>
            </w:tcBorders>
            <w:shd w:val="clear" w:color="auto" w:fill="auto"/>
            <w:vAlign w:val="center"/>
            <w:hideMark/>
          </w:tcPr>
          <w:p w14:paraId="2E435371"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„Dimitrie Cantemir”</w:t>
            </w:r>
          </w:p>
        </w:tc>
        <w:tc>
          <w:tcPr>
            <w:tcW w:w="841" w:type="dxa"/>
            <w:tcBorders>
              <w:top w:val="nil"/>
              <w:left w:val="nil"/>
              <w:bottom w:val="single" w:sz="4" w:space="0" w:color="auto"/>
              <w:right w:val="single" w:sz="4" w:space="0" w:color="auto"/>
            </w:tcBorders>
            <w:shd w:val="clear" w:color="auto" w:fill="auto"/>
            <w:vAlign w:val="center"/>
            <w:hideMark/>
          </w:tcPr>
          <w:p w14:paraId="67E4D7E9"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1001 - 15978</w:t>
            </w:r>
          </w:p>
        </w:tc>
        <w:tc>
          <w:tcPr>
            <w:tcW w:w="962" w:type="dxa"/>
            <w:tcBorders>
              <w:top w:val="nil"/>
              <w:left w:val="nil"/>
              <w:bottom w:val="single" w:sz="4" w:space="0" w:color="auto"/>
              <w:right w:val="single" w:sz="4" w:space="0" w:color="auto"/>
            </w:tcBorders>
            <w:shd w:val="clear" w:color="auto" w:fill="auto"/>
            <w:vAlign w:val="center"/>
            <w:hideMark/>
          </w:tcPr>
          <w:p w14:paraId="513BF8E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9,284.96</w:t>
            </w:r>
          </w:p>
        </w:tc>
        <w:tc>
          <w:tcPr>
            <w:tcW w:w="962" w:type="dxa"/>
            <w:tcBorders>
              <w:top w:val="nil"/>
              <w:left w:val="nil"/>
              <w:bottom w:val="single" w:sz="4" w:space="0" w:color="auto"/>
              <w:right w:val="single" w:sz="4" w:space="0" w:color="auto"/>
            </w:tcBorders>
            <w:shd w:val="clear" w:color="auto" w:fill="auto"/>
            <w:vAlign w:val="center"/>
            <w:hideMark/>
          </w:tcPr>
          <w:p w14:paraId="04C7DDE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0297CA2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9,026.54</w:t>
            </w:r>
          </w:p>
        </w:tc>
        <w:tc>
          <w:tcPr>
            <w:tcW w:w="962" w:type="dxa"/>
            <w:tcBorders>
              <w:top w:val="nil"/>
              <w:left w:val="nil"/>
              <w:bottom w:val="single" w:sz="4" w:space="0" w:color="auto"/>
              <w:right w:val="single" w:sz="4" w:space="0" w:color="auto"/>
            </w:tcBorders>
            <w:shd w:val="clear" w:color="auto" w:fill="auto"/>
            <w:vAlign w:val="center"/>
            <w:hideMark/>
          </w:tcPr>
          <w:p w14:paraId="1433ADC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4,212.54</w:t>
            </w:r>
          </w:p>
        </w:tc>
        <w:tc>
          <w:tcPr>
            <w:tcW w:w="955" w:type="dxa"/>
            <w:tcBorders>
              <w:top w:val="nil"/>
              <w:left w:val="nil"/>
              <w:bottom w:val="single" w:sz="4" w:space="0" w:color="auto"/>
              <w:right w:val="single" w:sz="4" w:space="0" w:color="auto"/>
            </w:tcBorders>
            <w:shd w:val="clear" w:color="auto" w:fill="auto"/>
            <w:vAlign w:val="center"/>
            <w:hideMark/>
          </w:tcPr>
          <w:p w14:paraId="1D9DD90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4B9B9B1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2B998804"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22,524.04</w:t>
            </w:r>
          </w:p>
        </w:tc>
      </w:tr>
      <w:tr w:rsidR="00DF6D3F" w:rsidRPr="009E5B39" w14:paraId="2BD94C64"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76E76D1E"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35</w:t>
            </w:r>
          </w:p>
        </w:tc>
        <w:tc>
          <w:tcPr>
            <w:tcW w:w="1593" w:type="dxa"/>
            <w:tcBorders>
              <w:top w:val="nil"/>
              <w:left w:val="nil"/>
              <w:bottom w:val="single" w:sz="4" w:space="0" w:color="auto"/>
              <w:right w:val="single" w:sz="4" w:space="0" w:color="auto"/>
            </w:tcBorders>
            <w:shd w:val="clear" w:color="auto" w:fill="auto"/>
            <w:vAlign w:val="center"/>
            <w:hideMark/>
          </w:tcPr>
          <w:p w14:paraId="27521FAC"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„Gaudeamus”</w:t>
            </w:r>
          </w:p>
        </w:tc>
        <w:tc>
          <w:tcPr>
            <w:tcW w:w="841" w:type="dxa"/>
            <w:tcBorders>
              <w:top w:val="nil"/>
              <w:left w:val="nil"/>
              <w:bottom w:val="single" w:sz="4" w:space="0" w:color="auto"/>
              <w:right w:val="single" w:sz="4" w:space="0" w:color="auto"/>
            </w:tcBorders>
            <w:shd w:val="clear" w:color="auto" w:fill="auto"/>
            <w:vAlign w:val="center"/>
            <w:hideMark/>
          </w:tcPr>
          <w:p w14:paraId="1495C20F"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1001 - 15979</w:t>
            </w:r>
          </w:p>
        </w:tc>
        <w:tc>
          <w:tcPr>
            <w:tcW w:w="962" w:type="dxa"/>
            <w:tcBorders>
              <w:top w:val="nil"/>
              <w:left w:val="nil"/>
              <w:bottom w:val="single" w:sz="4" w:space="0" w:color="auto"/>
              <w:right w:val="single" w:sz="4" w:space="0" w:color="auto"/>
            </w:tcBorders>
            <w:shd w:val="clear" w:color="auto" w:fill="auto"/>
            <w:vAlign w:val="center"/>
            <w:hideMark/>
          </w:tcPr>
          <w:p w14:paraId="5042723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4,646.00</w:t>
            </w:r>
          </w:p>
        </w:tc>
        <w:tc>
          <w:tcPr>
            <w:tcW w:w="962" w:type="dxa"/>
            <w:tcBorders>
              <w:top w:val="nil"/>
              <w:left w:val="nil"/>
              <w:bottom w:val="single" w:sz="4" w:space="0" w:color="auto"/>
              <w:right w:val="single" w:sz="4" w:space="0" w:color="auto"/>
            </w:tcBorders>
            <w:shd w:val="clear" w:color="auto" w:fill="auto"/>
            <w:vAlign w:val="center"/>
            <w:hideMark/>
          </w:tcPr>
          <w:p w14:paraId="2025A89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5FC16A3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1A13C2A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031E526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3D4B66C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10B2865D"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4,646.00</w:t>
            </w:r>
          </w:p>
        </w:tc>
      </w:tr>
      <w:tr w:rsidR="00DF6D3F" w:rsidRPr="009E5B39" w14:paraId="002B756B" w14:textId="77777777" w:rsidTr="003E291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4A54716B"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36</w:t>
            </w:r>
          </w:p>
        </w:tc>
        <w:tc>
          <w:tcPr>
            <w:tcW w:w="1593" w:type="dxa"/>
            <w:tcBorders>
              <w:top w:val="nil"/>
              <w:left w:val="nil"/>
              <w:bottom w:val="single" w:sz="4" w:space="0" w:color="auto"/>
              <w:right w:val="single" w:sz="4" w:space="0" w:color="auto"/>
            </w:tcBorders>
            <w:shd w:val="clear" w:color="auto" w:fill="auto"/>
            <w:vAlign w:val="center"/>
            <w:hideMark/>
          </w:tcPr>
          <w:p w14:paraId="248FEE97"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Teoretic „Academia Copiilor”</w:t>
            </w:r>
          </w:p>
        </w:tc>
        <w:tc>
          <w:tcPr>
            <w:tcW w:w="841" w:type="dxa"/>
            <w:tcBorders>
              <w:top w:val="nil"/>
              <w:left w:val="nil"/>
              <w:bottom w:val="single" w:sz="4" w:space="0" w:color="auto"/>
              <w:right w:val="single" w:sz="4" w:space="0" w:color="auto"/>
            </w:tcBorders>
            <w:shd w:val="clear" w:color="auto" w:fill="auto"/>
            <w:vAlign w:val="center"/>
            <w:hideMark/>
          </w:tcPr>
          <w:p w14:paraId="40C0CCBB"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1001 - 15981</w:t>
            </w:r>
          </w:p>
        </w:tc>
        <w:tc>
          <w:tcPr>
            <w:tcW w:w="962" w:type="dxa"/>
            <w:tcBorders>
              <w:top w:val="nil"/>
              <w:left w:val="nil"/>
              <w:bottom w:val="single" w:sz="4" w:space="0" w:color="auto"/>
              <w:right w:val="single" w:sz="4" w:space="0" w:color="auto"/>
            </w:tcBorders>
            <w:shd w:val="clear" w:color="auto" w:fill="auto"/>
            <w:vAlign w:val="center"/>
            <w:hideMark/>
          </w:tcPr>
          <w:p w14:paraId="3F7AEC6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26,609.44</w:t>
            </w:r>
          </w:p>
        </w:tc>
        <w:tc>
          <w:tcPr>
            <w:tcW w:w="962" w:type="dxa"/>
            <w:tcBorders>
              <w:top w:val="nil"/>
              <w:left w:val="nil"/>
              <w:bottom w:val="single" w:sz="4" w:space="0" w:color="auto"/>
              <w:right w:val="single" w:sz="4" w:space="0" w:color="auto"/>
            </w:tcBorders>
            <w:shd w:val="clear" w:color="auto" w:fill="auto"/>
            <w:vAlign w:val="center"/>
            <w:hideMark/>
          </w:tcPr>
          <w:p w14:paraId="69CC671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619C9DB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505C9CE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13,854.00</w:t>
            </w:r>
          </w:p>
        </w:tc>
        <w:tc>
          <w:tcPr>
            <w:tcW w:w="955" w:type="dxa"/>
            <w:tcBorders>
              <w:top w:val="nil"/>
              <w:left w:val="nil"/>
              <w:bottom w:val="single" w:sz="4" w:space="0" w:color="auto"/>
              <w:right w:val="single" w:sz="4" w:space="0" w:color="auto"/>
            </w:tcBorders>
            <w:shd w:val="clear" w:color="auto" w:fill="auto"/>
            <w:vAlign w:val="center"/>
            <w:hideMark/>
          </w:tcPr>
          <w:p w14:paraId="0BFC0EB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5FCCDF7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51A69EEB"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40,463.44</w:t>
            </w:r>
          </w:p>
        </w:tc>
      </w:tr>
      <w:tr w:rsidR="00DF6D3F" w:rsidRPr="009E5B39" w14:paraId="6EE1D39D"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1E442765"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37</w:t>
            </w:r>
          </w:p>
        </w:tc>
        <w:tc>
          <w:tcPr>
            <w:tcW w:w="1593" w:type="dxa"/>
            <w:tcBorders>
              <w:top w:val="nil"/>
              <w:left w:val="nil"/>
              <w:bottom w:val="single" w:sz="4" w:space="0" w:color="auto"/>
              <w:right w:val="single" w:sz="4" w:space="0" w:color="auto"/>
            </w:tcBorders>
            <w:shd w:val="clear" w:color="auto" w:fill="auto"/>
            <w:vAlign w:val="center"/>
            <w:hideMark/>
          </w:tcPr>
          <w:p w14:paraId="37A816E6"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Școala primară nr.101, com. Băcioi</w:t>
            </w:r>
          </w:p>
        </w:tc>
        <w:tc>
          <w:tcPr>
            <w:tcW w:w="841" w:type="dxa"/>
            <w:tcBorders>
              <w:top w:val="nil"/>
              <w:left w:val="nil"/>
              <w:bottom w:val="single" w:sz="4" w:space="0" w:color="auto"/>
              <w:right w:val="single" w:sz="4" w:space="0" w:color="auto"/>
            </w:tcBorders>
            <w:shd w:val="clear" w:color="auto" w:fill="auto"/>
            <w:vAlign w:val="center"/>
            <w:hideMark/>
          </w:tcPr>
          <w:p w14:paraId="4683492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1001 - 15982</w:t>
            </w:r>
          </w:p>
        </w:tc>
        <w:tc>
          <w:tcPr>
            <w:tcW w:w="962" w:type="dxa"/>
            <w:tcBorders>
              <w:top w:val="nil"/>
              <w:left w:val="nil"/>
              <w:bottom w:val="single" w:sz="4" w:space="0" w:color="auto"/>
              <w:right w:val="single" w:sz="4" w:space="0" w:color="auto"/>
            </w:tcBorders>
            <w:shd w:val="clear" w:color="auto" w:fill="auto"/>
            <w:vAlign w:val="center"/>
            <w:hideMark/>
          </w:tcPr>
          <w:p w14:paraId="359B121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14,091.49</w:t>
            </w:r>
          </w:p>
        </w:tc>
        <w:tc>
          <w:tcPr>
            <w:tcW w:w="962" w:type="dxa"/>
            <w:tcBorders>
              <w:top w:val="nil"/>
              <w:left w:val="nil"/>
              <w:bottom w:val="single" w:sz="4" w:space="0" w:color="auto"/>
              <w:right w:val="single" w:sz="4" w:space="0" w:color="auto"/>
            </w:tcBorders>
            <w:shd w:val="clear" w:color="auto" w:fill="auto"/>
            <w:vAlign w:val="center"/>
            <w:hideMark/>
          </w:tcPr>
          <w:p w14:paraId="19121F4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12,492.89</w:t>
            </w:r>
          </w:p>
        </w:tc>
        <w:tc>
          <w:tcPr>
            <w:tcW w:w="1064" w:type="dxa"/>
            <w:tcBorders>
              <w:top w:val="nil"/>
              <w:left w:val="nil"/>
              <w:bottom w:val="single" w:sz="4" w:space="0" w:color="auto"/>
              <w:right w:val="single" w:sz="4" w:space="0" w:color="auto"/>
            </w:tcBorders>
            <w:shd w:val="clear" w:color="auto" w:fill="auto"/>
            <w:vAlign w:val="center"/>
            <w:hideMark/>
          </w:tcPr>
          <w:p w14:paraId="6745AFB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7773EF8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13,454.67</w:t>
            </w:r>
          </w:p>
        </w:tc>
        <w:tc>
          <w:tcPr>
            <w:tcW w:w="955" w:type="dxa"/>
            <w:tcBorders>
              <w:top w:val="nil"/>
              <w:left w:val="nil"/>
              <w:bottom w:val="single" w:sz="4" w:space="0" w:color="auto"/>
              <w:right w:val="single" w:sz="4" w:space="0" w:color="auto"/>
            </w:tcBorders>
            <w:shd w:val="clear" w:color="auto" w:fill="auto"/>
            <w:vAlign w:val="center"/>
            <w:hideMark/>
          </w:tcPr>
          <w:p w14:paraId="35B8F04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3,480.00</w:t>
            </w:r>
          </w:p>
        </w:tc>
        <w:tc>
          <w:tcPr>
            <w:tcW w:w="1217" w:type="dxa"/>
            <w:tcBorders>
              <w:top w:val="nil"/>
              <w:left w:val="nil"/>
              <w:bottom w:val="single" w:sz="4" w:space="0" w:color="auto"/>
              <w:right w:val="single" w:sz="4" w:space="0" w:color="auto"/>
            </w:tcBorders>
            <w:shd w:val="clear" w:color="auto" w:fill="auto"/>
            <w:vAlign w:val="center"/>
            <w:hideMark/>
          </w:tcPr>
          <w:p w14:paraId="12E68C5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219.86</w:t>
            </w:r>
          </w:p>
        </w:tc>
        <w:tc>
          <w:tcPr>
            <w:tcW w:w="1065" w:type="dxa"/>
            <w:tcBorders>
              <w:top w:val="nil"/>
              <w:left w:val="nil"/>
              <w:bottom w:val="single" w:sz="4" w:space="0" w:color="auto"/>
              <w:right w:val="single" w:sz="4" w:space="0" w:color="auto"/>
            </w:tcBorders>
            <w:shd w:val="clear" w:color="000000" w:fill="FFF2CC"/>
            <w:vAlign w:val="center"/>
            <w:hideMark/>
          </w:tcPr>
          <w:p w14:paraId="31A3AAF2"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43,738.91</w:t>
            </w:r>
          </w:p>
        </w:tc>
      </w:tr>
      <w:tr w:rsidR="00DF6D3F" w:rsidRPr="009E5B39" w14:paraId="5004C19C" w14:textId="77777777" w:rsidTr="003E291B">
        <w:trPr>
          <w:trHeight w:val="65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688015BC"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38</w:t>
            </w:r>
          </w:p>
        </w:tc>
        <w:tc>
          <w:tcPr>
            <w:tcW w:w="1593" w:type="dxa"/>
            <w:tcBorders>
              <w:top w:val="nil"/>
              <w:left w:val="nil"/>
              <w:bottom w:val="single" w:sz="4" w:space="0" w:color="auto"/>
              <w:right w:val="single" w:sz="4" w:space="0" w:color="auto"/>
            </w:tcBorders>
            <w:shd w:val="clear" w:color="auto" w:fill="auto"/>
            <w:vAlign w:val="center"/>
            <w:hideMark/>
          </w:tcPr>
          <w:p w14:paraId="14CEB620"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Liceul Tehnologic Resurse Educaționale „Beniamin Zeev Herțli”</w:t>
            </w:r>
          </w:p>
        </w:tc>
        <w:tc>
          <w:tcPr>
            <w:tcW w:w="841" w:type="dxa"/>
            <w:tcBorders>
              <w:top w:val="nil"/>
              <w:left w:val="nil"/>
              <w:bottom w:val="single" w:sz="4" w:space="0" w:color="auto"/>
              <w:right w:val="single" w:sz="4" w:space="0" w:color="auto"/>
            </w:tcBorders>
            <w:shd w:val="clear" w:color="auto" w:fill="auto"/>
            <w:vAlign w:val="center"/>
            <w:hideMark/>
          </w:tcPr>
          <w:p w14:paraId="592DA185"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1001 - 15984</w:t>
            </w:r>
          </w:p>
        </w:tc>
        <w:tc>
          <w:tcPr>
            <w:tcW w:w="962" w:type="dxa"/>
            <w:tcBorders>
              <w:top w:val="nil"/>
              <w:left w:val="nil"/>
              <w:bottom w:val="single" w:sz="4" w:space="0" w:color="auto"/>
              <w:right w:val="single" w:sz="4" w:space="0" w:color="auto"/>
            </w:tcBorders>
            <w:shd w:val="clear" w:color="auto" w:fill="auto"/>
            <w:vAlign w:val="center"/>
            <w:hideMark/>
          </w:tcPr>
          <w:p w14:paraId="469A587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17,235.06</w:t>
            </w:r>
          </w:p>
        </w:tc>
        <w:tc>
          <w:tcPr>
            <w:tcW w:w="962" w:type="dxa"/>
            <w:tcBorders>
              <w:top w:val="nil"/>
              <w:left w:val="nil"/>
              <w:bottom w:val="single" w:sz="4" w:space="0" w:color="auto"/>
              <w:right w:val="single" w:sz="4" w:space="0" w:color="auto"/>
            </w:tcBorders>
            <w:shd w:val="clear" w:color="auto" w:fill="auto"/>
            <w:vAlign w:val="center"/>
            <w:hideMark/>
          </w:tcPr>
          <w:p w14:paraId="2A417FD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2DD2191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7018A9B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1,018.98</w:t>
            </w:r>
          </w:p>
        </w:tc>
        <w:tc>
          <w:tcPr>
            <w:tcW w:w="955" w:type="dxa"/>
            <w:tcBorders>
              <w:top w:val="nil"/>
              <w:left w:val="nil"/>
              <w:bottom w:val="single" w:sz="4" w:space="0" w:color="auto"/>
              <w:right w:val="single" w:sz="4" w:space="0" w:color="auto"/>
            </w:tcBorders>
            <w:shd w:val="clear" w:color="auto" w:fill="auto"/>
            <w:vAlign w:val="center"/>
            <w:hideMark/>
          </w:tcPr>
          <w:p w14:paraId="7D32E98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2536C8F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41C8D0F3"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18,254.04</w:t>
            </w:r>
          </w:p>
        </w:tc>
      </w:tr>
      <w:tr w:rsidR="00DF6D3F" w:rsidRPr="009E5B39" w14:paraId="03004F10" w14:textId="77777777" w:rsidTr="003E291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61845483"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39</w:t>
            </w:r>
          </w:p>
        </w:tc>
        <w:tc>
          <w:tcPr>
            <w:tcW w:w="1593" w:type="dxa"/>
            <w:tcBorders>
              <w:top w:val="nil"/>
              <w:left w:val="nil"/>
              <w:bottom w:val="single" w:sz="4" w:space="0" w:color="auto"/>
              <w:right w:val="single" w:sz="4" w:space="0" w:color="auto"/>
            </w:tcBorders>
            <w:shd w:val="clear" w:color="auto" w:fill="auto"/>
            <w:vAlign w:val="center"/>
            <w:hideMark/>
          </w:tcPr>
          <w:p w14:paraId="2CAB1370"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Scoala primară nr.12 „Anatol Popovici”</w:t>
            </w:r>
          </w:p>
        </w:tc>
        <w:tc>
          <w:tcPr>
            <w:tcW w:w="841" w:type="dxa"/>
            <w:tcBorders>
              <w:top w:val="nil"/>
              <w:left w:val="nil"/>
              <w:bottom w:val="single" w:sz="4" w:space="0" w:color="auto"/>
              <w:right w:val="single" w:sz="4" w:space="0" w:color="auto"/>
            </w:tcBorders>
            <w:shd w:val="clear" w:color="auto" w:fill="auto"/>
            <w:vAlign w:val="center"/>
            <w:hideMark/>
          </w:tcPr>
          <w:p w14:paraId="3A156E1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1001 - 15987</w:t>
            </w:r>
          </w:p>
        </w:tc>
        <w:tc>
          <w:tcPr>
            <w:tcW w:w="962" w:type="dxa"/>
            <w:tcBorders>
              <w:top w:val="nil"/>
              <w:left w:val="nil"/>
              <w:bottom w:val="single" w:sz="4" w:space="0" w:color="auto"/>
              <w:right w:val="single" w:sz="4" w:space="0" w:color="auto"/>
            </w:tcBorders>
            <w:shd w:val="clear" w:color="auto" w:fill="auto"/>
            <w:vAlign w:val="center"/>
            <w:hideMark/>
          </w:tcPr>
          <w:p w14:paraId="632DC10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15,449.44</w:t>
            </w:r>
          </w:p>
        </w:tc>
        <w:tc>
          <w:tcPr>
            <w:tcW w:w="962" w:type="dxa"/>
            <w:tcBorders>
              <w:top w:val="nil"/>
              <w:left w:val="nil"/>
              <w:bottom w:val="single" w:sz="4" w:space="0" w:color="auto"/>
              <w:right w:val="single" w:sz="4" w:space="0" w:color="auto"/>
            </w:tcBorders>
            <w:shd w:val="clear" w:color="auto" w:fill="auto"/>
            <w:vAlign w:val="center"/>
            <w:hideMark/>
          </w:tcPr>
          <w:p w14:paraId="6D53CEE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4334B90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58AAFE0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9,480.70</w:t>
            </w:r>
          </w:p>
        </w:tc>
        <w:tc>
          <w:tcPr>
            <w:tcW w:w="955" w:type="dxa"/>
            <w:tcBorders>
              <w:top w:val="nil"/>
              <w:left w:val="nil"/>
              <w:bottom w:val="single" w:sz="4" w:space="0" w:color="auto"/>
              <w:right w:val="single" w:sz="4" w:space="0" w:color="auto"/>
            </w:tcBorders>
            <w:shd w:val="clear" w:color="auto" w:fill="auto"/>
            <w:vAlign w:val="center"/>
            <w:hideMark/>
          </w:tcPr>
          <w:p w14:paraId="32DF82F8"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43B041A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0.04</w:t>
            </w:r>
          </w:p>
        </w:tc>
        <w:tc>
          <w:tcPr>
            <w:tcW w:w="1065" w:type="dxa"/>
            <w:tcBorders>
              <w:top w:val="nil"/>
              <w:left w:val="nil"/>
              <w:bottom w:val="single" w:sz="4" w:space="0" w:color="auto"/>
              <w:right w:val="single" w:sz="4" w:space="0" w:color="auto"/>
            </w:tcBorders>
            <w:shd w:val="clear" w:color="000000" w:fill="FFF2CC"/>
            <w:vAlign w:val="center"/>
            <w:hideMark/>
          </w:tcPr>
          <w:p w14:paraId="5BD48507"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24,930.18</w:t>
            </w:r>
          </w:p>
        </w:tc>
      </w:tr>
      <w:tr w:rsidR="00DF6D3F" w:rsidRPr="009E5B39" w14:paraId="5633EEB4" w14:textId="77777777" w:rsidTr="003E291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3DE5D368"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40</w:t>
            </w:r>
          </w:p>
        </w:tc>
        <w:tc>
          <w:tcPr>
            <w:tcW w:w="1593" w:type="dxa"/>
            <w:tcBorders>
              <w:top w:val="nil"/>
              <w:left w:val="nil"/>
              <w:bottom w:val="single" w:sz="4" w:space="0" w:color="auto"/>
              <w:right w:val="single" w:sz="4" w:space="0" w:color="auto"/>
            </w:tcBorders>
            <w:shd w:val="clear" w:color="auto" w:fill="auto"/>
            <w:vAlign w:val="center"/>
            <w:hideMark/>
          </w:tcPr>
          <w:p w14:paraId="34EC1846"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LT ”Mihail Kogălniceanu”</w:t>
            </w:r>
          </w:p>
        </w:tc>
        <w:tc>
          <w:tcPr>
            <w:tcW w:w="841" w:type="dxa"/>
            <w:tcBorders>
              <w:top w:val="nil"/>
              <w:left w:val="nil"/>
              <w:bottom w:val="single" w:sz="4" w:space="0" w:color="auto"/>
              <w:right w:val="single" w:sz="4" w:space="0" w:color="auto"/>
            </w:tcBorders>
            <w:shd w:val="clear" w:color="auto" w:fill="auto"/>
            <w:vAlign w:val="center"/>
            <w:hideMark/>
          </w:tcPr>
          <w:p w14:paraId="606BF797"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1001 - 16010</w:t>
            </w:r>
          </w:p>
        </w:tc>
        <w:tc>
          <w:tcPr>
            <w:tcW w:w="962" w:type="dxa"/>
            <w:tcBorders>
              <w:top w:val="nil"/>
              <w:left w:val="nil"/>
              <w:bottom w:val="single" w:sz="4" w:space="0" w:color="auto"/>
              <w:right w:val="single" w:sz="4" w:space="0" w:color="auto"/>
            </w:tcBorders>
            <w:shd w:val="clear" w:color="auto" w:fill="auto"/>
            <w:vAlign w:val="center"/>
            <w:hideMark/>
          </w:tcPr>
          <w:p w14:paraId="2906449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6,956.22</w:t>
            </w:r>
          </w:p>
        </w:tc>
        <w:tc>
          <w:tcPr>
            <w:tcW w:w="962" w:type="dxa"/>
            <w:tcBorders>
              <w:top w:val="nil"/>
              <w:left w:val="nil"/>
              <w:bottom w:val="single" w:sz="4" w:space="0" w:color="auto"/>
              <w:right w:val="single" w:sz="4" w:space="0" w:color="auto"/>
            </w:tcBorders>
            <w:shd w:val="clear" w:color="auto" w:fill="auto"/>
            <w:vAlign w:val="center"/>
            <w:hideMark/>
          </w:tcPr>
          <w:p w14:paraId="7082C59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63E36FD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2747B06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4,276.35</w:t>
            </w:r>
          </w:p>
        </w:tc>
        <w:tc>
          <w:tcPr>
            <w:tcW w:w="955" w:type="dxa"/>
            <w:tcBorders>
              <w:top w:val="nil"/>
              <w:left w:val="nil"/>
              <w:bottom w:val="single" w:sz="4" w:space="0" w:color="auto"/>
              <w:right w:val="single" w:sz="4" w:space="0" w:color="auto"/>
            </w:tcBorders>
            <w:shd w:val="clear" w:color="auto" w:fill="auto"/>
            <w:vAlign w:val="center"/>
            <w:hideMark/>
          </w:tcPr>
          <w:p w14:paraId="04482D7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6004652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69.44</w:t>
            </w:r>
          </w:p>
        </w:tc>
        <w:tc>
          <w:tcPr>
            <w:tcW w:w="1065" w:type="dxa"/>
            <w:tcBorders>
              <w:top w:val="nil"/>
              <w:left w:val="nil"/>
              <w:bottom w:val="single" w:sz="4" w:space="0" w:color="auto"/>
              <w:right w:val="single" w:sz="4" w:space="0" w:color="auto"/>
            </w:tcBorders>
            <w:shd w:val="clear" w:color="000000" w:fill="FFF2CC"/>
            <w:vAlign w:val="center"/>
            <w:hideMark/>
          </w:tcPr>
          <w:p w14:paraId="23AA455E"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11,302.01</w:t>
            </w:r>
          </w:p>
        </w:tc>
      </w:tr>
      <w:tr w:rsidR="00DF6D3F" w:rsidRPr="009E5B39" w14:paraId="0AD05D36" w14:textId="77777777" w:rsidTr="003E291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21595B24"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41</w:t>
            </w:r>
          </w:p>
        </w:tc>
        <w:tc>
          <w:tcPr>
            <w:tcW w:w="1593" w:type="dxa"/>
            <w:tcBorders>
              <w:top w:val="nil"/>
              <w:left w:val="nil"/>
              <w:bottom w:val="single" w:sz="4" w:space="0" w:color="auto"/>
              <w:right w:val="single" w:sz="4" w:space="0" w:color="auto"/>
            </w:tcBorders>
            <w:shd w:val="clear" w:color="auto" w:fill="auto"/>
            <w:vAlign w:val="center"/>
            <w:hideMark/>
          </w:tcPr>
          <w:p w14:paraId="7C0A2F31"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DGECT</w:t>
            </w:r>
          </w:p>
        </w:tc>
        <w:tc>
          <w:tcPr>
            <w:tcW w:w="841" w:type="dxa"/>
            <w:tcBorders>
              <w:top w:val="nil"/>
              <w:left w:val="nil"/>
              <w:bottom w:val="single" w:sz="4" w:space="0" w:color="auto"/>
              <w:right w:val="single" w:sz="4" w:space="0" w:color="auto"/>
            </w:tcBorders>
            <w:shd w:val="clear" w:color="auto" w:fill="auto"/>
            <w:vAlign w:val="center"/>
            <w:hideMark/>
          </w:tcPr>
          <w:p w14:paraId="2DC17711"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1001 - 16123</w:t>
            </w:r>
          </w:p>
        </w:tc>
        <w:tc>
          <w:tcPr>
            <w:tcW w:w="962" w:type="dxa"/>
            <w:tcBorders>
              <w:top w:val="nil"/>
              <w:left w:val="nil"/>
              <w:bottom w:val="single" w:sz="4" w:space="0" w:color="auto"/>
              <w:right w:val="single" w:sz="4" w:space="0" w:color="auto"/>
            </w:tcBorders>
            <w:shd w:val="clear" w:color="auto" w:fill="auto"/>
            <w:vAlign w:val="center"/>
            <w:hideMark/>
          </w:tcPr>
          <w:p w14:paraId="7201A23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876.69</w:t>
            </w:r>
          </w:p>
        </w:tc>
        <w:tc>
          <w:tcPr>
            <w:tcW w:w="962" w:type="dxa"/>
            <w:tcBorders>
              <w:top w:val="nil"/>
              <w:left w:val="nil"/>
              <w:bottom w:val="single" w:sz="4" w:space="0" w:color="auto"/>
              <w:right w:val="single" w:sz="4" w:space="0" w:color="auto"/>
            </w:tcBorders>
            <w:shd w:val="clear" w:color="auto" w:fill="auto"/>
            <w:vAlign w:val="center"/>
            <w:hideMark/>
          </w:tcPr>
          <w:p w14:paraId="43B8E60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275E8B6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711743A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248BA8A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1CD1C4B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1,814.84</w:t>
            </w:r>
          </w:p>
        </w:tc>
        <w:tc>
          <w:tcPr>
            <w:tcW w:w="1065" w:type="dxa"/>
            <w:tcBorders>
              <w:top w:val="nil"/>
              <w:left w:val="nil"/>
              <w:bottom w:val="single" w:sz="4" w:space="0" w:color="auto"/>
              <w:right w:val="single" w:sz="4" w:space="0" w:color="auto"/>
            </w:tcBorders>
            <w:shd w:val="clear" w:color="000000" w:fill="FFF2CC"/>
            <w:vAlign w:val="center"/>
            <w:hideMark/>
          </w:tcPr>
          <w:p w14:paraId="367392B8"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2,691.53</w:t>
            </w:r>
          </w:p>
        </w:tc>
      </w:tr>
      <w:tr w:rsidR="00DF6D3F" w:rsidRPr="009E5B39" w14:paraId="02C5FBF6" w14:textId="77777777" w:rsidTr="003E291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76949537"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42</w:t>
            </w:r>
          </w:p>
        </w:tc>
        <w:tc>
          <w:tcPr>
            <w:tcW w:w="1593" w:type="dxa"/>
            <w:tcBorders>
              <w:top w:val="nil"/>
              <w:left w:val="nil"/>
              <w:bottom w:val="single" w:sz="4" w:space="0" w:color="auto"/>
              <w:right w:val="single" w:sz="4" w:space="0" w:color="auto"/>
            </w:tcBorders>
            <w:shd w:val="clear" w:color="auto" w:fill="auto"/>
            <w:vAlign w:val="center"/>
            <w:hideMark/>
          </w:tcPr>
          <w:p w14:paraId="3D2D4C74"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Direcția municipală protecția drepturilor copilului</w:t>
            </w:r>
          </w:p>
        </w:tc>
        <w:tc>
          <w:tcPr>
            <w:tcW w:w="841" w:type="dxa"/>
            <w:tcBorders>
              <w:top w:val="nil"/>
              <w:left w:val="nil"/>
              <w:bottom w:val="single" w:sz="4" w:space="0" w:color="auto"/>
              <w:right w:val="single" w:sz="4" w:space="0" w:color="auto"/>
            </w:tcBorders>
            <w:shd w:val="clear" w:color="auto" w:fill="auto"/>
            <w:vAlign w:val="center"/>
            <w:hideMark/>
          </w:tcPr>
          <w:p w14:paraId="0DDAC028"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1001 - 2028</w:t>
            </w:r>
          </w:p>
        </w:tc>
        <w:tc>
          <w:tcPr>
            <w:tcW w:w="962" w:type="dxa"/>
            <w:tcBorders>
              <w:top w:val="nil"/>
              <w:left w:val="nil"/>
              <w:bottom w:val="single" w:sz="4" w:space="0" w:color="auto"/>
              <w:right w:val="single" w:sz="4" w:space="0" w:color="auto"/>
            </w:tcBorders>
            <w:shd w:val="clear" w:color="auto" w:fill="auto"/>
            <w:vAlign w:val="center"/>
            <w:hideMark/>
          </w:tcPr>
          <w:p w14:paraId="1C0A72F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22,659.55</w:t>
            </w:r>
          </w:p>
        </w:tc>
        <w:tc>
          <w:tcPr>
            <w:tcW w:w="962" w:type="dxa"/>
            <w:tcBorders>
              <w:top w:val="nil"/>
              <w:left w:val="nil"/>
              <w:bottom w:val="single" w:sz="4" w:space="0" w:color="auto"/>
              <w:right w:val="single" w:sz="4" w:space="0" w:color="auto"/>
            </w:tcBorders>
            <w:shd w:val="clear" w:color="auto" w:fill="auto"/>
            <w:vAlign w:val="center"/>
            <w:hideMark/>
          </w:tcPr>
          <w:p w14:paraId="57E9E6B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18,587.93</w:t>
            </w:r>
          </w:p>
        </w:tc>
        <w:tc>
          <w:tcPr>
            <w:tcW w:w="1064" w:type="dxa"/>
            <w:tcBorders>
              <w:top w:val="nil"/>
              <w:left w:val="nil"/>
              <w:bottom w:val="single" w:sz="4" w:space="0" w:color="auto"/>
              <w:right w:val="single" w:sz="4" w:space="0" w:color="auto"/>
            </w:tcBorders>
            <w:shd w:val="clear" w:color="auto" w:fill="auto"/>
            <w:vAlign w:val="center"/>
            <w:hideMark/>
          </w:tcPr>
          <w:p w14:paraId="4344EB0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45F9184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0025202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320.00</w:t>
            </w:r>
          </w:p>
        </w:tc>
        <w:tc>
          <w:tcPr>
            <w:tcW w:w="1217" w:type="dxa"/>
            <w:tcBorders>
              <w:top w:val="nil"/>
              <w:left w:val="nil"/>
              <w:bottom w:val="single" w:sz="4" w:space="0" w:color="auto"/>
              <w:right w:val="single" w:sz="4" w:space="0" w:color="auto"/>
            </w:tcBorders>
            <w:shd w:val="clear" w:color="auto" w:fill="auto"/>
            <w:vAlign w:val="center"/>
            <w:hideMark/>
          </w:tcPr>
          <w:p w14:paraId="2B4E5EA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450.00</w:t>
            </w:r>
          </w:p>
        </w:tc>
        <w:tc>
          <w:tcPr>
            <w:tcW w:w="1065" w:type="dxa"/>
            <w:tcBorders>
              <w:top w:val="nil"/>
              <w:left w:val="nil"/>
              <w:bottom w:val="single" w:sz="4" w:space="0" w:color="auto"/>
              <w:right w:val="single" w:sz="4" w:space="0" w:color="auto"/>
            </w:tcBorders>
            <w:shd w:val="clear" w:color="000000" w:fill="FFF2CC"/>
            <w:vAlign w:val="center"/>
            <w:hideMark/>
          </w:tcPr>
          <w:p w14:paraId="78918C72"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42,017.48</w:t>
            </w:r>
          </w:p>
        </w:tc>
      </w:tr>
      <w:tr w:rsidR="00DF6D3F" w:rsidRPr="009E5B39" w14:paraId="253F1BF8" w14:textId="77777777" w:rsidTr="003E291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05FBA4D"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43</w:t>
            </w:r>
          </w:p>
        </w:tc>
        <w:tc>
          <w:tcPr>
            <w:tcW w:w="1593" w:type="dxa"/>
            <w:tcBorders>
              <w:top w:val="nil"/>
              <w:left w:val="nil"/>
              <w:bottom w:val="single" w:sz="4" w:space="0" w:color="auto"/>
              <w:right w:val="single" w:sz="4" w:space="0" w:color="auto"/>
            </w:tcBorders>
            <w:shd w:val="clear" w:color="auto" w:fill="auto"/>
            <w:vAlign w:val="center"/>
            <w:hideMark/>
          </w:tcPr>
          <w:p w14:paraId="737ADCB6"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DGASS</w:t>
            </w:r>
          </w:p>
        </w:tc>
        <w:tc>
          <w:tcPr>
            <w:tcW w:w="841" w:type="dxa"/>
            <w:tcBorders>
              <w:top w:val="nil"/>
              <w:left w:val="nil"/>
              <w:bottom w:val="single" w:sz="4" w:space="0" w:color="auto"/>
              <w:right w:val="single" w:sz="4" w:space="0" w:color="auto"/>
            </w:tcBorders>
            <w:shd w:val="clear" w:color="auto" w:fill="auto"/>
            <w:vAlign w:val="center"/>
            <w:hideMark/>
          </w:tcPr>
          <w:p w14:paraId="4B72208E"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1001 - 2029</w:t>
            </w:r>
          </w:p>
        </w:tc>
        <w:tc>
          <w:tcPr>
            <w:tcW w:w="962" w:type="dxa"/>
            <w:tcBorders>
              <w:top w:val="nil"/>
              <w:left w:val="nil"/>
              <w:bottom w:val="single" w:sz="4" w:space="0" w:color="auto"/>
              <w:right w:val="single" w:sz="4" w:space="0" w:color="auto"/>
            </w:tcBorders>
            <w:shd w:val="clear" w:color="auto" w:fill="auto"/>
            <w:vAlign w:val="center"/>
            <w:hideMark/>
          </w:tcPr>
          <w:p w14:paraId="7457CD8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3,556.66</w:t>
            </w:r>
          </w:p>
        </w:tc>
        <w:tc>
          <w:tcPr>
            <w:tcW w:w="962" w:type="dxa"/>
            <w:tcBorders>
              <w:top w:val="nil"/>
              <w:left w:val="nil"/>
              <w:bottom w:val="single" w:sz="4" w:space="0" w:color="auto"/>
              <w:right w:val="single" w:sz="4" w:space="0" w:color="auto"/>
            </w:tcBorders>
            <w:shd w:val="clear" w:color="auto" w:fill="auto"/>
            <w:vAlign w:val="center"/>
            <w:hideMark/>
          </w:tcPr>
          <w:p w14:paraId="6775EF5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532.28</w:t>
            </w:r>
          </w:p>
        </w:tc>
        <w:tc>
          <w:tcPr>
            <w:tcW w:w="1064" w:type="dxa"/>
            <w:tcBorders>
              <w:top w:val="nil"/>
              <w:left w:val="nil"/>
              <w:bottom w:val="single" w:sz="4" w:space="0" w:color="auto"/>
              <w:right w:val="single" w:sz="4" w:space="0" w:color="auto"/>
            </w:tcBorders>
            <w:shd w:val="clear" w:color="auto" w:fill="auto"/>
            <w:vAlign w:val="center"/>
            <w:hideMark/>
          </w:tcPr>
          <w:p w14:paraId="326AE6B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4A22EB9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14,148.50</w:t>
            </w:r>
          </w:p>
        </w:tc>
        <w:tc>
          <w:tcPr>
            <w:tcW w:w="955" w:type="dxa"/>
            <w:tcBorders>
              <w:top w:val="nil"/>
              <w:left w:val="nil"/>
              <w:bottom w:val="single" w:sz="4" w:space="0" w:color="auto"/>
              <w:right w:val="single" w:sz="4" w:space="0" w:color="auto"/>
            </w:tcBorders>
            <w:shd w:val="clear" w:color="auto" w:fill="auto"/>
            <w:vAlign w:val="center"/>
            <w:hideMark/>
          </w:tcPr>
          <w:p w14:paraId="38B45D7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7A7269C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125014EA"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18,237.44</w:t>
            </w:r>
          </w:p>
        </w:tc>
      </w:tr>
      <w:tr w:rsidR="00DF6D3F" w:rsidRPr="009E5B39" w14:paraId="27901FBD" w14:textId="77777777" w:rsidTr="003E291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120AD19"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44</w:t>
            </w:r>
          </w:p>
        </w:tc>
        <w:tc>
          <w:tcPr>
            <w:tcW w:w="1593" w:type="dxa"/>
            <w:tcBorders>
              <w:top w:val="nil"/>
              <w:left w:val="nil"/>
              <w:bottom w:val="single" w:sz="4" w:space="0" w:color="auto"/>
              <w:right w:val="single" w:sz="4" w:space="0" w:color="auto"/>
            </w:tcBorders>
            <w:shd w:val="clear" w:color="auto" w:fill="auto"/>
            <w:vAlign w:val="center"/>
            <w:hideMark/>
          </w:tcPr>
          <w:p w14:paraId="5D9D4DCE"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DGETS</w:t>
            </w:r>
          </w:p>
        </w:tc>
        <w:tc>
          <w:tcPr>
            <w:tcW w:w="841" w:type="dxa"/>
            <w:tcBorders>
              <w:top w:val="nil"/>
              <w:left w:val="nil"/>
              <w:bottom w:val="single" w:sz="4" w:space="0" w:color="auto"/>
              <w:right w:val="single" w:sz="4" w:space="0" w:color="auto"/>
            </w:tcBorders>
            <w:shd w:val="clear" w:color="auto" w:fill="auto"/>
            <w:vAlign w:val="center"/>
            <w:hideMark/>
          </w:tcPr>
          <w:p w14:paraId="76BEBAB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1001 - 2032</w:t>
            </w:r>
          </w:p>
        </w:tc>
        <w:tc>
          <w:tcPr>
            <w:tcW w:w="962" w:type="dxa"/>
            <w:tcBorders>
              <w:top w:val="nil"/>
              <w:left w:val="nil"/>
              <w:bottom w:val="single" w:sz="4" w:space="0" w:color="auto"/>
              <w:right w:val="single" w:sz="4" w:space="0" w:color="auto"/>
            </w:tcBorders>
            <w:shd w:val="clear" w:color="auto" w:fill="auto"/>
            <w:vAlign w:val="center"/>
            <w:hideMark/>
          </w:tcPr>
          <w:p w14:paraId="0E0EE75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6CCD9FB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27740DC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107,379.01</w:t>
            </w:r>
          </w:p>
        </w:tc>
        <w:tc>
          <w:tcPr>
            <w:tcW w:w="962" w:type="dxa"/>
            <w:tcBorders>
              <w:top w:val="nil"/>
              <w:left w:val="nil"/>
              <w:bottom w:val="single" w:sz="4" w:space="0" w:color="auto"/>
              <w:right w:val="single" w:sz="4" w:space="0" w:color="auto"/>
            </w:tcBorders>
            <w:shd w:val="clear" w:color="auto" w:fill="auto"/>
            <w:vAlign w:val="center"/>
            <w:hideMark/>
          </w:tcPr>
          <w:p w14:paraId="2A41B2C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3573950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217" w:type="dxa"/>
            <w:tcBorders>
              <w:top w:val="nil"/>
              <w:left w:val="nil"/>
              <w:bottom w:val="single" w:sz="4" w:space="0" w:color="auto"/>
              <w:right w:val="single" w:sz="4" w:space="0" w:color="auto"/>
            </w:tcBorders>
            <w:shd w:val="clear" w:color="auto" w:fill="auto"/>
            <w:vAlign w:val="center"/>
            <w:hideMark/>
          </w:tcPr>
          <w:p w14:paraId="2E29954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3,115.41</w:t>
            </w:r>
          </w:p>
        </w:tc>
        <w:tc>
          <w:tcPr>
            <w:tcW w:w="1065" w:type="dxa"/>
            <w:tcBorders>
              <w:top w:val="nil"/>
              <w:left w:val="nil"/>
              <w:bottom w:val="single" w:sz="4" w:space="0" w:color="auto"/>
              <w:right w:val="single" w:sz="4" w:space="0" w:color="auto"/>
            </w:tcBorders>
            <w:shd w:val="clear" w:color="000000" w:fill="FFF2CC"/>
            <w:vAlign w:val="center"/>
            <w:hideMark/>
          </w:tcPr>
          <w:p w14:paraId="0C515755"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110,494.42</w:t>
            </w:r>
          </w:p>
        </w:tc>
      </w:tr>
      <w:tr w:rsidR="00DF6D3F" w:rsidRPr="009E5B39" w14:paraId="3A1EEECD" w14:textId="77777777" w:rsidTr="003E291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F1E508D"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45</w:t>
            </w:r>
          </w:p>
        </w:tc>
        <w:tc>
          <w:tcPr>
            <w:tcW w:w="1593" w:type="dxa"/>
            <w:tcBorders>
              <w:top w:val="nil"/>
              <w:left w:val="nil"/>
              <w:bottom w:val="single" w:sz="4" w:space="0" w:color="auto"/>
              <w:right w:val="single" w:sz="4" w:space="0" w:color="auto"/>
            </w:tcBorders>
            <w:shd w:val="clear" w:color="auto" w:fill="auto"/>
            <w:vAlign w:val="center"/>
            <w:hideMark/>
          </w:tcPr>
          <w:p w14:paraId="29052896"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Direcția cultură a CMC</w:t>
            </w:r>
          </w:p>
        </w:tc>
        <w:tc>
          <w:tcPr>
            <w:tcW w:w="841" w:type="dxa"/>
            <w:tcBorders>
              <w:top w:val="nil"/>
              <w:left w:val="nil"/>
              <w:bottom w:val="single" w:sz="4" w:space="0" w:color="auto"/>
              <w:right w:val="single" w:sz="4" w:space="0" w:color="auto"/>
            </w:tcBorders>
            <w:shd w:val="clear" w:color="auto" w:fill="auto"/>
            <w:vAlign w:val="center"/>
            <w:hideMark/>
          </w:tcPr>
          <w:p w14:paraId="45F2C388"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1001 - 2033</w:t>
            </w:r>
          </w:p>
        </w:tc>
        <w:tc>
          <w:tcPr>
            <w:tcW w:w="962" w:type="dxa"/>
            <w:tcBorders>
              <w:top w:val="nil"/>
              <w:left w:val="nil"/>
              <w:bottom w:val="single" w:sz="4" w:space="0" w:color="auto"/>
              <w:right w:val="single" w:sz="4" w:space="0" w:color="auto"/>
            </w:tcBorders>
            <w:shd w:val="clear" w:color="auto" w:fill="auto"/>
            <w:vAlign w:val="center"/>
            <w:hideMark/>
          </w:tcPr>
          <w:p w14:paraId="0D44055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058E62C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4" w:type="dxa"/>
            <w:tcBorders>
              <w:top w:val="nil"/>
              <w:left w:val="nil"/>
              <w:bottom w:val="single" w:sz="4" w:space="0" w:color="auto"/>
              <w:right w:val="single" w:sz="4" w:space="0" w:color="auto"/>
            </w:tcBorders>
            <w:shd w:val="clear" w:color="auto" w:fill="auto"/>
            <w:vAlign w:val="center"/>
            <w:hideMark/>
          </w:tcPr>
          <w:p w14:paraId="42713E2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0D69EBF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338DD9A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6,531.46</w:t>
            </w:r>
          </w:p>
        </w:tc>
        <w:tc>
          <w:tcPr>
            <w:tcW w:w="1217" w:type="dxa"/>
            <w:tcBorders>
              <w:top w:val="nil"/>
              <w:left w:val="nil"/>
              <w:bottom w:val="single" w:sz="4" w:space="0" w:color="auto"/>
              <w:right w:val="single" w:sz="4" w:space="0" w:color="auto"/>
            </w:tcBorders>
            <w:shd w:val="clear" w:color="auto" w:fill="auto"/>
            <w:vAlign w:val="center"/>
            <w:hideMark/>
          </w:tcPr>
          <w:p w14:paraId="63E4296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1065" w:type="dxa"/>
            <w:tcBorders>
              <w:top w:val="nil"/>
              <w:left w:val="nil"/>
              <w:bottom w:val="single" w:sz="4" w:space="0" w:color="auto"/>
              <w:right w:val="single" w:sz="4" w:space="0" w:color="auto"/>
            </w:tcBorders>
            <w:shd w:val="clear" w:color="000000" w:fill="FFF2CC"/>
            <w:vAlign w:val="center"/>
            <w:hideMark/>
          </w:tcPr>
          <w:p w14:paraId="4315E5D5"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6,531.46</w:t>
            </w:r>
          </w:p>
        </w:tc>
      </w:tr>
      <w:tr w:rsidR="00DF6D3F" w:rsidRPr="009E5B39" w14:paraId="223C4C1D" w14:textId="77777777" w:rsidTr="003E291B">
        <w:trPr>
          <w:trHeight w:val="179"/>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4FBC00D1"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46</w:t>
            </w:r>
          </w:p>
        </w:tc>
        <w:tc>
          <w:tcPr>
            <w:tcW w:w="1593" w:type="dxa"/>
            <w:tcBorders>
              <w:top w:val="nil"/>
              <w:left w:val="nil"/>
              <w:bottom w:val="single" w:sz="4" w:space="0" w:color="auto"/>
              <w:right w:val="single" w:sz="4" w:space="0" w:color="auto"/>
            </w:tcBorders>
            <w:shd w:val="clear" w:color="auto" w:fill="auto"/>
            <w:vAlign w:val="center"/>
            <w:hideMark/>
          </w:tcPr>
          <w:p w14:paraId="7A7843A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DETS Botanica</w:t>
            </w:r>
          </w:p>
        </w:tc>
        <w:tc>
          <w:tcPr>
            <w:tcW w:w="841" w:type="dxa"/>
            <w:tcBorders>
              <w:top w:val="nil"/>
              <w:left w:val="nil"/>
              <w:bottom w:val="single" w:sz="4" w:space="0" w:color="auto"/>
              <w:right w:val="single" w:sz="4" w:space="0" w:color="auto"/>
            </w:tcBorders>
            <w:shd w:val="clear" w:color="auto" w:fill="auto"/>
            <w:vAlign w:val="center"/>
            <w:hideMark/>
          </w:tcPr>
          <w:p w14:paraId="72C8C69E"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1001 - 2035</w:t>
            </w:r>
          </w:p>
        </w:tc>
        <w:tc>
          <w:tcPr>
            <w:tcW w:w="962" w:type="dxa"/>
            <w:tcBorders>
              <w:top w:val="nil"/>
              <w:left w:val="nil"/>
              <w:bottom w:val="single" w:sz="4" w:space="0" w:color="auto"/>
              <w:right w:val="single" w:sz="4" w:space="0" w:color="auto"/>
            </w:tcBorders>
            <w:shd w:val="clear" w:color="auto" w:fill="auto"/>
            <w:vAlign w:val="center"/>
            <w:hideMark/>
          </w:tcPr>
          <w:p w14:paraId="1B7890F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318,870.76</w:t>
            </w:r>
          </w:p>
        </w:tc>
        <w:tc>
          <w:tcPr>
            <w:tcW w:w="962" w:type="dxa"/>
            <w:tcBorders>
              <w:top w:val="nil"/>
              <w:left w:val="nil"/>
              <w:bottom w:val="single" w:sz="4" w:space="0" w:color="auto"/>
              <w:right w:val="single" w:sz="4" w:space="0" w:color="auto"/>
            </w:tcBorders>
            <w:shd w:val="clear" w:color="auto" w:fill="auto"/>
            <w:vAlign w:val="center"/>
            <w:hideMark/>
          </w:tcPr>
          <w:p w14:paraId="7B5E070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27,096.32</w:t>
            </w:r>
          </w:p>
        </w:tc>
        <w:tc>
          <w:tcPr>
            <w:tcW w:w="1064" w:type="dxa"/>
            <w:tcBorders>
              <w:top w:val="nil"/>
              <w:left w:val="nil"/>
              <w:bottom w:val="single" w:sz="4" w:space="0" w:color="auto"/>
              <w:right w:val="single" w:sz="4" w:space="0" w:color="auto"/>
            </w:tcBorders>
            <w:shd w:val="clear" w:color="auto" w:fill="auto"/>
            <w:vAlign w:val="center"/>
            <w:hideMark/>
          </w:tcPr>
          <w:p w14:paraId="61418E2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1,001,887.77</w:t>
            </w:r>
          </w:p>
        </w:tc>
        <w:tc>
          <w:tcPr>
            <w:tcW w:w="962" w:type="dxa"/>
            <w:tcBorders>
              <w:top w:val="nil"/>
              <w:left w:val="nil"/>
              <w:bottom w:val="single" w:sz="4" w:space="0" w:color="auto"/>
              <w:right w:val="single" w:sz="4" w:space="0" w:color="auto"/>
            </w:tcBorders>
            <w:shd w:val="clear" w:color="auto" w:fill="auto"/>
            <w:vAlign w:val="center"/>
            <w:hideMark/>
          </w:tcPr>
          <w:p w14:paraId="2AF882B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55" w:type="dxa"/>
            <w:tcBorders>
              <w:top w:val="nil"/>
              <w:left w:val="nil"/>
              <w:bottom w:val="single" w:sz="4" w:space="0" w:color="auto"/>
              <w:right w:val="single" w:sz="4" w:space="0" w:color="auto"/>
            </w:tcBorders>
            <w:shd w:val="clear" w:color="auto" w:fill="auto"/>
            <w:vAlign w:val="center"/>
            <w:hideMark/>
          </w:tcPr>
          <w:p w14:paraId="1ABB273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53,699.31</w:t>
            </w:r>
          </w:p>
        </w:tc>
        <w:tc>
          <w:tcPr>
            <w:tcW w:w="1217" w:type="dxa"/>
            <w:tcBorders>
              <w:top w:val="nil"/>
              <w:left w:val="nil"/>
              <w:bottom w:val="single" w:sz="4" w:space="0" w:color="auto"/>
              <w:right w:val="single" w:sz="4" w:space="0" w:color="auto"/>
            </w:tcBorders>
            <w:shd w:val="clear" w:color="auto" w:fill="auto"/>
            <w:vAlign w:val="center"/>
            <w:hideMark/>
          </w:tcPr>
          <w:p w14:paraId="18DCD53B"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4,286.08</w:t>
            </w:r>
          </w:p>
        </w:tc>
        <w:tc>
          <w:tcPr>
            <w:tcW w:w="1065" w:type="dxa"/>
            <w:tcBorders>
              <w:top w:val="nil"/>
              <w:left w:val="nil"/>
              <w:bottom w:val="single" w:sz="4" w:space="0" w:color="auto"/>
              <w:right w:val="single" w:sz="4" w:space="0" w:color="auto"/>
            </w:tcBorders>
            <w:shd w:val="clear" w:color="000000" w:fill="FFF2CC"/>
            <w:vAlign w:val="center"/>
            <w:hideMark/>
          </w:tcPr>
          <w:p w14:paraId="6AED0742"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1,405,840.24</w:t>
            </w:r>
          </w:p>
        </w:tc>
      </w:tr>
      <w:tr w:rsidR="00DF6D3F" w:rsidRPr="009E5B39" w14:paraId="5C62CAFD" w14:textId="77777777" w:rsidTr="003E291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7E40C5FB"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47</w:t>
            </w:r>
          </w:p>
        </w:tc>
        <w:tc>
          <w:tcPr>
            <w:tcW w:w="1593" w:type="dxa"/>
            <w:tcBorders>
              <w:top w:val="nil"/>
              <w:left w:val="nil"/>
              <w:bottom w:val="single" w:sz="4" w:space="0" w:color="auto"/>
              <w:right w:val="single" w:sz="4" w:space="0" w:color="auto"/>
            </w:tcBorders>
            <w:shd w:val="clear" w:color="auto" w:fill="auto"/>
            <w:vAlign w:val="center"/>
            <w:hideMark/>
          </w:tcPr>
          <w:p w14:paraId="15F81909"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DETS Centru</w:t>
            </w:r>
          </w:p>
        </w:tc>
        <w:tc>
          <w:tcPr>
            <w:tcW w:w="841" w:type="dxa"/>
            <w:tcBorders>
              <w:top w:val="nil"/>
              <w:left w:val="nil"/>
              <w:bottom w:val="single" w:sz="4" w:space="0" w:color="auto"/>
              <w:right w:val="single" w:sz="4" w:space="0" w:color="auto"/>
            </w:tcBorders>
            <w:shd w:val="clear" w:color="auto" w:fill="auto"/>
            <w:vAlign w:val="center"/>
            <w:hideMark/>
          </w:tcPr>
          <w:p w14:paraId="69E522A4"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1001 - 2039</w:t>
            </w:r>
          </w:p>
        </w:tc>
        <w:tc>
          <w:tcPr>
            <w:tcW w:w="962" w:type="dxa"/>
            <w:tcBorders>
              <w:top w:val="nil"/>
              <w:left w:val="nil"/>
              <w:bottom w:val="single" w:sz="4" w:space="0" w:color="auto"/>
              <w:right w:val="single" w:sz="4" w:space="0" w:color="auto"/>
            </w:tcBorders>
            <w:shd w:val="clear" w:color="auto" w:fill="auto"/>
            <w:vAlign w:val="center"/>
            <w:hideMark/>
          </w:tcPr>
          <w:p w14:paraId="166EEC8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79,867.87</w:t>
            </w:r>
          </w:p>
        </w:tc>
        <w:tc>
          <w:tcPr>
            <w:tcW w:w="962" w:type="dxa"/>
            <w:tcBorders>
              <w:top w:val="nil"/>
              <w:left w:val="nil"/>
              <w:bottom w:val="single" w:sz="4" w:space="0" w:color="auto"/>
              <w:right w:val="single" w:sz="4" w:space="0" w:color="auto"/>
            </w:tcBorders>
            <w:shd w:val="clear" w:color="auto" w:fill="auto"/>
            <w:vAlign w:val="center"/>
            <w:hideMark/>
          </w:tcPr>
          <w:p w14:paraId="38740587"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26,849.18</w:t>
            </w:r>
          </w:p>
        </w:tc>
        <w:tc>
          <w:tcPr>
            <w:tcW w:w="1064" w:type="dxa"/>
            <w:tcBorders>
              <w:top w:val="nil"/>
              <w:left w:val="nil"/>
              <w:bottom w:val="single" w:sz="4" w:space="0" w:color="auto"/>
              <w:right w:val="single" w:sz="4" w:space="0" w:color="auto"/>
            </w:tcBorders>
            <w:shd w:val="clear" w:color="auto" w:fill="auto"/>
            <w:vAlign w:val="center"/>
            <w:hideMark/>
          </w:tcPr>
          <w:p w14:paraId="5604DEC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w:t>
            </w:r>
          </w:p>
        </w:tc>
        <w:tc>
          <w:tcPr>
            <w:tcW w:w="962" w:type="dxa"/>
            <w:tcBorders>
              <w:top w:val="nil"/>
              <w:left w:val="nil"/>
              <w:bottom w:val="single" w:sz="4" w:space="0" w:color="auto"/>
              <w:right w:val="single" w:sz="4" w:space="0" w:color="auto"/>
            </w:tcBorders>
            <w:shd w:val="clear" w:color="auto" w:fill="auto"/>
            <w:vAlign w:val="center"/>
            <w:hideMark/>
          </w:tcPr>
          <w:p w14:paraId="13E2CD1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371,968.94</w:t>
            </w:r>
          </w:p>
        </w:tc>
        <w:tc>
          <w:tcPr>
            <w:tcW w:w="955" w:type="dxa"/>
            <w:tcBorders>
              <w:top w:val="nil"/>
              <w:left w:val="nil"/>
              <w:bottom w:val="single" w:sz="4" w:space="0" w:color="auto"/>
              <w:right w:val="single" w:sz="4" w:space="0" w:color="auto"/>
            </w:tcBorders>
            <w:shd w:val="clear" w:color="auto" w:fill="auto"/>
            <w:vAlign w:val="center"/>
            <w:hideMark/>
          </w:tcPr>
          <w:p w14:paraId="7EE199B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23,961.59</w:t>
            </w:r>
          </w:p>
        </w:tc>
        <w:tc>
          <w:tcPr>
            <w:tcW w:w="1217" w:type="dxa"/>
            <w:tcBorders>
              <w:top w:val="nil"/>
              <w:left w:val="nil"/>
              <w:bottom w:val="single" w:sz="4" w:space="0" w:color="auto"/>
              <w:right w:val="single" w:sz="4" w:space="0" w:color="auto"/>
            </w:tcBorders>
            <w:shd w:val="clear" w:color="auto" w:fill="auto"/>
            <w:vAlign w:val="center"/>
            <w:hideMark/>
          </w:tcPr>
          <w:p w14:paraId="2FD285C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6,584.56</w:t>
            </w:r>
          </w:p>
        </w:tc>
        <w:tc>
          <w:tcPr>
            <w:tcW w:w="1065" w:type="dxa"/>
            <w:tcBorders>
              <w:top w:val="nil"/>
              <w:left w:val="nil"/>
              <w:bottom w:val="single" w:sz="4" w:space="0" w:color="auto"/>
              <w:right w:val="single" w:sz="4" w:space="0" w:color="auto"/>
            </w:tcBorders>
            <w:shd w:val="clear" w:color="000000" w:fill="FFF2CC"/>
            <w:vAlign w:val="center"/>
            <w:hideMark/>
          </w:tcPr>
          <w:p w14:paraId="3A61FE3A"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509,232.14</w:t>
            </w:r>
          </w:p>
        </w:tc>
      </w:tr>
    </w:tbl>
    <w:p w14:paraId="55123688" w14:textId="77777777" w:rsidR="00DF6D3F" w:rsidRPr="009E5B39" w:rsidRDefault="00DF6D3F" w:rsidP="00DF6D3F">
      <w:pPr>
        <w:spacing w:after="0"/>
        <w:jc w:val="right"/>
        <w:rPr>
          <w:rFonts w:asciiTheme="majorHAnsi" w:hAnsiTheme="majorHAnsi" w:cstheme="majorHAnsi"/>
          <w:b/>
          <w:sz w:val="28"/>
          <w:szCs w:val="28"/>
          <w:lang w:val="ro-MD"/>
        </w:rPr>
        <w:sectPr w:rsidR="00DF6D3F" w:rsidRPr="009E5B39" w:rsidSect="00762649">
          <w:pgSz w:w="11907" w:h="16840" w:code="9"/>
          <w:pgMar w:top="1134" w:right="851" w:bottom="1134" w:left="1701" w:header="709" w:footer="709" w:gutter="0"/>
          <w:cols w:space="708"/>
          <w:docGrid w:linePitch="360"/>
        </w:sectPr>
      </w:pPr>
    </w:p>
    <w:p w14:paraId="78245086" w14:textId="77777777" w:rsidR="00ED71CD" w:rsidRPr="009E5B39" w:rsidRDefault="00ED71CD" w:rsidP="00ED71CD">
      <w:pPr>
        <w:spacing w:after="0" w:line="240" w:lineRule="auto"/>
        <w:rPr>
          <w:rFonts w:asciiTheme="majorHAnsi" w:eastAsia="Calibri" w:hAnsiTheme="majorHAnsi" w:cstheme="majorHAnsi"/>
          <w:b/>
          <w:sz w:val="24"/>
          <w:szCs w:val="24"/>
          <w:lang w:val="ro-MD"/>
        </w:rPr>
      </w:pPr>
    </w:p>
    <w:p w14:paraId="24321C6B" w14:textId="77777777" w:rsidR="00ED71CD" w:rsidRPr="009E5B39" w:rsidRDefault="00ED71CD" w:rsidP="00ED71CD">
      <w:pPr>
        <w:keepNext/>
        <w:keepLines/>
        <w:spacing w:after="0"/>
        <w:jc w:val="right"/>
        <w:outlineLvl w:val="0"/>
        <w:rPr>
          <w:rFonts w:asciiTheme="majorHAnsi" w:eastAsia="Calibri" w:hAnsiTheme="majorHAnsi" w:cstheme="majorHAnsi"/>
          <w:b/>
          <w:sz w:val="32"/>
          <w:szCs w:val="32"/>
          <w:lang w:val="ro-MD"/>
        </w:rPr>
      </w:pPr>
      <w:bookmarkStart w:id="27" w:name="_Toc116026892"/>
      <w:r w:rsidRPr="009E5B39">
        <w:rPr>
          <w:rFonts w:asciiTheme="majorHAnsi" w:eastAsia="Calibri" w:hAnsiTheme="majorHAnsi" w:cstheme="majorHAnsi"/>
          <w:b/>
          <w:sz w:val="32"/>
          <w:szCs w:val="32"/>
          <w:lang w:val="ro-MD"/>
        </w:rPr>
        <w:t>Anexa nr.10</w:t>
      </w:r>
      <w:bookmarkEnd w:id="27"/>
    </w:p>
    <w:p w14:paraId="3178F28A" w14:textId="77777777" w:rsidR="00ED71CD" w:rsidRPr="009E5B39" w:rsidRDefault="00ED71CD" w:rsidP="00ED71CD">
      <w:pPr>
        <w:spacing w:after="0" w:line="240" w:lineRule="auto"/>
        <w:ind w:left="284"/>
        <w:jc w:val="center"/>
        <w:rPr>
          <w:rFonts w:asciiTheme="majorHAnsi" w:eastAsia="Calibri" w:hAnsiTheme="majorHAnsi" w:cstheme="majorHAnsi"/>
          <w:b/>
          <w:sz w:val="24"/>
          <w:szCs w:val="24"/>
          <w:lang w:val="ro-MD"/>
        </w:rPr>
      </w:pPr>
      <w:r w:rsidRPr="009E5B39">
        <w:rPr>
          <w:rFonts w:asciiTheme="majorHAnsi" w:eastAsia="Calibri" w:hAnsiTheme="majorHAnsi" w:cstheme="majorHAnsi"/>
          <w:b/>
          <w:sz w:val="24"/>
          <w:szCs w:val="24"/>
          <w:lang w:val="ro-MD"/>
        </w:rPr>
        <w:t>Construcție neautorizată din sectorul Ciocana</w:t>
      </w:r>
    </w:p>
    <w:p w14:paraId="07FD5E6B" w14:textId="77777777" w:rsidR="00ED71CD" w:rsidRPr="009E5B39" w:rsidRDefault="00ED71CD" w:rsidP="00ED71CD">
      <w:pPr>
        <w:spacing w:after="0"/>
        <w:rPr>
          <w:rFonts w:asciiTheme="majorHAnsi" w:hAnsiTheme="majorHAnsi" w:cstheme="majorHAnsi"/>
          <w:lang w:val="ro-MD"/>
        </w:rPr>
      </w:pPr>
    </w:p>
    <w:p w14:paraId="1E1BF0E3" w14:textId="77777777" w:rsidR="00ED71CD" w:rsidRPr="009E5B39" w:rsidRDefault="00ED71CD" w:rsidP="00ED71CD">
      <w:pPr>
        <w:spacing w:after="0"/>
        <w:rPr>
          <w:rFonts w:asciiTheme="majorHAnsi" w:hAnsiTheme="majorHAnsi" w:cstheme="majorHAnsi"/>
          <w:lang w:val="ro-MD"/>
        </w:rPr>
      </w:pPr>
      <w:r w:rsidRPr="009E5B39">
        <w:rPr>
          <w:rFonts w:asciiTheme="majorHAnsi" w:eastAsia="Calibri" w:hAnsiTheme="majorHAnsi" w:cstheme="majorHAnsi"/>
          <w:noProof/>
          <w:sz w:val="16"/>
          <w:szCs w:val="16"/>
        </w:rPr>
        <w:drawing>
          <wp:inline distT="0" distB="0" distL="0" distR="0" wp14:anchorId="70BDF6AC" wp14:editId="3DD153CC">
            <wp:extent cx="5894804" cy="4709160"/>
            <wp:effectExtent l="0" t="0" r="0" b="0"/>
            <wp:docPr id="6" name="Рисунок 18" descr="C:\Users\a_leasoc\AppData\Local\Microsoft\Windows\INetCache\Content.Word\279436018_751934802849922_647968223305198200_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_leasoc\AppData\Local\Microsoft\Windows\INetCache\Content.Word\279436018_751934802849922_647968223305198200_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694" cy="4745021"/>
                    </a:xfrm>
                    <a:prstGeom prst="rect">
                      <a:avLst/>
                    </a:prstGeom>
                    <a:noFill/>
                    <a:ln>
                      <a:noFill/>
                    </a:ln>
                  </pic:spPr>
                </pic:pic>
              </a:graphicData>
            </a:graphic>
          </wp:inline>
        </w:drawing>
      </w:r>
    </w:p>
    <w:p w14:paraId="30F4E8EA" w14:textId="77777777" w:rsidR="00ED71CD" w:rsidRPr="009E5B39" w:rsidRDefault="00ED71CD" w:rsidP="00ED71CD">
      <w:pPr>
        <w:tabs>
          <w:tab w:val="left" w:pos="0"/>
        </w:tabs>
        <w:spacing w:after="0" w:line="240" w:lineRule="auto"/>
        <w:jc w:val="both"/>
        <w:rPr>
          <w:rFonts w:asciiTheme="majorHAnsi" w:hAnsiTheme="majorHAnsi" w:cstheme="majorHAnsi"/>
          <w:b/>
          <w:sz w:val="28"/>
          <w:szCs w:val="28"/>
          <w:lang w:val="ro-MD"/>
        </w:rPr>
      </w:pPr>
    </w:p>
    <w:p w14:paraId="3E98388B" w14:textId="77777777" w:rsidR="00ED71CD" w:rsidRPr="009E5B39" w:rsidRDefault="00ED71CD" w:rsidP="001F48A2">
      <w:pPr>
        <w:rPr>
          <w:lang w:val="ro-MD"/>
        </w:rPr>
      </w:pPr>
    </w:p>
    <w:p w14:paraId="74069501" w14:textId="77777777" w:rsidR="00ED71CD" w:rsidRPr="009E5B39" w:rsidRDefault="00ED71CD" w:rsidP="001F48A2">
      <w:pPr>
        <w:rPr>
          <w:lang w:val="ro-MD"/>
        </w:rPr>
      </w:pPr>
    </w:p>
    <w:p w14:paraId="29053425" w14:textId="77777777" w:rsidR="00ED71CD" w:rsidRPr="009E5B39" w:rsidRDefault="00ED71CD" w:rsidP="001F48A2">
      <w:pPr>
        <w:rPr>
          <w:lang w:val="ro-MD"/>
        </w:rPr>
      </w:pPr>
    </w:p>
    <w:p w14:paraId="016AE28E" w14:textId="77777777" w:rsidR="00ED71CD" w:rsidRPr="009E5B39" w:rsidRDefault="00ED71CD" w:rsidP="001F48A2">
      <w:pPr>
        <w:rPr>
          <w:lang w:val="ro-MD"/>
        </w:rPr>
      </w:pPr>
    </w:p>
    <w:p w14:paraId="2F6E3599" w14:textId="6AD35694" w:rsidR="00ED71CD" w:rsidRPr="009E5B39" w:rsidRDefault="00ED71CD" w:rsidP="001F48A2">
      <w:pPr>
        <w:rPr>
          <w:lang w:val="ro-MD"/>
        </w:rPr>
      </w:pPr>
    </w:p>
    <w:p w14:paraId="48AD5437" w14:textId="4FEE04F1" w:rsidR="008107EA" w:rsidRPr="009E5B39" w:rsidRDefault="008107EA" w:rsidP="00E0384B">
      <w:pPr>
        <w:rPr>
          <w:lang w:val="ro-MD"/>
        </w:rPr>
      </w:pPr>
    </w:p>
    <w:p w14:paraId="794079C6" w14:textId="69F1CEFD" w:rsidR="008107EA" w:rsidRPr="009E5B39" w:rsidRDefault="008107EA" w:rsidP="00E0384B">
      <w:pPr>
        <w:rPr>
          <w:lang w:val="ro-MD"/>
        </w:rPr>
      </w:pPr>
    </w:p>
    <w:p w14:paraId="7C9E9F71" w14:textId="21FE8BD2" w:rsidR="008107EA" w:rsidRPr="009E5B39" w:rsidRDefault="008107EA" w:rsidP="006A1F6A">
      <w:pPr>
        <w:rPr>
          <w:lang w:val="ro-MD"/>
        </w:rPr>
      </w:pPr>
    </w:p>
    <w:p w14:paraId="3D46B495" w14:textId="536D7DCB" w:rsidR="008107EA" w:rsidRPr="009E5B39" w:rsidRDefault="008107EA" w:rsidP="006A1F6A">
      <w:pPr>
        <w:rPr>
          <w:lang w:val="ro-MD"/>
        </w:rPr>
      </w:pPr>
    </w:p>
    <w:p w14:paraId="2A7FC464" w14:textId="28A75281" w:rsidR="008107EA" w:rsidRPr="009E5B39" w:rsidRDefault="008107EA" w:rsidP="008107EA">
      <w:pPr>
        <w:rPr>
          <w:lang w:val="ro-MD"/>
        </w:rPr>
      </w:pPr>
    </w:p>
    <w:p w14:paraId="3614DE2E" w14:textId="7D1AD1FF" w:rsidR="008107EA" w:rsidRPr="009E5B39" w:rsidRDefault="008107EA" w:rsidP="008107EA">
      <w:pPr>
        <w:rPr>
          <w:lang w:val="ro-MD"/>
        </w:rPr>
      </w:pPr>
    </w:p>
    <w:p w14:paraId="08F71A7A" w14:textId="77777777" w:rsidR="008107EA" w:rsidRPr="009E5B39" w:rsidRDefault="008107EA" w:rsidP="008107EA">
      <w:pPr>
        <w:rPr>
          <w:lang w:val="ro-MD"/>
        </w:rPr>
      </w:pPr>
    </w:p>
    <w:p w14:paraId="36C2EB74" w14:textId="54B21304" w:rsidR="00DF6D3F" w:rsidRPr="009E5B39" w:rsidRDefault="00DF6D3F" w:rsidP="00DF6D3F">
      <w:pPr>
        <w:pStyle w:val="Heading1"/>
        <w:spacing w:before="0"/>
        <w:jc w:val="right"/>
        <w:rPr>
          <w:rFonts w:cstheme="majorHAnsi"/>
          <w:b/>
          <w:color w:val="auto"/>
          <w:lang w:val="ro-MD"/>
        </w:rPr>
      </w:pPr>
      <w:bookmarkStart w:id="28" w:name="_Toc116026893"/>
      <w:r w:rsidRPr="009E5B39">
        <w:rPr>
          <w:rFonts w:cstheme="majorHAnsi"/>
          <w:b/>
          <w:color w:val="auto"/>
          <w:lang w:val="ro-MD"/>
        </w:rPr>
        <w:t>Anexa nr.1</w:t>
      </w:r>
      <w:r w:rsidR="00ED71CD" w:rsidRPr="009E5B39">
        <w:rPr>
          <w:rFonts w:cstheme="majorHAnsi"/>
          <w:b/>
          <w:color w:val="auto"/>
          <w:lang w:val="ro-MD"/>
        </w:rPr>
        <w:t>1</w:t>
      </w:r>
      <w:bookmarkEnd w:id="28"/>
    </w:p>
    <w:tbl>
      <w:tblPr>
        <w:tblW w:w="9781" w:type="dxa"/>
        <w:tblLook w:val="04A0" w:firstRow="1" w:lastRow="0" w:firstColumn="1" w:lastColumn="0" w:noHBand="0" w:noVBand="1"/>
      </w:tblPr>
      <w:tblGrid>
        <w:gridCol w:w="559"/>
        <w:gridCol w:w="2276"/>
        <w:gridCol w:w="1402"/>
        <w:gridCol w:w="2850"/>
        <w:gridCol w:w="1559"/>
        <w:gridCol w:w="1135"/>
      </w:tblGrid>
      <w:tr w:rsidR="00DF6D3F" w:rsidRPr="009E5B39" w14:paraId="2D0C25C5" w14:textId="77777777" w:rsidTr="003E291B">
        <w:trPr>
          <w:trHeight w:val="290"/>
        </w:trPr>
        <w:tc>
          <w:tcPr>
            <w:tcW w:w="9781" w:type="dxa"/>
            <w:gridSpan w:val="6"/>
            <w:tcBorders>
              <w:top w:val="nil"/>
              <w:left w:val="nil"/>
              <w:bottom w:val="single" w:sz="4" w:space="0" w:color="auto"/>
              <w:right w:val="nil"/>
            </w:tcBorders>
            <w:shd w:val="clear" w:color="auto" w:fill="auto"/>
            <w:noWrap/>
            <w:vAlign w:val="bottom"/>
            <w:hideMark/>
          </w:tcPr>
          <w:p w14:paraId="6ECF9821" w14:textId="77777777" w:rsidR="00DF6D3F" w:rsidRPr="009E5B39" w:rsidRDefault="00DF6D3F" w:rsidP="003E291B">
            <w:pPr>
              <w:spacing w:after="0" w:line="240" w:lineRule="auto"/>
              <w:jc w:val="center"/>
              <w:rPr>
                <w:rFonts w:asciiTheme="majorHAnsi" w:eastAsia="Times New Roman" w:hAnsiTheme="majorHAnsi" w:cstheme="majorHAnsi"/>
                <w:b/>
                <w:bCs/>
                <w:sz w:val="24"/>
                <w:szCs w:val="24"/>
                <w:lang w:val="ro-MD"/>
              </w:rPr>
            </w:pPr>
            <w:r w:rsidRPr="009E5B39">
              <w:rPr>
                <w:rFonts w:asciiTheme="majorHAnsi" w:eastAsia="Times New Roman" w:hAnsiTheme="majorHAnsi" w:cstheme="majorHAnsi"/>
                <w:b/>
                <w:bCs/>
                <w:sz w:val="24"/>
                <w:szCs w:val="24"/>
                <w:lang w:val="ro-MD"/>
              </w:rPr>
              <w:t xml:space="preserve">Repartizarea profitului net pentru dezvoltarea entității </w:t>
            </w:r>
          </w:p>
        </w:tc>
      </w:tr>
      <w:tr w:rsidR="00DF6D3F" w:rsidRPr="009E5B39" w14:paraId="71D7E81C" w14:textId="77777777" w:rsidTr="003E291B">
        <w:trPr>
          <w:trHeight w:val="480"/>
        </w:trPr>
        <w:tc>
          <w:tcPr>
            <w:tcW w:w="559" w:type="dxa"/>
            <w:tcBorders>
              <w:top w:val="nil"/>
              <w:left w:val="single" w:sz="4" w:space="0" w:color="auto"/>
              <w:bottom w:val="single" w:sz="4" w:space="0" w:color="auto"/>
              <w:right w:val="single" w:sz="4" w:space="0" w:color="auto"/>
            </w:tcBorders>
            <w:shd w:val="clear" w:color="000000" w:fill="D9D9D9"/>
            <w:vAlign w:val="center"/>
            <w:hideMark/>
          </w:tcPr>
          <w:p w14:paraId="4611D31A"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Nr. d/o</w:t>
            </w:r>
          </w:p>
        </w:tc>
        <w:tc>
          <w:tcPr>
            <w:tcW w:w="2276" w:type="dxa"/>
            <w:tcBorders>
              <w:top w:val="nil"/>
              <w:left w:val="nil"/>
              <w:bottom w:val="single" w:sz="4" w:space="0" w:color="auto"/>
              <w:right w:val="single" w:sz="4" w:space="0" w:color="auto"/>
            </w:tcBorders>
            <w:shd w:val="clear" w:color="000000" w:fill="D9D9D9"/>
            <w:vAlign w:val="center"/>
            <w:hideMark/>
          </w:tcPr>
          <w:p w14:paraId="34DC72CC"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Denumirea entității</w:t>
            </w:r>
          </w:p>
        </w:tc>
        <w:tc>
          <w:tcPr>
            <w:tcW w:w="1402" w:type="dxa"/>
            <w:tcBorders>
              <w:top w:val="nil"/>
              <w:left w:val="nil"/>
              <w:bottom w:val="single" w:sz="4" w:space="0" w:color="auto"/>
              <w:right w:val="nil"/>
            </w:tcBorders>
            <w:shd w:val="clear" w:color="000000" w:fill="D9D9D9"/>
            <w:vAlign w:val="center"/>
            <w:hideMark/>
          </w:tcPr>
          <w:p w14:paraId="082CDA99" w14:textId="75664095" w:rsidR="00DF6D3F" w:rsidRPr="009E5B39" w:rsidRDefault="00116C17"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C</w:t>
            </w:r>
            <w:r w:rsidR="00DF6D3F" w:rsidRPr="009E5B39">
              <w:rPr>
                <w:rFonts w:asciiTheme="majorHAnsi" w:eastAsia="Times New Roman" w:hAnsiTheme="majorHAnsi" w:cstheme="majorHAnsi"/>
                <w:b/>
                <w:bCs/>
                <w:sz w:val="16"/>
                <w:szCs w:val="16"/>
                <w:lang w:val="ro-MD"/>
              </w:rPr>
              <w:t>od fiscal</w:t>
            </w:r>
          </w:p>
        </w:tc>
        <w:tc>
          <w:tcPr>
            <w:tcW w:w="2850" w:type="dxa"/>
            <w:tcBorders>
              <w:top w:val="nil"/>
              <w:left w:val="single" w:sz="4" w:space="0" w:color="auto"/>
              <w:bottom w:val="single" w:sz="4" w:space="0" w:color="auto"/>
              <w:right w:val="single" w:sz="4" w:space="0" w:color="auto"/>
            </w:tcBorders>
            <w:shd w:val="clear" w:color="000000" w:fill="D9D9D9"/>
            <w:noWrap/>
            <w:vAlign w:val="center"/>
            <w:hideMark/>
          </w:tcPr>
          <w:p w14:paraId="3BCAD4EE" w14:textId="77777777" w:rsidR="00DF6D3F" w:rsidRPr="009E5B39" w:rsidRDefault="00DF6D3F"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Deciziile CMC</w:t>
            </w:r>
          </w:p>
        </w:tc>
        <w:tc>
          <w:tcPr>
            <w:tcW w:w="1559" w:type="dxa"/>
            <w:tcBorders>
              <w:top w:val="nil"/>
              <w:left w:val="nil"/>
              <w:bottom w:val="single" w:sz="4" w:space="0" w:color="auto"/>
              <w:right w:val="single" w:sz="4" w:space="0" w:color="auto"/>
            </w:tcBorders>
            <w:shd w:val="clear" w:color="000000" w:fill="D9D9D9"/>
            <w:vAlign w:val="center"/>
            <w:hideMark/>
          </w:tcPr>
          <w:p w14:paraId="6F5794E3" w14:textId="6EC87BFA" w:rsidR="00DF6D3F" w:rsidRPr="009E5B39" w:rsidRDefault="00116C17"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R</w:t>
            </w:r>
            <w:r w:rsidR="00DF6D3F" w:rsidRPr="009E5B39">
              <w:rPr>
                <w:rFonts w:asciiTheme="majorHAnsi" w:eastAsia="Times New Roman" w:hAnsiTheme="majorHAnsi" w:cstheme="majorHAnsi"/>
                <w:b/>
                <w:bCs/>
                <w:sz w:val="16"/>
                <w:szCs w:val="16"/>
                <w:lang w:val="ro-MD"/>
              </w:rPr>
              <w:t>epartizarea profitului net obținut din anii:</w:t>
            </w:r>
          </w:p>
        </w:tc>
        <w:tc>
          <w:tcPr>
            <w:tcW w:w="1135" w:type="dxa"/>
            <w:tcBorders>
              <w:top w:val="nil"/>
              <w:left w:val="nil"/>
              <w:bottom w:val="single" w:sz="4" w:space="0" w:color="auto"/>
              <w:right w:val="single" w:sz="4" w:space="0" w:color="auto"/>
            </w:tcBorders>
            <w:shd w:val="clear" w:color="000000" w:fill="D9D9D9"/>
            <w:noWrap/>
            <w:vAlign w:val="center"/>
            <w:hideMark/>
          </w:tcPr>
          <w:p w14:paraId="0DF7ADEC" w14:textId="1C491CBC" w:rsidR="00DF6D3F" w:rsidRPr="009E5B39" w:rsidRDefault="00116C17" w:rsidP="003E291B">
            <w:pPr>
              <w:spacing w:after="0" w:line="240" w:lineRule="auto"/>
              <w:jc w:val="center"/>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I</w:t>
            </w:r>
            <w:r w:rsidR="00DF6D3F" w:rsidRPr="009E5B39">
              <w:rPr>
                <w:rFonts w:asciiTheme="majorHAnsi" w:eastAsia="Times New Roman" w:hAnsiTheme="majorHAnsi" w:cstheme="majorHAnsi"/>
                <w:b/>
                <w:bCs/>
                <w:sz w:val="16"/>
                <w:szCs w:val="16"/>
                <w:lang w:val="ro-MD"/>
              </w:rPr>
              <w:t>ntrări decizii, lei</w:t>
            </w:r>
          </w:p>
        </w:tc>
      </w:tr>
      <w:tr w:rsidR="00DF6D3F" w:rsidRPr="009E5B39" w14:paraId="6286D80D" w14:textId="77777777" w:rsidTr="003E291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02F06EE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5CDBBA7B" w14:textId="77777777" w:rsidR="00DF6D3F" w:rsidRPr="009E5B39" w:rsidRDefault="00EA1821" w:rsidP="003E291B">
            <w:pPr>
              <w:spacing w:after="0" w:line="240" w:lineRule="auto"/>
              <w:jc w:val="center"/>
              <w:rPr>
                <w:rFonts w:asciiTheme="majorHAnsi" w:eastAsia="Times New Roman" w:hAnsiTheme="majorHAnsi" w:cstheme="majorHAnsi"/>
                <w:sz w:val="16"/>
                <w:szCs w:val="16"/>
                <w:lang w:val="ro-MD"/>
              </w:rPr>
            </w:pPr>
            <w:hyperlink r:id="rId20" w:history="1">
              <w:r w:rsidR="00DF6D3F" w:rsidRPr="009E5B39">
                <w:rPr>
                  <w:rFonts w:asciiTheme="majorHAnsi" w:eastAsia="Times New Roman" w:hAnsiTheme="majorHAnsi" w:cstheme="majorHAnsi"/>
                  <w:sz w:val="16"/>
                  <w:szCs w:val="16"/>
                  <w:lang w:val="ro-MD"/>
                </w:rPr>
                <w:t>ÎM "Lumteh"</w:t>
              </w:r>
            </w:hyperlink>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748DF8B8"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1003600127505</w:t>
            </w:r>
          </w:p>
        </w:tc>
        <w:tc>
          <w:tcPr>
            <w:tcW w:w="2850" w:type="dxa"/>
            <w:tcBorders>
              <w:top w:val="nil"/>
              <w:left w:val="nil"/>
              <w:bottom w:val="single" w:sz="4" w:space="0" w:color="auto"/>
              <w:right w:val="single" w:sz="4" w:space="0" w:color="auto"/>
            </w:tcBorders>
            <w:shd w:val="clear" w:color="000000" w:fill="FFFFFF"/>
            <w:noWrap/>
            <w:vAlign w:val="center"/>
            <w:hideMark/>
          </w:tcPr>
          <w:p w14:paraId="058B9B3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nr.10/9-14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57CF3851"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43B06E5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189.502,00</w:t>
            </w:r>
          </w:p>
        </w:tc>
      </w:tr>
      <w:tr w:rsidR="00DF6D3F" w:rsidRPr="009E5B39" w14:paraId="0A167A77" w14:textId="77777777" w:rsidTr="003E291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6A1B44A2"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276" w:type="dxa"/>
            <w:vMerge/>
            <w:tcBorders>
              <w:top w:val="nil"/>
              <w:left w:val="single" w:sz="4" w:space="0" w:color="auto"/>
              <w:bottom w:val="single" w:sz="4" w:space="0" w:color="000000"/>
              <w:right w:val="single" w:sz="4" w:space="0" w:color="auto"/>
            </w:tcBorders>
            <w:vAlign w:val="center"/>
            <w:hideMark/>
          </w:tcPr>
          <w:p w14:paraId="3324F9DB"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1402" w:type="dxa"/>
            <w:vMerge/>
            <w:tcBorders>
              <w:top w:val="nil"/>
              <w:left w:val="single" w:sz="4" w:space="0" w:color="auto"/>
              <w:bottom w:val="single" w:sz="4" w:space="0" w:color="000000"/>
              <w:right w:val="single" w:sz="4" w:space="0" w:color="auto"/>
            </w:tcBorders>
            <w:vAlign w:val="center"/>
            <w:hideMark/>
          </w:tcPr>
          <w:p w14:paraId="2C921BD4"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850" w:type="dxa"/>
            <w:tcBorders>
              <w:top w:val="nil"/>
              <w:left w:val="nil"/>
              <w:bottom w:val="single" w:sz="4" w:space="0" w:color="auto"/>
              <w:right w:val="single" w:sz="4" w:space="0" w:color="auto"/>
            </w:tcBorders>
            <w:shd w:val="clear" w:color="000000" w:fill="FFFFFF"/>
            <w:noWrap/>
            <w:vAlign w:val="center"/>
            <w:hideMark/>
          </w:tcPr>
          <w:p w14:paraId="7C42629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nr.10/9-13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19CE0FA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113A713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2.434.292,00</w:t>
            </w:r>
          </w:p>
        </w:tc>
      </w:tr>
      <w:tr w:rsidR="00DF6D3F" w:rsidRPr="009E5B39" w14:paraId="311B13BE" w14:textId="77777777" w:rsidTr="003E291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B64EA2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097748CA" w14:textId="77777777" w:rsidR="00DF6D3F" w:rsidRPr="009E5B39" w:rsidRDefault="00EA1821" w:rsidP="003E291B">
            <w:pPr>
              <w:spacing w:after="0" w:line="240" w:lineRule="auto"/>
              <w:rPr>
                <w:rFonts w:asciiTheme="majorHAnsi" w:eastAsia="Times New Roman" w:hAnsiTheme="majorHAnsi" w:cstheme="majorHAnsi"/>
                <w:sz w:val="16"/>
                <w:szCs w:val="16"/>
                <w:lang w:val="ro-MD"/>
              </w:rPr>
            </w:pPr>
            <w:hyperlink r:id="rId21" w:history="1">
              <w:r w:rsidR="00DF6D3F" w:rsidRPr="009E5B39">
                <w:rPr>
                  <w:rFonts w:asciiTheme="majorHAnsi" w:eastAsia="Times New Roman" w:hAnsiTheme="majorHAnsi" w:cstheme="majorHAnsi"/>
                  <w:sz w:val="16"/>
                  <w:szCs w:val="16"/>
                  <w:lang w:val="ro-MD"/>
                </w:rPr>
                <w:t>ÎM Specializată "LIFTSERVICE"</w:t>
              </w:r>
            </w:hyperlink>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40301B77"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1003600126117</w:t>
            </w:r>
          </w:p>
        </w:tc>
        <w:tc>
          <w:tcPr>
            <w:tcW w:w="2850" w:type="dxa"/>
            <w:tcBorders>
              <w:top w:val="nil"/>
              <w:left w:val="nil"/>
              <w:bottom w:val="single" w:sz="4" w:space="0" w:color="auto"/>
              <w:right w:val="single" w:sz="4" w:space="0" w:color="auto"/>
            </w:tcBorders>
            <w:shd w:val="clear" w:color="000000" w:fill="FFFFFF"/>
            <w:noWrap/>
            <w:vAlign w:val="center"/>
            <w:hideMark/>
          </w:tcPr>
          <w:p w14:paraId="109A72E9"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nr.10/9-30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1036FD7C"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28A7314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37.230,00</w:t>
            </w:r>
          </w:p>
        </w:tc>
      </w:tr>
      <w:tr w:rsidR="00DF6D3F" w:rsidRPr="009E5B39" w14:paraId="401A1FD3" w14:textId="77777777" w:rsidTr="003E291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76D11F69"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276" w:type="dxa"/>
            <w:vMerge/>
            <w:tcBorders>
              <w:top w:val="nil"/>
              <w:left w:val="single" w:sz="4" w:space="0" w:color="auto"/>
              <w:bottom w:val="single" w:sz="4" w:space="0" w:color="000000"/>
              <w:right w:val="single" w:sz="4" w:space="0" w:color="auto"/>
            </w:tcBorders>
            <w:vAlign w:val="center"/>
            <w:hideMark/>
          </w:tcPr>
          <w:p w14:paraId="4FAEF29C"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1402" w:type="dxa"/>
            <w:vMerge/>
            <w:tcBorders>
              <w:top w:val="nil"/>
              <w:left w:val="single" w:sz="4" w:space="0" w:color="auto"/>
              <w:bottom w:val="single" w:sz="4" w:space="0" w:color="000000"/>
              <w:right w:val="single" w:sz="4" w:space="0" w:color="auto"/>
            </w:tcBorders>
            <w:vAlign w:val="center"/>
            <w:hideMark/>
          </w:tcPr>
          <w:p w14:paraId="059E2111"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850" w:type="dxa"/>
            <w:tcBorders>
              <w:top w:val="nil"/>
              <w:left w:val="nil"/>
              <w:bottom w:val="single" w:sz="4" w:space="0" w:color="auto"/>
              <w:right w:val="single" w:sz="4" w:space="0" w:color="auto"/>
            </w:tcBorders>
            <w:shd w:val="clear" w:color="000000" w:fill="FFFFFF"/>
            <w:noWrap/>
            <w:vAlign w:val="center"/>
            <w:hideMark/>
          </w:tcPr>
          <w:p w14:paraId="1E674D37"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nr.10/9-31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7C09E7C1"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230CE0D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306.628,00</w:t>
            </w:r>
          </w:p>
        </w:tc>
      </w:tr>
      <w:tr w:rsidR="00DF6D3F" w:rsidRPr="009E5B39" w14:paraId="2528E08A" w14:textId="77777777" w:rsidTr="003E291B">
        <w:trPr>
          <w:trHeight w:val="29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4543B05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w:t>
            </w:r>
          </w:p>
        </w:tc>
        <w:tc>
          <w:tcPr>
            <w:tcW w:w="2276" w:type="dxa"/>
            <w:tcBorders>
              <w:top w:val="nil"/>
              <w:left w:val="nil"/>
              <w:bottom w:val="single" w:sz="4" w:space="0" w:color="auto"/>
              <w:right w:val="single" w:sz="4" w:space="0" w:color="auto"/>
            </w:tcBorders>
            <w:shd w:val="clear" w:color="auto" w:fill="auto"/>
            <w:vAlign w:val="center"/>
            <w:hideMark/>
          </w:tcPr>
          <w:p w14:paraId="50D055B7" w14:textId="3BE015F7" w:rsidR="00DF6D3F" w:rsidRPr="009E5B39" w:rsidRDefault="00EA1821" w:rsidP="003E291B">
            <w:pPr>
              <w:spacing w:after="0" w:line="240" w:lineRule="auto"/>
              <w:rPr>
                <w:rFonts w:asciiTheme="majorHAnsi" w:eastAsia="Times New Roman" w:hAnsiTheme="majorHAnsi" w:cstheme="majorHAnsi"/>
                <w:sz w:val="16"/>
                <w:szCs w:val="16"/>
                <w:lang w:val="ro-MD"/>
              </w:rPr>
            </w:pPr>
            <w:hyperlink r:id="rId22" w:history="1">
              <w:r w:rsidR="00DF6D3F" w:rsidRPr="009E5B39">
                <w:rPr>
                  <w:rFonts w:asciiTheme="majorHAnsi" w:eastAsia="Times New Roman" w:hAnsiTheme="majorHAnsi" w:cstheme="majorHAnsi"/>
                  <w:sz w:val="16"/>
                  <w:szCs w:val="16"/>
                  <w:lang w:val="ro-MD"/>
                </w:rPr>
                <w:t>ÎM ,,Direcția parcurilor, cultură și odihnă''</w:t>
              </w:r>
            </w:hyperlink>
          </w:p>
        </w:tc>
        <w:tc>
          <w:tcPr>
            <w:tcW w:w="1402" w:type="dxa"/>
            <w:tcBorders>
              <w:top w:val="nil"/>
              <w:left w:val="nil"/>
              <w:bottom w:val="single" w:sz="4" w:space="0" w:color="auto"/>
              <w:right w:val="nil"/>
            </w:tcBorders>
            <w:shd w:val="clear" w:color="auto" w:fill="auto"/>
            <w:vAlign w:val="center"/>
            <w:hideMark/>
          </w:tcPr>
          <w:p w14:paraId="63752718"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1003600090809</w:t>
            </w:r>
          </w:p>
        </w:tc>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14:paraId="2069A6D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nr.10/9-11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1032B897"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04E01F9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80.628,10</w:t>
            </w:r>
          </w:p>
        </w:tc>
      </w:tr>
      <w:tr w:rsidR="00DF6D3F" w:rsidRPr="009E5B39" w14:paraId="2B4AC441" w14:textId="77777777" w:rsidTr="003E291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C3ACB3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66923ECA" w14:textId="182CFF88" w:rsidR="00DF6D3F" w:rsidRPr="009E5B39" w:rsidRDefault="00EA1821" w:rsidP="003E291B">
            <w:pPr>
              <w:spacing w:after="0" w:line="240" w:lineRule="auto"/>
              <w:rPr>
                <w:rFonts w:asciiTheme="majorHAnsi" w:eastAsia="Times New Roman" w:hAnsiTheme="majorHAnsi" w:cstheme="majorHAnsi"/>
                <w:sz w:val="16"/>
                <w:szCs w:val="16"/>
                <w:lang w:val="ro-MD"/>
              </w:rPr>
            </w:pPr>
            <w:hyperlink r:id="rId23" w:history="1">
              <w:r w:rsidR="00DF6D3F" w:rsidRPr="009E5B39">
                <w:rPr>
                  <w:rFonts w:asciiTheme="majorHAnsi" w:eastAsia="Times New Roman" w:hAnsiTheme="majorHAnsi" w:cstheme="majorHAnsi"/>
                  <w:sz w:val="16"/>
                  <w:szCs w:val="16"/>
                  <w:lang w:val="ro-MD"/>
                </w:rPr>
                <w:t>ÎM AP ,,Dieta-Vitas''</w:t>
              </w:r>
            </w:hyperlink>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137FAE5E"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1003600052946</w:t>
            </w:r>
          </w:p>
        </w:tc>
        <w:tc>
          <w:tcPr>
            <w:tcW w:w="2850" w:type="dxa"/>
            <w:tcBorders>
              <w:top w:val="nil"/>
              <w:left w:val="nil"/>
              <w:bottom w:val="single" w:sz="4" w:space="0" w:color="auto"/>
              <w:right w:val="single" w:sz="4" w:space="0" w:color="auto"/>
            </w:tcBorders>
            <w:shd w:val="clear" w:color="000000" w:fill="FFFFFF"/>
            <w:noWrap/>
            <w:vAlign w:val="center"/>
            <w:hideMark/>
          </w:tcPr>
          <w:p w14:paraId="2450FD9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nr.10/9-15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521DD24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5D19367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101.225,00</w:t>
            </w:r>
          </w:p>
        </w:tc>
      </w:tr>
      <w:tr w:rsidR="00DF6D3F" w:rsidRPr="009E5B39" w14:paraId="2FB777AB" w14:textId="77777777" w:rsidTr="003E291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6E57A95C"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276" w:type="dxa"/>
            <w:vMerge/>
            <w:tcBorders>
              <w:top w:val="nil"/>
              <w:left w:val="single" w:sz="4" w:space="0" w:color="auto"/>
              <w:bottom w:val="single" w:sz="4" w:space="0" w:color="000000"/>
              <w:right w:val="single" w:sz="4" w:space="0" w:color="auto"/>
            </w:tcBorders>
            <w:vAlign w:val="center"/>
            <w:hideMark/>
          </w:tcPr>
          <w:p w14:paraId="34090DA8"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1402" w:type="dxa"/>
            <w:vMerge/>
            <w:tcBorders>
              <w:top w:val="nil"/>
              <w:left w:val="single" w:sz="4" w:space="0" w:color="auto"/>
              <w:bottom w:val="single" w:sz="4" w:space="0" w:color="000000"/>
              <w:right w:val="single" w:sz="4" w:space="0" w:color="auto"/>
            </w:tcBorders>
            <w:vAlign w:val="center"/>
            <w:hideMark/>
          </w:tcPr>
          <w:p w14:paraId="5A5DBAC6"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850" w:type="dxa"/>
            <w:tcBorders>
              <w:top w:val="nil"/>
              <w:left w:val="nil"/>
              <w:bottom w:val="single" w:sz="4" w:space="0" w:color="auto"/>
              <w:right w:val="single" w:sz="4" w:space="0" w:color="auto"/>
            </w:tcBorders>
            <w:shd w:val="clear" w:color="000000" w:fill="FFFFFF"/>
            <w:noWrap/>
            <w:vAlign w:val="center"/>
            <w:hideMark/>
          </w:tcPr>
          <w:p w14:paraId="58D3287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nr.10/9-16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37C4B566"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106FE52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79.763,60</w:t>
            </w:r>
          </w:p>
        </w:tc>
      </w:tr>
      <w:tr w:rsidR="00DF6D3F" w:rsidRPr="009E5B39" w14:paraId="407A9202" w14:textId="77777777" w:rsidTr="003E291B">
        <w:trPr>
          <w:trHeight w:val="29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2C7694D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w:t>
            </w:r>
          </w:p>
        </w:tc>
        <w:tc>
          <w:tcPr>
            <w:tcW w:w="2276" w:type="dxa"/>
            <w:tcBorders>
              <w:top w:val="nil"/>
              <w:left w:val="nil"/>
              <w:bottom w:val="single" w:sz="4" w:space="0" w:color="auto"/>
              <w:right w:val="single" w:sz="4" w:space="0" w:color="auto"/>
            </w:tcBorders>
            <w:shd w:val="clear" w:color="auto" w:fill="auto"/>
            <w:vAlign w:val="center"/>
            <w:hideMark/>
          </w:tcPr>
          <w:p w14:paraId="5C37EA85" w14:textId="57292396" w:rsidR="00DF6D3F" w:rsidRPr="009E5B39" w:rsidRDefault="00EA1821" w:rsidP="003E291B">
            <w:pPr>
              <w:spacing w:after="0" w:line="240" w:lineRule="auto"/>
              <w:rPr>
                <w:rFonts w:asciiTheme="majorHAnsi" w:eastAsia="Times New Roman" w:hAnsiTheme="majorHAnsi" w:cstheme="majorHAnsi"/>
                <w:sz w:val="16"/>
                <w:szCs w:val="16"/>
                <w:lang w:val="ro-MD"/>
              </w:rPr>
            </w:pPr>
            <w:hyperlink r:id="rId24" w:history="1">
              <w:r w:rsidR="00DF6D3F" w:rsidRPr="009E5B39">
                <w:rPr>
                  <w:rFonts w:asciiTheme="majorHAnsi" w:eastAsia="Times New Roman" w:hAnsiTheme="majorHAnsi" w:cstheme="majorHAnsi"/>
                  <w:sz w:val="16"/>
                  <w:szCs w:val="16"/>
                  <w:lang w:val="ro-MD"/>
                </w:rPr>
                <w:t>ÎM ,,Primtrans''</w:t>
              </w:r>
            </w:hyperlink>
          </w:p>
        </w:tc>
        <w:tc>
          <w:tcPr>
            <w:tcW w:w="1402" w:type="dxa"/>
            <w:tcBorders>
              <w:top w:val="nil"/>
              <w:left w:val="nil"/>
              <w:bottom w:val="single" w:sz="4" w:space="0" w:color="auto"/>
              <w:right w:val="nil"/>
            </w:tcBorders>
            <w:shd w:val="clear" w:color="auto" w:fill="auto"/>
            <w:vAlign w:val="center"/>
            <w:hideMark/>
          </w:tcPr>
          <w:p w14:paraId="682CCCE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1003600038201</w:t>
            </w:r>
          </w:p>
        </w:tc>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14:paraId="19BE8D6C"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nr.10/9-19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3E441C3C"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2017</w:t>
            </w:r>
          </w:p>
        </w:tc>
        <w:tc>
          <w:tcPr>
            <w:tcW w:w="1135" w:type="dxa"/>
            <w:tcBorders>
              <w:top w:val="nil"/>
              <w:left w:val="nil"/>
              <w:bottom w:val="single" w:sz="4" w:space="0" w:color="auto"/>
              <w:right w:val="single" w:sz="4" w:space="0" w:color="auto"/>
            </w:tcBorders>
            <w:shd w:val="clear" w:color="000000" w:fill="E2EFDA"/>
            <w:noWrap/>
            <w:vAlign w:val="center"/>
            <w:hideMark/>
          </w:tcPr>
          <w:p w14:paraId="55FC05E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46.026,00</w:t>
            </w:r>
          </w:p>
        </w:tc>
      </w:tr>
      <w:tr w:rsidR="00DF6D3F" w:rsidRPr="009E5B39" w14:paraId="0374D414" w14:textId="77777777" w:rsidTr="003E291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940279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6D3B0BDD" w14:textId="23115074" w:rsidR="00DF6D3F" w:rsidRPr="009E5B39" w:rsidRDefault="00EA1821" w:rsidP="003E291B">
            <w:pPr>
              <w:spacing w:after="0" w:line="240" w:lineRule="auto"/>
              <w:rPr>
                <w:rFonts w:asciiTheme="majorHAnsi" w:eastAsia="Times New Roman" w:hAnsiTheme="majorHAnsi" w:cstheme="majorHAnsi"/>
                <w:sz w:val="16"/>
                <w:szCs w:val="16"/>
                <w:lang w:val="ro-MD"/>
              </w:rPr>
            </w:pPr>
            <w:hyperlink r:id="rId25" w:history="1">
              <w:r w:rsidR="00DF6D3F" w:rsidRPr="009E5B39">
                <w:rPr>
                  <w:rFonts w:asciiTheme="majorHAnsi" w:eastAsia="Times New Roman" w:hAnsiTheme="majorHAnsi" w:cstheme="majorHAnsi"/>
                  <w:sz w:val="16"/>
                  <w:szCs w:val="16"/>
                  <w:lang w:val="ro-MD"/>
                </w:rPr>
                <w:t>ÎM ,, Parcul Dendrariu''</w:t>
              </w:r>
            </w:hyperlink>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0D4318D8"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1003600113104</w:t>
            </w:r>
          </w:p>
        </w:tc>
        <w:tc>
          <w:tcPr>
            <w:tcW w:w="2850" w:type="dxa"/>
            <w:tcBorders>
              <w:top w:val="nil"/>
              <w:left w:val="nil"/>
              <w:bottom w:val="single" w:sz="4" w:space="0" w:color="auto"/>
              <w:right w:val="single" w:sz="4" w:space="0" w:color="auto"/>
            </w:tcBorders>
            <w:shd w:val="clear" w:color="000000" w:fill="FFFFFF"/>
            <w:noWrap/>
            <w:vAlign w:val="center"/>
            <w:hideMark/>
          </w:tcPr>
          <w:p w14:paraId="621CDE2C"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nr.10/9-28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088437AC"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2017</w:t>
            </w:r>
          </w:p>
        </w:tc>
        <w:tc>
          <w:tcPr>
            <w:tcW w:w="1135" w:type="dxa"/>
            <w:tcBorders>
              <w:top w:val="nil"/>
              <w:left w:val="nil"/>
              <w:bottom w:val="single" w:sz="4" w:space="0" w:color="auto"/>
              <w:right w:val="single" w:sz="4" w:space="0" w:color="auto"/>
            </w:tcBorders>
            <w:shd w:val="clear" w:color="000000" w:fill="E2EFDA"/>
            <w:noWrap/>
            <w:vAlign w:val="center"/>
            <w:hideMark/>
          </w:tcPr>
          <w:p w14:paraId="5358745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111.251,00</w:t>
            </w:r>
          </w:p>
        </w:tc>
      </w:tr>
      <w:tr w:rsidR="00DF6D3F" w:rsidRPr="009E5B39" w14:paraId="2BFAB4C1" w14:textId="77777777" w:rsidTr="003E291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33F8B0E6"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276" w:type="dxa"/>
            <w:vMerge/>
            <w:tcBorders>
              <w:top w:val="nil"/>
              <w:left w:val="single" w:sz="4" w:space="0" w:color="auto"/>
              <w:bottom w:val="single" w:sz="4" w:space="0" w:color="000000"/>
              <w:right w:val="single" w:sz="4" w:space="0" w:color="auto"/>
            </w:tcBorders>
            <w:vAlign w:val="center"/>
            <w:hideMark/>
          </w:tcPr>
          <w:p w14:paraId="66A732C8"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1402" w:type="dxa"/>
            <w:vMerge/>
            <w:tcBorders>
              <w:top w:val="nil"/>
              <w:left w:val="single" w:sz="4" w:space="0" w:color="auto"/>
              <w:bottom w:val="single" w:sz="4" w:space="0" w:color="000000"/>
              <w:right w:val="single" w:sz="4" w:space="0" w:color="auto"/>
            </w:tcBorders>
            <w:vAlign w:val="center"/>
            <w:hideMark/>
          </w:tcPr>
          <w:p w14:paraId="37540A95"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850" w:type="dxa"/>
            <w:tcBorders>
              <w:top w:val="nil"/>
              <w:left w:val="nil"/>
              <w:bottom w:val="single" w:sz="4" w:space="0" w:color="auto"/>
              <w:right w:val="single" w:sz="4" w:space="0" w:color="auto"/>
            </w:tcBorders>
            <w:shd w:val="clear" w:color="000000" w:fill="FFFFFF"/>
            <w:noWrap/>
            <w:vAlign w:val="center"/>
            <w:hideMark/>
          </w:tcPr>
          <w:p w14:paraId="2E26CD7F"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nr.10/9-29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21A65309"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04CC4834"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105.743,40</w:t>
            </w:r>
          </w:p>
        </w:tc>
      </w:tr>
      <w:tr w:rsidR="00DF6D3F" w:rsidRPr="009E5B39" w14:paraId="5798865A" w14:textId="77777777" w:rsidTr="003E291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4BF51CFD"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276" w:type="dxa"/>
            <w:vMerge/>
            <w:tcBorders>
              <w:top w:val="nil"/>
              <w:left w:val="single" w:sz="4" w:space="0" w:color="auto"/>
              <w:bottom w:val="single" w:sz="4" w:space="0" w:color="000000"/>
              <w:right w:val="single" w:sz="4" w:space="0" w:color="auto"/>
            </w:tcBorders>
            <w:vAlign w:val="center"/>
            <w:hideMark/>
          </w:tcPr>
          <w:p w14:paraId="1565FDB0"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1402" w:type="dxa"/>
            <w:vMerge/>
            <w:tcBorders>
              <w:top w:val="nil"/>
              <w:left w:val="single" w:sz="4" w:space="0" w:color="auto"/>
              <w:bottom w:val="single" w:sz="4" w:space="0" w:color="000000"/>
              <w:right w:val="single" w:sz="4" w:space="0" w:color="auto"/>
            </w:tcBorders>
            <w:vAlign w:val="center"/>
            <w:hideMark/>
          </w:tcPr>
          <w:p w14:paraId="04C2125F"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850" w:type="dxa"/>
            <w:tcBorders>
              <w:top w:val="nil"/>
              <w:left w:val="nil"/>
              <w:bottom w:val="single" w:sz="4" w:space="0" w:color="auto"/>
              <w:right w:val="single" w:sz="4" w:space="0" w:color="auto"/>
            </w:tcBorders>
            <w:shd w:val="clear" w:color="000000" w:fill="FFFFFF"/>
            <w:noWrap/>
            <w:vAlign w:val="center"/>
            <w:hideMark/>
          </w:tcPr>
          <w:p w14:paraId="24477A4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nr.11/5-2 din 14.07.2020</w:t>
            </w:r>
          </w:p>
        </w:tc>
        <w:tc>
          <w:tcPr>
            <w:tcW w:w="1559" w:type="dxa"/>
            <w:tcBorders>
              <w:top w:val="nil"/>
              <w:left w:val="nil"/>
              <w:bottom w:val="single" w:sz="4" w:space="0" w:color="auto"/>
              <w:right w:val="single" w:sz="4" w:space="0" w:color="auto"/>
            </w:tcBorders>
            <w:shd w:val="clear" w:color="000000" w:fill="FFFFFF"/>
            <w:noWrap/>
            <w:vAlign w:val="center"/>
            <w:hideMark/>
          </w:tcPr>
          <w:p w14:paraId="652B3010"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44DFC51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76.787,90</w:t>
            </w:r>
          </w:p>
        </w:tc>
      </w:tr>
      <w:tr w:rsidR="00DF6D3F" w:rsidRPr="009E5B39" w14:paraId="7CC4DEC7" w14:textId="77777777" w:rsidTr="003E291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1670EB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39ACBBDB" w14:textId="77777777" w:rsidR="00DF6D3F" w:rsidRPr="009E5B39" w:rsidRDefault="00EA1821" w:rsidP="003E291B">
            <w:pPr>
              <w:spacing w:after="0" w:line="240" w:lineRule="auto"/>
              <w:jc w:val="center"/>
              <w:rPr>
                <w:rFonts w:asciiTheme="majorHAnsi" w:eastAsia="Times New Roman" w:hAnsiTheme="majorHAnsi" w:cstheme="majorHAnsi"/>
                <w:sz w:val="16"/>
                <w:szCs w:val="16"/>
                <w:lang w:val="ro-MD"/>
              </w:rPr>
            </w:pPr>
            <w:hyperlink r:id="rId26" w:history="1">
              <w:r w:rsidR="00DF6D3F" w:rsidRPr="009E5B39">
                <w:rPr>
                  <w:rFonts w:asciiTheme="majorHAnsi" w:eastAsia="Times New Roman" w:hAnsiTheme="majorHAnsi" w:cstheme="majorHAnsi"/>
                  <w:sz w:val="16"/>
                  <w:szCs w:val="16"/>
                  <w:lang w:val="ro-MD"/>
                </w:rPr>
                <w:t>ÎM "Asociaţia de gospodărire a spaţiilor verzi"</w:t>
              </w:r>
            </w:hyperlink>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32AF829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1002600047677</w:t>
            </w:r>
          </w:p>
        </w:tc>
        <w:tc>
          <w:tcPr>
            <w:tcW w:w="2850" w:type="dxa"/>
            <w:tcBorders>
              <w:top w:val="nil"/>
              <w:left w:val="nil"/>
              <w:bottom w:val="single" w:sz="4" w:space="0" w:color="auto"/>
              <w:right w:val="single" w:sz="4" w:space="0" w:color="auto"/>
            </w:tcBorders>
            <w:shd w:val="clear" w:color="000000" w:fill="FFFFFF"/>
            <w:noWrap/>
            <w:vAlign w:val="center"/>
            <w:hideMark/>
          </w:tcPr>
          <w:p w14:paraId="1230F5DB"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nr.10/9-21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7B548BB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2017</w:t>
            </w:r>
          </w:p>
        </w:tc>
        <w:tc>
          <w:tcPr>
            <w:tcW w:w="1135" w:type="dxa"/>
            <w:tcBorders>
              <w:top w:val="nil"/>
              <w:left w:val="nil"/>
              <w:bottom w:val="single" w:sz="4" w:space="0" w:color="auto"/>
              <w:right w:val="single" w:sz="4" w:space="0" w:color="auto"/>
            </w:tcBorders>
            <w:shd w:val="clear" w:color="000000" w:fill="E2EFDA"/>
            <w:noWrap/>
            <w:vAlign w:val="center"/>
            <w:hideMark/>
          </w:tcPr>
          <w:p w14:paraId="75814F1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1.176.213,50</w:t>
            </w:r>
          </w:p>
        </w:tc>
      </w:tr>
      <w:tr w:rsidR="00DF6D3F" w:rsidRPr="009E5B39" w14:paraId="4D3D9A00" w14:textId="77777777" w:rsidTr="003E291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27A37101"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276" w:type="dxa"/>
            <w:vMerge/>
            <w:tcBorders>
              <w:top w:val="nil"/>
              <w:left w:val="single" w:sz="4" w:space="0" w:color="auto"/>
              <w:bottom w:val="single" w:sz="4" w:space="0" w:color="000000"/>
              <w:right w:val="single" w:sz="4" w:space="0" w:color="auto"/>
            </w:tcBorders>
            <w:vAlign w:val="center"/>
            <w:hideMark/>
          </w:tcPr>
          <w:p w14:paraId="4432FED1"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1402" w:type="dxa"/>
            <w:vMerge/>
            <w:tcBorders>
              <w:top w:val="nil"/>
              <w:left w:val="single" w:sz="4" w:space="0" w:color="auto"/>
              <w:bottom w:val="single" w:sz="4" w:space="0" w:color="000000"/>
              <w:right w:val="single" w:sz="4" w:space="0" w:color="auto"/>
            </w:tcBorders>
            <w:vAlign w:val="center"/>
            <w:hideMark/>
          </w:tcPr>
          <w:p w14:paraId="73666E64"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850" w:type="dxa"/>
            <w:tcBorders>
              <w:top w:val="nil"/>
              <w:left w:val="nil"/>
              <w:bottom w:val="single" w:sz="4" w:space="0" w:color="auto"/>
              <w:right w:val="single" w:sz="4" w:space="0" w:color="auto"/>
            </w:tcBorders>
            <w:shd w:val="clear" w:color="000000" w:fill="FFFFFF"/>
            <w:noWrap/>
            <w:vAlign w:val="center"/>
            <w:hideMark/>
          </w:tcPr>
          <w:p w14:paraId="3BA5E3B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nr.10/9-22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661CF6C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00335B2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3.869.658,90</w:t>
            </w:r>
          </w:p>
        </w:tc>
      </w:tr>
      <w:tr w:rsidR="00DF6D3F" w:rsidRPr="009E5B39" w14:paraId="3081FFEA" w14:textId="77777777" w:rsidTr="003E291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F49C4D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5C128331" w14:textId="77777777" w:rsidR="00DF6D3F" w:rsidRPr="009E5B39" w:rsidRDefault="00EA1821" w:rsidP="003E291B">
            <w:pPr>
              <w:spacing w:after="0" w:line="240" w:lineRule="auto"/>
              <w:rPr>
                <w:rFonts w:asciiTheme="majorHAnsi" w:eastAsia="Times New Roman" w:hAnsiTheme="majorHAnsi" w:cstheme="majorHAnsi"/>
                <w:sz w:val="16"/>
                <w:szCs w:val="16"/>
                <w:lang w:val="ro-MD"/>
              </w:rPr>
            </w:pPr>
            <w:hyperlink r:id="rId27" w:history="1">
              <w:r w:rsidR="00DF6D3F" w:rsidRPr="009E5B39">
                <w:rPr>
                  <w:rFonts w:asciiTheme="majorHAnsi" w:eastAsia="Times New Roman" w:hAnsiTheme="majorHAnsi" w:cstheme="majorHAnsi"/>
                  <w:sz w:val="16"/>
                  <w:szCs w:val="16"/>
                  <w:lang w:val="ro-MD"/>
                </w:rPr>
                <w:t>Institutul "Chişinăuproiect"</w:t>
              </w:r>
            </w:hyperlink>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4D3FC305"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1003600098931</w:t>
            </w:r>
          </w:p>
        </w:tc>
        <w:tc>
          <w:tcPr>
            <w:tcW w:w="2850" w:type="dxa"/>
            <w:tcBorders>
              <w:top w:val="nil"/>
              <w:left w:val="nil"/>
              <w:bottom w:val="single" w:sz="4" w:space="0" w:color="auto"/>
              <w:right w:val="single" w:sz="4" w:space="0" w:color="auto"/>
            </w:tcBorders>
            <w:shd w:val="clear" w:color="000000" w:fill="FFFFFF"/>
            <w:noWrap/>
            <w:vAlign w:val="center"/>
            <w:hideMark/>
          </w:tcPr>
          <w:p w14:paraId="222976F4"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nr.10/9-26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2BC523D7"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2017</w:t>
            </w:r>
          </w:p>
        </w:tc>
        <w:tc>
          <w:tcPr>
            <w:tcW w:w="1135" w:type="dxa"/>
            <w:tcBorders>
              <w:top w:val="nil"/>
              <w:left w:val="nil"/>
              <w:bottom w:val="single" w:sz="4" w:space="0" w:color="auto"/>
              <w:right w:val="single" w:sz="4" w:space="0" w:color="auto"/>
            </w:tcBorders>
            <w:shd w:val="clear" w:color="000000" w:fill="E2EFDA"/>
            <w:noWrap/>
            <w:vAlign w:val="center"/>
            <w:hideMark/>
          </w:tcPr>
          <w:p w14:paraId="44FCC799"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194.870,13</w:t>
            </w:r>
          </w:p>
        </w:tc>
      </w:tr>
      <w:tr w:rsidR="00DF6D3F" w:rsidRPr="009E5B39" w14:paraId="0E2B2C43" w14:textId="77777777" w:rsidTr="003E291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06438ADB"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276" w:type="dxa"/>
            <w:vMerge/>
            <w:tcBorders>
              <w:top w:val="nil"/>
              <w:left w:val="single" w:sz="4" w:space="0" w:color="auto"/>
              <w:bottom w:val="single" w:sz="4" w:space="0" w:color="000000"/>
              <w:right w:val="single" w:sz="4" w:space="0" w:color="auto"/>
            </w:tcBorders>
            <w:vAlign w:val="center"/>
            <w:hideMark/>
          </w:tcPr>
          <w:p w14:paraId="683294AD"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1402" w:type="dxa"/>
            <w:vMerge/>
            <w:tcBorders>
              <w:top w:val="nil"/>
              <w:left w:val="single" w:sz="4" w:space="0" w:color="auto"/>
              <w:bottom w:val="single" w:sz="4" w:space="0" w:color="000000"/>
              <w:right w:val="single" w:sz="4" w:space="0" w:color="auto"/>
            </w:tcBorders>
            <w:vAlign w:val="center"/>
            <w:hideMark/>
          </w:tcPr>
          <w:p w14:paraId="777E95A0"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850" w:type="dxa"/>
            <w:tcBorders>
              <w:top w:val="nil"/>
              <w:left w:val="nil"/>
              <w:bottom w:val="single" w:sz="4" w:space="0" w:color="auto"/>
              <w:right w:val="single" w:sz="4" w:space="0" w:color="auto"/>
            </w:tcBorders>
            <w:shd w:val="clear" w:color="000000" w:fill="FFFFFF"/>
            <w:noWrap/>
            <w:vAlign w:val="center"/>
            <w:hideMark/>
          </w:tcPr>
          <w:p w14:paraId="4E3F00BA"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nr.10/9-27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620BC519"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78952EA3"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197.547,70</w:t>
            </w:r>
          </w:p>
        </w:tc>
      </w:tr>
      <w:tr w:rsidR="00DF6D3F" w:rsidRPr="009E5B39" w14:paraId="1CC3630C" w14:textId="77777777" w:rsidTr="003E291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94DC25C"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272609DB" w14:textId="718C59E1" w:rsidR="00DF6D3F" w:rsidRPr="009E5B39" w:rsidRDefault="00EA1821" w:rsidP="003E291B">
            <w:pPr>
              <w:spacing w:after="0" w:line="240" w:lineRule="auto"/>
              <w:rPr>
                <w:rFonts w:asciiTheme="majorHAnsi" w:eastAsia="Times New Roman" w:hAnsiTheme="majorHAnsi" w:cstheme="majorHAnsi"/>
                <w:sz w:val="16"/>
                <w:szCs w:val="16"/>
                <w:lang w:val="ro-MD"/>
              </w:rPr>
            </w:pPr>
            <w:hyperlink r:id="rId28" w:history="1">
              <w:r w:rsidR="00DF6D3F" w:rsidRPr="009E5B39">
                <w:rPr>
                  <w:rFonts w:asciiTheme="majorHAnsi" w:eastAsia="Times New Roman" w:hAnsiTheme="majorHAnsi" w:cstheme="majorHAnsi"/>
                  <w:sz w:val="16"/>
                  <w:szCs w:val="16"/>
                  <w:lang w:val="ro-MD"/>
                </w:rPr>
                <w:t>ÎM ,, Infocom''</w:t>
              </w:r>
            </w:hyperlink>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7954E681"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1003600031291</w:t>
            </w:r>
          </w:p>
        </w:tc>
        <w:tc>
          <w:tcPr>
            <w:tcW w:w="2850" w:type="dxa"/>
            <w:tcBorders>
              <w:top w:val="nil"/>
              <w:left w:val="nil"/>
              <w:bottom w:val="single" w:sz="4" w:space="0" w:color="auto"/>
              <w:right w:val="single" w:sz="4" w:space="0" w:color="auto"/>
            </w:tcBorders>
            <w:shd w:val="clear" w:color="000000" w:fill="FFFFFF"/>
            <w:noWrap/>
            <w:vAlign w:val="center"/>
            <w:hideMark/>
          </w:tcPr>
          <w:p w14:paraId="491BDBCC"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nr.10/9-32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4CCC018B"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2017</w:t>
            </w:r>
          </w:p>
        </w:tc>
        <w:tc>
          <w:tcPr>
            <w:tcW w:w="1135" w:type="dxa"/>
            <w:tcBorders>
              <w:top w:val="nil"/>
              <w:left w:val="nil"/>
              <w:bottom w:val="single" w:sz="4" w:space="0" w:color="auto"/>
              <w:right w:val="single" w:sz="4" w:space="0" w:color="auto"/>
            </w:tcBorders>
            <w:shd w:val="clear" w:color="000000" w:fill="E2EFDA"/>
            <w:noWrap/>
            <w:vAlign w:val="center"/>
            <w:hideMark/>
          </w:tcPr>
          <w:p w14:paraId="49640291"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30.084,00</w:t>
            </w:r>
          </w:p>
        </w:tc>
      </w:tr>
      <w:tr w:rsidR="00DF6D3F" w:rsidRPr="009E5B39" w14:paraId="37F76F2A" w14:textId="77777777" w:rsidTr="003E291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0EBB8C31"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276" w:type="dxa"/>
            <w:vMerge/>
            <w:tcBorders>
              <w:top w:val="nil"/>
              <w:left w:val="single" w:sz="4" w:space="0" w:color="auto"/>
              <w:bottom w:val="single" w:sz="4" w:space="0" w:color="000000"/>
              <w:right w:val="single" w:sz="4" w:space="0" w:color="auto"/>
            </w:tcBorders>
            <w:vAlign w:val="center"/>
            <w:hideMark/>
          </w:tcPr>
          <w:p w14:paraId="4BFDFC8E"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1402" w:type="dxa"/>
            <w:vMerge/>
            <w:tcBorders>
              <w:top w:val="nil"/>
              <w:left w:val="single" w:sz="4" w:space="0" w:color="auto"/>
              <w:bottom w:val="single" w:sz="4" w:space="0" w:color="000000"/>
              <w:right w:val="single" w:sz="4" w:space="0" w:color="auto"/>
            </w:tcBorders>
            <w:vAlign w:val="center"/>
            <w:hideMark/>
          </w:tcPr>
          <w:p w14:paraId="69CEBBBC"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850" w:type="dxa"/>
            <w:tcBorders>
              <w:top w:val="nil"/>
              <w:left w:val="nil"/>
              <w:bottom w:val="single" w:sz="4" w:space="0" w:color="auto"/>
              <w:right w:val="single" w:sz="4" w:space="0" w:color="auto"/>
            </w:tcBorders>
            <w:shd w:val="clear" w:color="000000" w:fill="FFFFFF"/>
            <w:noWrap/>
            <w:vAlign w:val="center"/>
            <w:hideMark/>
          </w:tcPr>
          <w:p w14:paraId="3B05079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nr.10/9-33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4B00319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617A9D75"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89.601,75</w:t>
            </w:r>
          </w:p>
        </w:tc>
      </w:tr>
      <w:tr w:rsidR="00DF6D3F" w:rsidRPr="009E5B39" w14:paraId="60086A7C" w14:textId="77777777" w:rsidTr="003E291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2A707A0C"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276" w:type="dxa"/>
            <w:vMerge/>
            <w:tcBorders>
              <w:top w:val="nil"/>
              <w:left w:val="single" w:sz="4" w:space="0" w:color="auto"/>
              <w:bottom w:val="single" w:sz="4" w:space="0" w:color="000000"/>
              <w:right w:val="single" w:sz="4" w:space="0" w:color="auto"/>
            </w:tcBorders>
            <w:vAlign w:val="center"/>
            <w:hideMark/>
          </w:tcPr>
          <w:p w14:paraId="3806E564"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1402" w:type="dxa"/>
            <w:vMerge/>
            <w:tcBorders>
              <w:top w:val="nil"/>
              <w:left w:val="single" w:sz="4" w:space="0" w:color="auto"/>
              <w:bottom w:val="single" w:sz="4" w:space="0" w:color="000000"/>
              <w:right w:val="single" w:sz="4" w:space="0" w:color="auto"/>
            </w:tcBorders>
            <w:vAlign w:val="center"/>
            <w:hideMark/>
          </w:tcPr>
          <w:p w14:paraId="7B9B0EA8"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850" w:type="dxa"/>
            <w:tcBorders>
              <w:top w:val="nil"/>
              <w:left w:val="nil"/>
              <w:bottom w:val="single" w:sz="4" w:space="0" w:color="auto"/>
              <w:right w:val="single" w:sz="4" w:space="0" w:color="auto"/>
            </w:tcBorders>
            <w:shd w:val="clear" w:color="000000" w:fill="FFFFFF"/>
            <w:noWrap/>
            <w:vAlign w:val="center"/>
            <w:hideMark/>
          </w:tcPr>
          <w:p w14:paraId="068E415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nr.10/9-34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1A6E49DB"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14140B76"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122.931,90</w:t>
            </w:r>
          </w:p>
        </w:tc>
      </w:tr>
      <w:tr w:rsidR="00DF6D3F" w:rsidRPr="009E5B39" w14:paraId="5A22BA51" w14:textId="77777777" w:rsidTr="003E291B">
        <w:trPr>
          <w:trHeight w:val="29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DE9EED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w:t>
            </w:r>
          </w:p>
        </w:tc>
        <w:tc>
          <w:tcPr>
            <w:tcW w:w="2276" w:type="dxa"/>
            <w:tcBorders>
              <w:top w:val="nil"/>
              <w:left w:val="nil"/>
              <w:bottom w:val="single" w:sz="4" w:space="0" w:color="auto"/>
              <w:right w:val="single" w:sz="4" w:space="0" w:color="auto"/>
            </w:tcBorders>
            <w:shd w:val="clear" w:color="auto" w:fill="auto"/>
            <w:vAlign w:val="center"/>
            <w:hideMark/>
          </w:tcPr>
          <w:p w14:paraId="527D69A1"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ÎMSL Botanica</w:t>
            </w:r>
          </w:p>
        </w:tc>
        <w:tc>
          <w:tcPr>
            <w:tcW w:w="1402" w:type="dxa"/>
            <w:tcBorders>
              <w:top w:val="nil"/>
              <w:left w:val="nil"/>
              <w:bottom w:val="single" w:sz="4" w:space="0" w:color="auto"/>
              <w:right w:val="nil"/>
            </w:tcBorders>
            <w:shd w:val="clear" w:color="auto" w:fill="auto"/>
            <w:vAlign w:val="center"/>
            <w:hideMark/>
          </w:tcPr>
          <w:p w14:paraId="304A1B0F"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1005600030922</w:t>
            </w:r>
          </w:p>
        </w:tc>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14:paraId="25FCD290"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nr.10/9-3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6F26960E"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36579CAF"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16.089,00</w:t>
            </w:r>
          </w:p>
        </w:tc>
      </w:tr>
      <w:tr w:rsidR="00DF6D3F" w:rsidRPr="009E5B39" w14:paraId="2F4DA2DB" w14:textId="77777777" w:rsidTr="003E291B">
        <w:trPr>
          <w:trHeight w:val="29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01529FF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11</w:t>
            </w:r>
          </w:p>
        </w:tc>
        <w:tc>
          <w:tcPr>
            <w:tcW w:w="2276" w:type="dxa"/>
            <w:tcBorders>
              <w:top w:val="nil"/>
              <w:left w:val="nil"/>
              <w:bottom w:val="single" w:sz="4" w:space="0" w:color="auto"/>
              <w:right w:val="single" w:sz="4" w:space="0" w:color="auto"/>
            </w:tcBorders>
            <w:shd w:val="clear" w:color="auto" w:fill="auto"/>
            <w:vAlign w:val="center"/>
            <w:hideMark/>
          </w:tcPr>
          <w:p w14:paraId="59CFF889"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ÎMSL Ciocana</w:t>
            </w:r>
          </w:p>
        </w:tc>
        <w:tc>
          <w:tcPr>
            <w:tcW w:w="1402" w:type="dxa"/>
            <w:tcBorders>
              <w:top w:val="nil"/>
              <w:left w:val="nil"/>
              <w:bottom w:val="single" w:sz="4" w:space="0" w:color="auto"/>
              <w:right w:val="nil"/>
            </w:tcBorders>
            <w:shd w:val="clear" w:color="auto" w:fill="auto"/>
            <w:vAlign w:val="center"/>
            <w:hideMark/>
          </w:tcPr>
          <w:p w14:paraId="1A7E7AE3"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1005600030885</w:t>
            </w:r>
          </w:p>
        </w:tc>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14:paraId="013D109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nr.10/9-5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1EB308B7"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5562185E"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66.164,00</w:t>
            </w:r>
          </w:p>
        </w:tc>
      </w:tr>
      <w:tr w:rsidR="00DF6D3F" w:rsidRPr="009E5B39" w14:paraId="1D7EA302" w14:textId="77777777" w:rsidTr="003E291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06D7F7A"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13C055F2" w14:textId="6C8A5213" w:rsidR="00DF6D3F" w:rsidRPr="009E5B39" w:rsidRDefault="00DF6D3F" w:rsidP="003E291B">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ÎMAP,,Liceist"</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ADEA99"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1004600066481</w:t>
            </w:r>
          </w:p>
        </w:tc>
        <w:tc>
          <w:tcPr>
            <w:tcW w:w="2850" w:type="dxa"/>
            <w:tcBorders>
              <w:top w:val="nil"/>
              <w:left w:val="nil"/>
              <w:bottom w:val="single" w:sz="4" w:space="0" w:color="auto"/>
              <w:right w:val="single" w:sz="4" w:space="0" w:color="auto"/>
            </w:tcBorders>
            <w:shd w:val="clear" w:color="000000" w:fill="FFFFFF"/>
            <w:noWrap/>
            <w:vAlign w:val="center"/>
            <w:hideMark/>
          </w:tcPr>
          <w:p w14:paraId="2F0DC693"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nr.10/9-17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3E87CAD2"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7A7CB6D2"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9.234,27</w:t>
            </w:r>
          </w:p>
        </w:tc>
      </w:tr>
      <w:tr w:rsidR="00DF6D3F" w:rsidRPr="009E5B39" w14:paraId="3026B636" w14:textId="77777777" w:rsidTr="003E291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1E403C00"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276" w:type="dxa"/>
            <w:vMerge/>
            <w:tcBorders>
              <w:top w:val="nil"/>
              <w:left w:val="single" w:sz="4" w:space="0" w:color="auto"/>
              <w:bottom w:val="single" w:sz="4" w:space="0" w:color="000000"/>
              <w:right w:val="single" w:sz="4" w:space="0" w:color="auto"/>
            </w:tcBorders>
            <w:vAlign w:val="center"/>
            <w:hideMark/>
          </w:tcPr>
          <w:p w14:paraId="214A8F4A"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1402" w:type="dxa"/>
            <w:vMerge/>
            <w:tcBorders>
              <w:top w:val="nil"/>
              <w:left w:val="single" w:sz="4" w:space="0" w:color="auto"/>
              <w:bottom w:val="single" w:sz="4" w:space="0" w:color="000000"/>
              <w:right w:val="single" w:sz="4" w:space="0" w:color="auto"/>
            </w:tcBorders>
            <w:vAlign w:val="center"/>
            <w:hideMark/>
          </w:tcPr>
          <w:p w14:paraId="4467C1B4"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p>
        </w:tc>
        <w:tc>
          <w:tcPr>
            <w:tcW w:w="2850" w:type="dxa"/>
            <w:tcBorders>
              <w:top w:val="nil"/>
              <w:left w:val="nil"/>
              <w:bottom w:val="single" w:sz="4" w:space="0" w:color="auto"/>
              <w:right w:val="single" w:sz="4" w:space="0" w:color="auto"/>
            </w:tcBorders>
            <w:shd w:val="clear" w:color="000000" w:fill="FFFFFF"/>
            <w:noWrap/>
            <w:vAlign w:val="center"/>
            <w:hideMark/>
          </w:tcPr>
          <w:p w14:paraId="5B7EFC97"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nr.10/9-18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31AD23C5"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5A41FA28"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20.951,00</w:t>
            </w:r>
          </w:p>
        </w:tc>
      </w:tr>
      <w:tr w:rsidR="00DF6D3F" w:rsidRPr="009E5B39" w14:paraId="75DC321F" w14:textId="77777777" w:rsidTr="003E291B">
        <w:trPr>
          <w:trHeight w:val="29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5828FBC0"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13</w:t>
            </w:r>
          </w:p>
        </w:tc>
        <w:tc>
          <w:tcPr>
            <w:tcW w:w="2276" w:type="dxa"/>
            <w:tcBorders>
              <w:top w:val="nil"/>
              <w:left w:val="nil"/>
              <w:bottom w:val="single" w:sz="4" w:space="0" w:color="auto"/>
              <w:right w:val="single" w:sz="4" w:space="0" w:color="auto"/>
            </w:tcBorders>
            <w:shd w:val="clear" w:color="auto" w:fill="auto"/>
            <w:vAlign w:val="center"/>
            <w:hideMark/>
          </w:tcPr>
          <w:p w14:paraId="374ECF30" w14:textId="77777777" w:rsidR="00DF6D3F" w:rsidRPr="009E5B39" w:rsidRDefault="00DF6D3F" w:rsidP="003E291B">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ÎM GFL "Nr.7" din Chişinău</w:t>
            </w:r>
          </w:p>
        </w:tc>
        <w:tc>
          <w:tcPr>
            <w:tcW w:w="1402" w:type="dxa"/>
            <w:tcBorders>
              <w:top w:val="nil"/>
              <w:left w:val="nil"/>
              <w:bottom w:val="single" w:sz="4" w:space="0" w:color="auto"/>
              <w:right w:val="nil"/>
            </w:tcBorders>
            <w:shd w:val="clear" w:color="auto" w:fill="auto"/>
            <w:vAlign w:val="center"/>
            <w:hideMark/>
          </w:tcPr>
          <w:p w14:paraId="656F477E"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1002600000744</w:t>
            </w:r>
          </w:p>
        </w:tc>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14:paraId="79168B8E"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nr.10/9-23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70F4BE2B"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783073E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81.958,00</w:t>
            </w:r>
          </w:p>
        </w:tc>
      </w:tr>
      <w:tr w:rsidR="00DF6D3F" w:rsidRPr="009E5B39" w14:paraId="413FE206" w14:textId="77777777" w:rsidTr="003E291B">
        <w:trPr>
          <w:trHeight w:val="29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B7BC62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14</w:t>
            </w:r>
          </w:p>
        </w:tc>
        <w:tc>
          <w:tcPr>
            <w:tcW w:w="2276" w:type="dxa"/>
            <w:tcBorders>
              <w:top w:val="nil"/>
              <w:left w:val="nil"/>
              <w:bottom w:val="single" w:sz="4" w:space="0" w:color="auto"/>
              <w:right w:val="single" w:sz="4" w:space="0" w:color="auto"/>
            </w:tcBorders>
            <w:shd w:val="clear" w:color="auto" w:fill="auto"/>
            <w:vAlign w:val="center"/>
            <w:hideMark/>
          </w:tcPr>
          <w:p w14:paraId="766E6A03" w14:textId="4D1F0C26" w:rsidR="00DF6D3F" w:rsidRPr="009E5B39" w:rsidRDefault="00DF6D3F" w:rsidP="003E291B">
            <w:pPr>
              <w:spacing w:after="0" w:line="240" w:lineRule="auto"/>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ÎM Centru Stomatologic municipal Chișinău</w:t>
            </w:r>
          </w:p>
        </w:tc>
        <w:tc>
          <w:tcPr>
            <w:tcW w:w="1402" w:type="dxa"/>
            <w:tcBorders>
              <w:top w:val="nil"/>
              <w:left w:val="nil"/>
              <w:bottom w:val="single" w:sz="4" w:space="0" w:color="auto"/>
              <w:right w:val="nil"/>
            </w:tcBorders>
            <w:shd w:val="clear" w:color="auto" w:fill="auto"/>
            <w:vAlign w:val="center"/>
            <w:hideMark/>
          </w:tcPr>
          <w:p w14:paraId="04E5E1BD"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1015600014860</w:t>
            </w:r>
          </w:p>
        </w:tc>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14:paraId="0211D1D3"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decizia CMC nr.10/9-7 din 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00AB4E0B" w14:textId="77777777" w:rsidR="00DF6D3F" w:rsidRPr="009E5B39" w:rsidRDefault="00DF6D3F" w:rsidP="003E291B">
            <w:pPr>
              <w:spacing w:after="0" w:line="240" w:lineRule="auto"/>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46DDACED" w14:textId="77777777" w:rsidR="00DF6D3F" w:rsidRPr="009E5B39" w:rsidRDefault="00DF6D3F" w:rsidP="003E291B">
            <w:pPr>
              <w:spacing w:after="0" w:line="240" w:lineRule="auto"/>
              <w:jc w:val="right"/>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522.511,20</w:t>
            </w:r>
          </w:p>
        </w:tc>
      </w:tr>
      <w:tr w:rsidR="00DF6D3F" w:rsidRPr="009E5B39" w14:paraId="3B2BAB86" w14:textId="77777777" w:rsidTr="003E291B">
        <w:trPr>
          <w:trHeight w:val="290"/>
        </w:trPr>
        <w:tc>
          <w:tcPr>
            <w:tcW w:w="559" w:type="dxa"/>
            <w:tcBorders>
              <w:top w:val="nil"/>
              <w:left w:val="single" w:sz="4" w:space="0" w:color="auto"/>
              <w:bottom w:val="single" w:sz="4" w:space="0" w:color="auto"/>
              <w:right w:val="single" w:sz="4" w:space="0" w:color="auto"/>
            </w:tcBorders>
            <w:shd w:val="clear" w:color="000000" w:fill="D6DCE4"/>
            <w:noWrap/>
            <w:vAlign w:val="bottom"/>
            <w:hideMark/>
          </w:tcPr>
          <w:p w14:paraId="4ACED66C" w14:textId="77777777" w:rsidR="00DF6D3F" w:rsidRPr="009E5B39" w:rsidRDefault="00DF6D3F" w:rsidP="003E291B">
            <w:pPr>
              <w:spacing w:after="0" w:line="240" w:lineRule="auto"/>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 </w:t>
            </w:r>
          </w:p>
        </w:tc>
        <w:tc>
          <w:tcPr>
            <w:tcW w:w="2276" w:type="dxa"/>
            <w:tcBorders>
              <w:top w:val="nil"/>
              <w:left w:val="nil"/>
              <w:bottom w:val="single" w:sz="4" w:space="0" w:color="auto"/>
              <w:right w:val="single" w:sz="4" w:space="0" w:color="auto"/>
            </w:tcBorders>
            <w:shd w:val="clear" w:color="000000" w:fill="D6DCE4"/>
            <w:noWrap/>
            <w:vAlign w:val="bottom"/>
            <w:hideMark/>
          </w:tcPr>
          <w:p w14:paraId="7C04C9B1" w14:textId="77777777" w:rsidR="00DF6D3F" w:rsidRPr="009E5B39" w:rsidRDefault="00DF6D3F" w:rsidP="003E291B">
            <w:pPr>
              <w:spacing w:after="0" w:line="240" w:lineRule="auto"/>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TOTAL</w:t>
            </w:r>
          </w:p>
        </w:tc>
        <w:tc>
          <w:tcPr>
            <w:tcW w:w="1402" w:type="dxa"/>
            <w:tcBorders>
              <w:top w:val="nil"/>
              <w:left w:val="nil"/>
              <w:bottom w:val="single" w:sz="4" w:space="0" w:color="auto"/>
              <w:right w:val="single" w:sz="4" w:space="0" w:color="auto"/>
            </w:tcBorders>
            <w:shd w:val="clear" w:color="000000" w:fill="D6DCE4"/>
            <w:noWrap/>
            <w:vAlign w:val="bottom"/>
            <w:hideMark/>
          </w:tcPr>
          <w:p w14:paraId="5EBA910C" w14:textId="77777777" w:rsidR="00DF6D3F" w:rsidRPr="009E5B39" w:rsidRDefault="00DF6D3F" w:rsidP="003E291B">
            <w:pPr>
              <w:spacing w:after="0" w:line="240" w:lineRule="auto"/>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 </w:t>
            </w:r>
          </w:p>
        </w:tc>
        <w:tc>
          <w:tcPr>
            <w:tcW w:w="2850" w:type="dxa"/>
            <w:tcBorders>
              <w:top w:val="nil"/>
              <w:left w:val="nil"/>
              <w:bottom w:val="single" w:sz="4" w:space="0" w:color="auto"/>
              <w:right w:val="single" w:sz="4" w:space="0" w:color="auto"/>
            </w:tcBorders>
            <w:shd w:val="clear" w:color="000000" w:fill="D6DCE4"/>
            <w:noWrap/>
            <w:vAlign w:val="center"/>
            <w:hideMark/>
          </w:tcPr>
          <w:p w14:paraId="365B5C0A"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p>
        </w:tc>
        <w:tc>
          <w:tcPr>
            <w:tcW w:w="1559" w:type="dxa"/>
            <w:tcBorders>
              <w:top w:val="nil"/>
              <w:left w:val="nil"/>
              <w:bottom w:val="single" w:sz="4" w:space="0" w:color="auto"/>
              <w:right w:val="single" w:sz="4" w:space="0" w:color="auto"/>
            </w:tcBorders>
            <w:shd w:val="clear" w:color="000000" w:fill="D6DCE4"/>
            <w:noWrap/>
            <w:vAlign w:val="center"/>
            <w:hideMark/>
          </w:tcPr>
          <w:p w14:paraId="69E6CDF0"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p>
        </w:tc>
        <w:tc>
          <w:tcPr>
            <w:tcW w:w="1135" w:type="dxa"/>
            <w:tcBorders>
              <w:top w:val="nil"/>
              <w:left w:val="nil"/>
              <w:bottom w:val="single" w:sz="4" w:space="0" w:color="auto"/>
              <w:right w:val="single" w:sz="4" w:space="0" w:color="auto"/>
            </w:tcBorders>
            <w:shd w:val="clear" w:color="000000" w:fill="D6DCE4"/>
            <w:noWrap/>
            <w:vAlign w:val="center"/>
            <w:hideMark/>
          </w:tcPr>
          <w:p w14:paraId="56775604" w14:textId="77777777" w:rsidR="00DF6D3F" w:rsidRPr="009E5B39" w:rsidRDefault="00DF6D3F" w:rsidP="003E291B">
            <w:pPr>
              <w:spacing w:after="0" w:line="240" w:lineRule="auto"/>
              <w:jc w:val="right"/>
              <w:rPr>
                <w:rFonts w:asciiTheme="majorHAnsi" w:eastAsia="Times New Roman" w:hAnsiTheme="majorHAnsi" w:cstheme="majorHAnsi"/>
                <w:b/>
                <w:bCs/>
                <w:sz w:val="16"/>
                <w:szCs w:val="16"/>
                <w:lang w:val="ro-MD"/>
              </w:rPr>
            </w:pPr>
            <w:r w:rsidRPr="009E5B39">
              <w:rPr>
                <w:rFonts w:asciiTheme="majorHAnsi" w:eastAsia="Times New Roman" w:hAnsiTheme="majorHAnsi" w:cstheme="majorHAnsi"/>
                <w:b/>
                <w:bCs/>
                <w:sz w:val="16"/>
                <w:szCs w:val="16"/>
                <w:lang w:val="ro-MD"/>
              </w:rPr>
              <w:t>9.966.892,35</w:t>
            </w:r>
          </w:p>
        </w:tc>
      </w:tr>
    </w:tbl>
    <w:p w14:paraId="156005E1" w14:textId="77777777" w:rsidR="00DF6D3F" w:rsidRPr="009E5B39" w:rsidRDefault="00DF6D3F" w:rsidP="00DF6D3F">
      <w:pPr>
        <w:spacing w:after="0"/>
        <w:rPr>
          <w:rFonts w:asciiTheme="majorHAnsi" w:hAnsiTheme="majorHAnsi" w:cstheme="majorHAnsi"/>
          <w:b/>
          <w:sz w:val="28"/>
          <w:szCs w:val="28"/>
          <w:lang w:val="ro-MD"/>
        </w:rPr>
      </w:pPr>
    </w:p>
    <w:p w14:paraId="5B6F316D" w14:textId="77777777" w:rsidR="00723D5F" w:rsidRPr="009E5B39" w:rsidRDefault="00723D5F" w:rsidP="001F48A2">
      <w:pPr>
        <w:rPr>
          <w:lang w:val="ro-MD"/>
        </w:rPr>
      </w:pPr>
    </w:p>
    <w:p w14:paraId="2E63FABA" w14:textId="77777777" w:rsidR="00DF6D3F" w:rsidRPr="009E5B39" w:rsidRDefault="00DF6D3F" w:rsidP="001F48A2">
      <w:pPr>
        <w:rPr>
          <w:lang w:val="ro-MD"/>
        </w:rPr>
      </w:pPr>
      <w:r w:rsidRPr="009E5B39">
        <w:rPr>
          <w:lang w:val="ro-MD"/>
        </w:rPr>
        <w:t xml:space="preserve">                                                                                                   </w:t>
      </w:r>
    </w:p>
    <w:p w14:paraId="3666FFF2" w14:textId="27DFD643" w:rsidR="00DF6D3F" w:rsidRPr="009E5B39" w:rsidRDefault="00DF6D3F" w:rsidP="001F48A2">
      <w:pPr>
        <w:rPr>
          <w:lang w:val="ro-MD"/>
        </w:rPr>
      </w:pPr>
    </w:p>
    <w:p w14:paraId="512B8C00" w14:textId="499247BE" w:rsidR="008107EA" w:rsidRPr="009E5B39" w:rsidRDefault="008107EA" w:rsidP="00E0384B">
      <w:pPr>
        <w:rPr>
          <w:lang w:val="ro-MD"/>
        </w:rPr>
      </w:pPr>
    </w:p>
    <w:p w14:paraId="0BD7171F" w14:textId="1167E52E" w:rsidR="008107EA" w:rsidRPr="009E5B39" w:rsidRDefault="008107EA" w:rsidP="00E0384B">
      <w:pPr>
        <w:rPr>
          <w:lang w:val="ro-MD"/>
        </w:rPr>
      </w:pPr>
    </w:p>
    <w:p w14:paraId="59CFD639" w14:textId="23B906F7" w:rsidR="008107EA" w:rsidRPr="009E5B39" w:rsidRDefault="008107EA" w:rsidP="006A1F6A">
      <w:pPr>
        <w:rPr>
          <w:lang w:val="ro-MD"/>
        </w:rPr>
      </w:pPr>
    </w:p>
    <w:p w14:paraId="0C4CFC70" w14:textId="0C11AAF1" w:rsidR="008107EA" w:rsidRPr="009E5B39" w:rsidRDefault="008107EA" w:rsidP="006A1F6A">
      <w:pPr>
        <w:rPr>
          <w:lang w:val="ro-MD"/>
        </w:rPr>
      </w:pPr>
    </w:p>
    <w:p w14:paraId="1CD79F8B" w14:textId="1F78B84E" w:rsidR="008107EA" w:rsidRPr="009E5B39" w:rsidRDefault="008107EA" w:rsidP="006A1F6A">
      <w:pPr>
        <w:rPr>
          <w:lang w:val="ro-MD"/>
        </w:rPr>
      </w:pPr>
    </w:p>
    <w:p w14:paraId="754338E3" w14:textId="4F84D0C7" w:rsidR="008107EA" w:rsidRPr="009E5B39" w:rsidRDefault="008107EA" w:rsidP="004A52FE">
      <w:pPr>
        <w:rPr>
          <w:lang w:val="ro-MD"/>
        </w:rPr>
      </w:pPr>
    </w:p>
    <w:p w14:paraId="354A4F04" w14:textId="77777777" w:rsidR="008107EA" w:rsidRPr="009E5B39" w:rsidRDefault="008107EA" w:rsidP="001F48A2">
      <w:pPr>
        <w:rPr>
          <w:lang w:val="ro-MD"/>
        </w:rPr>
      </w:pPr>
    </w:p>
    <w:p w14:paraId="051C8C64" w14:textId="689961FF" w:rsidR="00723D5F" w:rsidRPr="009E5B39" w:rsidRDefault="00723D5F" w:rsidP="00CE32A1">
      <w:pPr>
        <w:pStyle w:val="Heading1"/>
        <w:spacing w:before="0"/>
        <w:jc w:val="right"/>
        <w:rPr>
          <w:rFonts w:cstheme="majorHAnsi"/>
          <w:b/>
          <w:color w:val="auto"/>
          <w:lang w:val="ro-MD"/>
        </w:rPr>
      </w:pPr>
      <w:bookmarkStart w:id="29" w:name="_Toc116026894"/>
      <w:r w:rsidRPr="009E5B39">
        <w:rPr>
          <w:rFonts w:cstheme="majorHAnsi"/>
          <w:b/>
          <w:color w:val="auto"/>
          <w:lang w:val="ro-MD"/>
        </w:rPr>
        <w:t>Anexa nr.</w:t>
      </w:r>
      <w:r w:rsidR="00ED71CD" w:rsidRPr="009E5B39">
        <w:rPr>
          <w:rFonts w:cstheme="majorHAnsi"/>
          <w:b/>
          <w:color w:val="auto"/>
          <w:lang w:val="ro-MD"/>
        </w:rPr>
        <w:t>12</w:t>
      </w:r>
      <w:bookmarkEnd w:id="29"/>
    </w:p>
    <w:p w14:paraId="334286B6" w14:textId="13BC4E8E" w:rsidR="00723D5F" w:rsidRPr="009E5B39" w:rsidRDefault="00723D5F" w:rsidP="00723D5F">
      <w:pPr>
        <w:spacing w:after="0" w:line="276" w:lineRule="auto"/>
        <w:jc w:val="center"/>
        <w:rPr>
          <w:rFonts w:asciiTheme="majorHAnsi" w:hAnsiTheme="majorHAnsi" w:cstheme="majorHAnsi"/>
          <w:b/>
          <w:i/>
          <w:sz w:val="24"/>
          <w:szCs w:val="24"/>
          <w:lang w:val="ro-MD"/>
        </w:rPr>
      </w:pPr>
      <w:r w:rsidRPr="009E5B39">
        <w:rPr>
          <w:rFonts w:asciiTheme="majorHAnsi" w:hAnsiTheme="majorHAnsi" w:cstheme="majorHAnsi"/>
          <w:b/>
          <w:i/>
          <w:sz w:val="24"/>
          <w:szCs w:val="24"/>
          <w:lang w:val="ro-MD"/>
        </w:rPr>
        <w:t>Prețul per m</w:t>
      </w:r>
      <w:r w:rsidRPr="009E5B39">
        <w:rPr>
          <w:rFonts w:asciiTheme="majorHAnsi" w:hAnsiTheme="majorHAnsi" w:cstheme="majorHAnsi"/>
          <w:b/>
          <w:i/>
          <w:sz w:val="24"/>
          <w:szCs w:val="24"/>
          <w:vertAlign w:val="superscript"/>
          <w:lang w:val="ro-MD"/>
        </w:rPr>
        <w:t>2</w:t>
      </w:r>
      <w:r w:rsidRPr="009E5B39">
        <w:rPr>
          <w:rFonts w:asciiTheme="majorHAnsi" w:hAnsiTheme="majorHAnsi" w:cstheme="majorHAnsi"/>
          <w:b/>
          <w:i/>
          <w:sz w:val="24"/>
          <w:szCs w:val="24"/>
          <w:lang w:val="ro-MD"/>
        </w:rPr>
        <w:t xml:space="preserve"> achitat de către locatari în bugetul municipal și cel perceput de la sublocatari</w:t>
      </w:r>
    </w:p>
    <w:p w14:paraId="1A36C3CD" w14:textId="386AA6A6" w:rsidR="00723D5F" w:rsidRPr="009E5B39" w:rsidRDefault="00723D5F" w:rsidP="00723D5F">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SRL „Avent” ia în locațiune încăperi, în pasajul subteran din intersecția str. Ismail cu bd. Ștefan cel Mare și Sfânt, prin contracte încheiate cu AAPL </w:t>
      </w:r>
      <w:r w:rsidR="0080601D" w:rsidRPr="009E5B39">
        <w:rPr>
          <w:rFonts w:asciiTheme="majorHAnsi" w:hAnsiTheme="majorHAnsi" w:cstheme="majorHAnsi"/>
          <w:sz w:val="24"/>
          <w:szCs w:val="24"/>
          <w:lang w:val="ro-MD"/>
        </w:rPr>
        <w:t xml:space="preserve">ale </w:t>
      </w:r>
      <w:r w:rsidRPr="009E5B39">
        <w:rPr>
          <w:rFonts w:asciiTheme="majorHAnsi" w:hAnsiTheme="majorHAnsi" w:cstheme="majorHAnsi"/>
          <w:sz w:val="24"/>
          <w:szCs w:val="24"/>
          <w:lang w:val="ro-MD"/>
        </w:rPr>
        <w:t xml:space="preserve">mun. Chișinău, cu suprafața totală de </w:t>
      </w:r>
      <w:r w:rsidRPr="009E5B39">
        <w:rPr>
          <w:rFonts w:asciiTheme="majorHAnsi" w:hAnsiTheme="majorHAnsi" w:cstheme="majorHAnsi"/>
          <w:b/>
          <w:sz w:val="24"/>
          <w:szCs w:val="24"/>
          <w:lang w:val="ro-MD"/>
        </w:rPr>
        <w:t>346,6 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sz w:val="24"/>
          <w:szCs w:val="24"/>
          <w:lang w:val="ro-MD"/>
        </w:rPr>
        <w:t>.</w:t>
      </w:r>
    </w:p>
    <w:p w14:paraId="42025532" w14:textId="1C82C8EA" w:rsidR="00723D5F" w:rsidRPr="009E5B39" w:rsidRDefault="00723D5F" w:rsidP="00723D5F">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Plata anuală achitată</w:t>
      </w:r>
      <w:r w:rsidRPr="009E5B39">
        <w:rPr>
          <w:rStyle w:val="FootnoteReference"/>
          <w:rFonts w:asciiTheme="majorHAnsi" w:hAnsiTheme="majorHAnsi" w:cstheme="majorHAnsi"/>
          <w:sz w:val="24"/>
          <w:szCs w:val="24"/>
          <w:lang w:val="ro-MD"/>
        </w:rPr>
        <w:footnoteReference w:id="241"/>
      </w:r>
      <w:r w:rsidRPr="009E5B39">
        <w:rPr>
          <w:rFonts w:asciiTheme="majorHAnsi" w:hAnsiTheme="majorHAnsi" w:cstheme="majorHAnsi"/>
          <w:sz w:val="24"/>
          <w:szCs w:val="24"/>
          <w:lang w:val="ro-MD"/>
        </w:rPr>
        <w:t xml:space="preserve"> în bugetul municipal  pentru </w:t>
      </w:r>
      <w:r w:rsidRPr="009E5B39">
        <w:rPr>
          <w:rFonts w:asciiTheme="majorHAnsi" w:hAnsiTheme="majorHAnsi" w:cstheme="majorHAnsi"/>
          <w:b/>
          <w:sz w:val="24"/>
          <w:szCs w:val="24"/>
          <w:lang w:val="ro-MD"/>
        </w:rPr>
        <w:t>346,6 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sz w:val="24"/>
          <w:szCs w:val="24"/>
          <w:lang w:val="ro-MD"/>
        </w:rPr>
        <w:t xml:space="preserve"> a constituit</w:t>
      </w:r>
      <w:r w:rsidR="00C64647"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1283,5 mii lei: în anul 2018 – suma de </w:t>
      </w:r>
      <w:r w:rsidRPr="009E5B39">
        <w:rPr>
          <w:rFonts w:asciiTheme="majorHAnsi" w:hAnsiTheme="majorHAnsi" w:cstheme="majorHAnsi"/>
          <w:b/>
          <w:sz w:val="24"/>
          <w:szCs w:val="24"/>
          <w:lang w:val="ro-MD"/>
        </w:rPr>
        <w:t>407,66 mii lei</w:t>
      </w:r>
      <w:r w:rsidRPr="009E5B39">
        <w:rPr>
          <w:rFonts w:asciiTheme="majorHAnsi" w:hAnsiTheme="majorHAnsi" w:cstheme="majorHAnsi"/>
          <w:sz w:val="24"/>
          <w:szCs w:val="24"/>
          <w:lang w:val="ro-MD"/>
        </w:rPr>
        <w:t xml:space="preserve"> (sau 1176,17 lei/an per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în anul 2019 – suma de </w:t>
      </w:r>
      <w:r w:rsidRPr="009E5B39">
        <w:rPr>
          <w:rFonts w:asciiTheme="majorHAnsi" w:hAnsiTheme="majorHAnsi" w:cstheme="majorHAnsi"/>
          <w:b/>
          <w:sz w:val="24"/>
          <w:szCs w:val="24"/>
          <w:lang w:val="ro-MD"/>
        </w:rPr>
        <w:t>472,41 mii lei</w:t>
      </w:r>
      <w:r w:rsidRPr="009E5B39">
        <w:rPr>
          <w:rFonts w:asciiTheme="majorHAnsi" w:hAnsiTheme="majorHAnsi" w:cstheme="majorHAnsi"/>
          <w:sz w:val="24"/>
          <w:szCs w:val="24"/>
          <w:lang w:val="ro-MD"/>
        </w:rPr>
        <w:t xml:space="preserve"> (sau 1362,97 lei/an per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în anul 2020 – suma de </w:t>
      </w:r>
      <w:r w:rsidRPr="009E5B39">
        <w:rPr>
          <w:rFonts w:asciiTheme="majorHAnsi" w:hAnsiTheme="majorHAnsi" w:cstheme="majorHAnsi"/>
          <w:b/>
          <w:sz w:val="24"/>
          <w:szCs w:val="24"/>
          <w:lang w:val="ro-MD"/>
        </w:rPr>
        <w:t>403,43 mii lei</w:t>
      </w:r>
      <w:r w:rsidRPr="009E5B39">
        <w:rPr>
          <w:rFonts w:asciiTheme="majorHAnsi" w:hAnsiTheme="majorHAnsi" w:cstheme="majorHAnsi"/>
          <w:sz w:val="24"/>
          <w:szCs w:val="24"/>
          <w:lang w:val="ro-MD"/>
        </w:rPr>
        <w:t xml:space="preserve"> (sau 1163,96 lei/an per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w:t>
      </w:r>
    </w:p>
    <w:p w14:paraId="6E8B2675" w14:textId="6157863A" w:rsidR="00723D5F" w:rsidRPr="009E5B39" w:rsidRDefault="00723D5F" w:rsidP="00723D5F">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În același timp</w:t>
      </w:r>
      <w:r w:rsidR="00BC3A0B"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pentru subloca</w:t>
      </w:r>
      <w:r w:rsidR="00BC3A0B" w:rsidRPr="009E5B39">
        <w:rPr>
          <w:rFonts w:asciiTheme="majorHAnsi" w:hAnsiTheme="majorHAnsi" w:cstheme="majorHAnsi"/>
          <w:sz w:val="24"/>
          <w:szCs w:val="24"/>
          <w:lang w:val="ro-MD"/>
        </w:rPr>
        <w:t>ț</w:t>
      </w:r>
      <w:r w:rsidRPr="009E5B39">
        <w:rPr>
          <w:rFonts w:asciiTheme="majorHAnsi" w:hAnsiTheme="majorHAnsi" w:cstheme="majorHAnsi"/>
          <w:sz w:val="24"/>
          <w:szCs w:val="24"/>
          <w:lang w:val="ro-MD"/>
        </w:rPr>
        <w:t xml:space="preserve">iunea încăperilor cu suprafața totală de </w:t>
      </w:r>
      <w:r w:rsidRPr="009E5B39">
        <w:rPr>
          <w:rFonts w:asciiTheme="majorHAnsi" w:hAnsiTheme="majorHAnsi" w:cstheme="majorHAnsi"/>
          <w:b/>
          <w:sz w:val="24"/>
          <w:szCs w:val="24"/>
          <w:lang w:val="ro-MD"/>
        </w:rPr>
        <w:t>82,6 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sz w:val="24"/>
          <w:szCs w:val="24"/>
          <w:lang w:val="ro-MD"/>
        </w:rPr>
        <w:t xml:space="preserve"> (23,8% din suprafața totală a încăperilor luate în locațiune), transmisă </w:t>
      </w:r>
      <w:r w:rsidR="00BC3A0B" w:rsidRPr="009E5B39">
        <w:rPr>
          <w:rFonts w:asciiTheme="majorHAnsi" w:hAnsiTheme="majorHAnsi" w:cstheme="majorHAnsi"/>
          <w:sz w:val="24"/>
          <w:szCs w:val="24"/>
          <w:lang w:val="ro-MD"/>
        </w:rPr>
        <w:t>l</w:t>
      </w:r>
      <w:r w:rsidRPr="009E5B39">
        <w:rPr>
          <w:rFonts w:asciiTheme="majorHAnsi" w:hAnsiTheme="majorHAnsi" w:cstheme="majorHAnsi"/>
          <w:sz w:val="24"/>
          <w:szCs w:val="24"/>
          <w:lang w:val="ro-MD"/>
        </w:rPr>
        <w:t xml:space="preserve">a 4 agenți economici, în perioada </w:t>
      </w:r>
      <w:r w:rsidR="00BC3A0B" w:rsidRPr="009E5B39">
        <w:rPr>
          <w:rFonts w:asciiTheme="majorHAnsi" w:hAnsiTheme="majorHAnsi" w:cstheme="majorHAnsi"/>
          <w:sz w:val="24"/>
          <w:szCs w:val="24"/>
          <w:lang w:val="ro-MD"/>
        </w:rPr>
        <w:t xml:space="preserve">anilor </w:t>
      </w:r>
      <w:r w:rsidRPr="009E5B39">
        <w:rPr>
          <w:rFonts w:asciiTheme="majorHAnsi" w:hAnsiTheme="majorHAnsi" w:cstheme="majorHAnsi"/>
          <w:sz w:val="24"/>
          <w:szCs w:val="24"/>
          <w:lang w:val="ro-MD"/>
        </w:rPr>
        <w:t>2018-2020, veniturile acest</w:t>
      </w:r>
      <w:r w:rsidR="00BC3A0B"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ia au constituit </w:t>
      </w:r>
      <w:r w:rsidRPr="009E5B39">
        <w:rPr>
          <w:rFonts w:asciiTheme="majorHAnsi" w:hAnsiTheme="majorHAnsi" w:cstheme="majorHAnsi"/>
          <w:b/>
          <w:bCs/>
          <w:sz w:val="24"/>
          <w:szCs w:val="24"/>
          <w:lang w:val="ro-MD"/>
        </w:rPr>
        <w:t>6873,70 mii lei</w:t>
      </w:r>
      <w:r w:rsidRPr="009E5B39">
        <w:rPr>
          <w:rFonts w:asciiTheme="majorHAnsi" w:hAnsiTheme="majorHAnsi" w:cstheme="majorHAnsi"/>
          <w:sz w:val="24"/>
          <w:szCs w:val="24"/>
          <w:lang w:val="ro-MD"/>
        </w:rPr>
        <w:t xml:space="preserve">, inclusiv: în anul 2018 – circa </w:t>
      </w:r>
      <w:r w:rsidRPr="009E5B39">
        <w:rPr>
          <w:rFonts w:asciiTheme="majorHAnsi" w:hAnsiTheme="majorHAnsi" w:cstheme="majorHAnsi"/>
          <w:b/>
          <w:sz w:val="24"/>
          <w:szCs w:val="24"/>
          <w:lang w:val="ro-MD"/>
        </w:rPr>
        <w:t>3270,33 mii lei</w:t>
      </w:r>
      <w:r w:rsidRPr="009E5B39">
        <w:rPr>
          <w:rFonts w:asciiTheme="majorHAnsi" w:hAnsiTheme="majorHAnsi" w:cstheme="majorHAnsi"/>
          <w:sz w:val="24"/>
          <w:szCs w:val="24"/>
          <w:lang w:val="ro-MD"/>
        </w:rPr>
        <w:t xml:space="preserve"> (fără TVA); în anul 2019 – circa </w:t>
      </w:r>
      <w:r w:rsidRPr="009E5B39">
        <w:rPr>
          <w:rFonts w:asciiTheme="majorHAnsi" w:hAnsiTheme="majorHAnsi" w:cstheme="majorHAnsi"/>
          <w:b/>
          <w:sz w:val="24"/>
          <w:szCs w:val="24"/>
          <w:lang w:val="ro-MD"/>
        </w:rPr>
        <w:t>2738,76 mii lei</w:t>
      </w:r>
      <w:r w:rsidRPr="009E5B39">
        <w:rPr>
          <w:rFonts w:asciiTheme="majorHAnsi" w:hAnsiTheme="majorHAnsi" w:cstheme="majorHAnsi"/>
          <w:sz w:val="24"/>
          <w:szCs w:val="24"/>
          <w:lang w:val="ro-MD"/>
        </w:rPr>
        <w:t xml:space="preserve"> (fără TVA); în anul 2020 – circa </w:t>
      </w:r>
      <w:r w:rsidRPr="009E5B39">
        <w:rPr>
          <w:rFonts w:asciiTheme="majorHAnsi" w:hAnsiTheme="majorHAnsi" w:cstheme="majorHAnsi"/>
          <w:b/>
          <w:sz w:val="24"/>
          <w:szCs w:val="24"/>
          <w:lang w:val="ro-MD"/>
        </w:rPr>
        <w:t xml:space="preserve">864,61 mii lei </w:t>
      </w:r>
      <w:r w:rsidRPr="009E5B39">
        <w:rPr>
          <w:rFonts w:asciiTheme="majorHAnsi" w:hAnsiTheme="majorHAnsi" w:cstheme="majorHAnsi"/>
          <w:sz w:val="24"/>
          <w:szCs w:val="24"/>
          <w:lang w:val="ro-MD"/>
        </w:rPr>
        <w:t>(fără TVA).</w:t>
      </w:r>
    </w:p>
    <w:p w14:paraId="6B4F3D01" w14:textId="4652BEA8" w:rsidR="00723D5F" w:rsidRPr="009E5B39" w:rsidRDefault="00723D5F" w:rsidP="00723D5F">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Cele relatate denotă că veniturile încasate de SRL</w:t>
      </w:r>
      <w:r w:rsidR="00BC3A0B"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Avent</w:t>
      </w:r>
      <w:r w:rsidR="00BC3A0B"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anii 2018-2020</w:t>
      </w:r>
      <w:r w:rsidR="00BC3A0B"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prin darea celor </w:t>
      </w:r>
      <w:r w:rsidRPr="009E5B39">
        <w:rPr>
          <w:rFonts w:asciiTheme="majorHAnsi" w:hAnsiTheme="majorHAnsi" w:cstheme="majorHAnsi"/>
          <w:b/>
          <w:sz w:val="24"/>
          <w:szCs w:val="24"/>
          <w:lang w:val="ro-MD"/>
        </w:rPr>
        <w:t>82,6 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sz w:val="24"/>
          <w:szCs w:val="24"/>
          <w:vertAlign w:val="superscript"/>
          <w:lang w:val="ro-MD"/>
        </w:rPr>
        <w:t xml:space="preserve"> </w:t>
      </w:r>
      <w:r w:rsidRPr="009E5B39">
        <w:rPr>
          <w:rFonts w:asciiTheme="majorHAnsi" w:hAnsiTheme="majorHAnsi" w:cstheme="majorHAnsi"/>
          <w:sz w:val="24"/>
          <w:szCs w:val="24"/>
          <w:lang w:val="ro-MD"/>
        </w:rPr>
        <w:t xml:space="preserve">în sublocațiune </w:t>
      </w:r>
      <w:r w:rsidRPr="009E5B39">
        <w:rPr>
          <w:rFonts w:asciiTheme="majorHAnsi" w:hAnsiTheme="majorHAnsi" w:cstheme="majorHAnsi"/>
          <w:b/>
          <w:sz w:val="24"/>
          <w:szCs w:val="24"/>
          <w:lang w:val="ro-MD"/>
        </w:rPr>
        <w:t>(6873,70 mii lei)</w:t>
      </w:r>
      <w:r w:rsidR="00BC3A0B"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 xml:space="preserve">sunt </w:t>
      </w:r>
      <w:r w:rsidRPr="009E5B39">
        <w:rPr>
          <w:rFonts w:asciiTheme="majorHAnsi" w:hAnsiTheme="majorHAnsi" w:cstheme="majorHAnsi"/>
          <w:b/>
          <w:sz w:val="24"/>
          <w:szCs w:val="24"/>
          <w:lang w:val="ro-MD"/>
        </w:rPr>
        <w:t>de 22,5 ori</w:t>
      </w:r>
      <w:r w:rsidR="00BC3A0B"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sau cu 6567,83 mii lei</w:t>
      </w:r>
      <w:r w:rsidRPr="009E5B39">
        <w:rPr>
          <w:rFonts w:asciiTheme="majorHAnsi" w:hAnsiTheme="majorHAnsi" w:cstheme="majorHAnsi"/>
          <w:sz w:val="24"/>
          <w:szCs w:val="24"/>
          <w:lang w:val="ro-MD"/>
        </w:rPr>
        <w:t xml:space="preserve"> mai mari decât plata pentru locațiunea </w:t>
      </w:r>
      <w:r w:rsidR="00C64647" w:rsidRPr="009E5B39">
        <w:rPr>
          <w:rFonts w:asciiTheme="majorHAnsi" w:hAnsiTheme="majorHAnsi" w:cstheme="majorHAnsi"/>
          <w:sz w:val="24"/>
          <w:szCs w:val="24"/>
          <w:lang w:val="ro-MD"/>
        </w:rPr>
        <w:t xml:space="preserve">aceleiași </w:t>
      </w:r>
      <w:r w:rsidRPr="009E5B39">
        <w:rPr>
          <w:rFonts w:asciiTheme="majorHAnsi" w:hAnsiTheme="majorHAnsi" w:cstheme="majorHAnsi"/>
          <w:sz w:val="24"/>
          <w:szCs w:val="24"/>
          <w:lang w:val="ro-MD"/>
        </w:rPr>
        <w:t>suprafețe</w:t>
      </w:r>
      <w:r w:rsidR="00BC3A0B"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achitată în bugetul municipal </w:t>
      </w:r>
      <w:r w:rsidRPr="009E5B39">
        <w:rPr>
          <w:rFonts w:asciiTheme="majorHAnsi" w:hAnsiTheme="majorHAnsi" w:cstheme="majorHAnsi"/>
          <w:b/>
          <w:sz w:val="24"/>
          <w:szCs w:val="24"/>
          <w:lang w:val="ro-MD"/>
        </w:rPr>
        <w:t>(305,88 mii lei).</w:t>
      </w:r>
    </w:p>
    <w:p w14:paraId="59E43BC9" w14:textId="75C555AE" w:rsidR="00723D5F" w:rsidRPr="009E5B39" w:rsidRDefault="00723D5F" w:rsidP="00723D5F">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Ținând cont de faptul că SRL „Avent” transmite, potrivit contractelor încheiate, în sublocațiune încăperi cu suprafața totală de </w:t>
      </w:r>
      <w:r w:rsidRPr="009E5B39">
        <w:rPr>
          <w:rFonts w:asciiTheme="majorHAnsi" w:hAnsiTheme="majorHAnsi" w:cstheme="majorHAnsi"/>
          <w:b/>
          <w:sz w:val="24"/>
          <w:szCs w:val="24"/>
          <w:lang w:val="ro-MD"/>
        </w:rPr>
        <w:t>218,5 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bCs/>
          <w:sz w:val="24"/>
          <w:szCs w:val="24"/>
          <w:lang w:val="ro-MD"/>
        </w:rPr>
        <w:t>,</w:t>
      </w:r>
      <w:r w:rsidRPr="009E5B39">
        <w:rPr>
          <w:rFonts w:asciiTheme="majorHAnsi" w:hAnsiTheme="majorHAnsi" w:cstheme="majorHAnsi"/>
          <w:sz w:val="24"/>
          <w:szCs w:val="24"/>
          <w:lang w:val="ro-MD"/>
        </w:rPr>
        <w:t xml:space="preserve">  pentru diferența de suprafață de </w:t>
      </w:r>
      <w:r w:rsidRPr="009E5B39">
        <w:rPr>
          <w:rFonts w:asciiTheme="majorHAnsi" w:hAnsiTheme="majorHAnsi" w:cstheme="majorHAnsi"/>
          <w:b/>
          <w:sz w:val="24"/>
          <w:szCs w:val="24"/>
          <w:lang w:val="ro-MD"/>
        </w:rPr>
        <w:t>135,9 m</w:t>
      </w:r>
      <w:r w:rsidRPr="009E5B39">
        <w:rPr>
          <w:rFonts w:asciiTheme="majorHAnsi" w:hAnsiTheme="majorHAnsi" w:cstheme="majorHAnsi"/>
          <w:b/>
          <w:sz w:val="24"/>
          <w:szCs w:val="24"/>
          <w:vertAlign w:val="superscript"/>
          <w:lang w:val="ro-MD"/>
        </w:rPr>
        <w:t>2</w:t>
      </w:r>
      <w:r w:rsidRPr="009E5B39">
        <w:rPr>
          <w:rFonts w:asciiTheme="majorHAnsi" w:hAnsiTheme="majorHAnsi" w:cstheme="majorHAnsi"/>
          <w:sz w:val="24"/>
          <w:szCs w:val="24"/>
          <w:lang w:val="ro-MD"/>
        </w:rPr>
        <w:t xml:space="preserve"> (218,5 m</w:t>
      </w:r>
      <w:r w:rsidRPr="009E5B39">
        <w:rPr>
          <w:rFonts w:asciiTheme="majorHAnsi" w:hAnsiTheme="majorHAnsi" w:cstheme="majorHAnsi"/>
          <w:sz w:val="24"/>
          <w:szCs w:val="24"/>
          <w:vertAlign w:val="superscript"/>
          <w:lang w:val="ro-MD"/>
        </w:rPr>
        <w:t xml:space="preserve">2 </w:t>
      </w:r>
      <w:r w:rsidRPr="009E5B39">
        <w:rPr>
          <w:rFonts w:asciiTheme="majorHAnsi" w:hAnsiTheme="majorHAnsi" w:cstheme="majorHAnsi"/>
          <w:sz w:val="24"/>
          <w:szCs w:val="24"/>
          <w:lang w:val="ro-MD"/>
        </w:rPr>
        <w:t>- 82,6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w:t>
      </w:r>
      <w:r w:rsidR="006C3B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da</w:t>
      </w:r>
      <w:r w:rsidR="006C3BFA" w:rsidRPr="009E5B39">
        <w:rPr>
          <w:rFonts w:asciiTheme="majorHAnsi" w:hAnsiTheme="majorHAnsi" w:cstheme="majorHAnsi"/>
          <w:sz w:val="24"/>
          <w:szCs w:val="24"/>
          <w:lang w:val="ro-MD"/>
        </w:rPr>
        <w:t>ți</w:t>
      </w:r>
      <w:r w:rsidRPr="009E5B39">
        <w:rPr>
          <w:rFonts w:asciiTheme="majorHAnsi" w:hAnsiTheme="majorHAnsi" w:cstheme="majorHAnsi"/>
          <w:sz w:val="24"/>
          <w:szCs w:val="24"/>
          <w:lang w:val="ro-MD"/>
        </w:rPr>
        <w:t xml:space="preserve"> în sublocațiune către 7 agenți economici</w:t>
      </w:r>
      <w:r w:rsidR="006C3B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pentru care în SIA al SFS lipsește informația, auditul a calculat</w:t>
      </w:r>
      <w:r w:rsidR="006C3B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prin metoda extrapolării, aplicând tariful anual mediu per m</w:t>
      </w:r>
      <w:r w:rsidRPr="009E5B39">
        <w:rPr>
          <w:rFonts w:asciiTheme="majorHAnsi" w:hAnsiTheme="majorHAnsi" w:cstheme="majorHAnsi"/>
          <w:sz w:val="24"/>
          <w:szCs w:val="24"/>
          <w:vertAlign w:val="superscript"/>
          <w:lang w:val="ro-MD"/>
        </w:rPr>
        <w:t>2</w:t>
      </w:r>
      <w:r w:rsidR="006C3BFA" w:rsidRPr="009E5B39">
        <w:rPr>
          <w:rFonts w:asciiTheme="majorHAnsi" w:hAnsiTheme="majorHAnsi" w:cstheme="majorHAnsi"/>
          <w:sz w:val="24"/>
          <w:szCs w:val="24"/>
          <w:vertAlign w:val="superscript"/>
          <w:lang w:val="ro-MD"/>
        </w:rPr>
        <w:t xml:space="preserve"> </w:t>
      </w:r>
      <w:r w:rsidRPr="009E5B39">
        <w:rPr>
          <w:rStyle w:val="FootnoteReference"/>
          <w:rFonts w:asciiTheme="majorHAnsi" w:hAnsiTheme="majorHAnsi" w:cstheme="majorHAnsi"/>
          <w:sz w:val="24"/>
          <w:szCs w:val="24"/>
          <w:lang w:val="ro-MD"/>
        </w:rPr>
        <w:footnoteReference w:id="242"/>
      </w:r>
      <w:r w:rsidRPr="009E5B39">
        <w:rPr>
          <w:rFonts w:asciiTheme="majorHAnsi" w:hAnsiTheme="majorHAnsi" w:cstheme="majorHAnsi"/>
          <w:sz w:val="24"/>
          <w:szCs w:val="24"/>
          <w:lang w:val="ro-MD"/>
        </w:rPr>
        <w:t xml:space="preserve">, veniturile SRL „Avent”. Astfel, în perioada </w:t>
      </w:r>
      <w:r w:rsidR="00BC3A0B" w:rsidRPr="009E5B39">
        <w:rPr>
          <w:rFonts w:asciiTheme="majorHAnsi" w:hAnsiTheme="majorHAnsi" w:cstheme="majorHAnsi"/>
          <w:sz w:val="24"/>
          <w:szCs w:val="24"/>
          <w:lang w:val="ro-MD"/>
        </w:rPr>
        <w:t xml:space="preserve">anilor </w:t>
      </w:r>
      <w:r w:rsidRPr="009E5B39">
        <w:rPr>
          <w:rFonts w:asciiTheme="majorHAnsi" w:hAnsiTheme="majorHAnsi" w:cstheme="majorHAnsi"/>
          <w:sz w:val="24"/>
          <w:szCs w:val="24"/>
          <w:lang w:val="ro-MD"/>
        </w:rPr>
        <w:t>2018-2020, se prezumă că agentul economic a mai încasat venituri din subloca</w:t>
      </w:r>
      <w:r w:rsidR="0080601D" w:rsidRPr="009E5B39">
        <w:rPr>
          <w:rFonts w:asciiTheme="majorHAnsi" w:hAnsiTheme="majorHAnsi" w:cstheme="majorHAnsi"/>
          <w:sz w:val="24"/>
          <w:szCs w:val="24"/>
          <w:lang w:val="ro-MD"/>
        </w:rPr>
        <w:t>ț</w:t>
      </w:r>
      <w:r w:rsidRPr="009E5B39">
        <w:rPr>
          <w:rFonts w:asciiTheme="majorHAnsi" w:hAnsiTheme="majorHAnsi" w:cstheme="majorHAnsi"/>
          <w:sz w:val="24"/>
          <w:szCs w:val="24"/>
          <w:lang w:val="ro-MD"/>
        </w:rPr>
        <w:t xml:space="preserve">iune în sumă totală de circa </w:t>
      </w:r>
      <w:r w:rsidRPr="009E5B39">
        <w:rPr>
          <w:rFonts w:asciiTheme="majorHAnsi" w:hAnsiTheme="majorHAnsi" w:cstheme="majorHAnsi"/>
          <w:b/>
          <w:sz w:val="24"/>
          <w:szCs w:val="24"/>
          <w:lang w:val="ro-MD"/>
        </w:rPr>
        <w:t>9663,26 mii lei</w:t>
      </w:r>
      <w:r w:rsidRPr="009E5B39">
        <w:rPr>
          <w:rFonts w:asciiTheme="majorHAnsi" w:hAnsiTheme="majorHAnsi" w:cstheme="majorHAnsi"/>
          <w:sz w:val="24"/>
          <w:szCs w:val="24"/>
          <w:lang w:val="ro-MD"/>
        </w:rPr>
        <w:t>, din care: în anul 2018 –</w:t>
      </w:r>
      <w:r w:rsidRPr="009E5B39">
        <w:rPr>
          <w:rFonts w:asciiTheme="majorHAnsi" w:hAnsiTheme="majorHAnsi" w:cstheme="majorHAnsi"/>
          <w:b/>
          <w:sz w:val="24"/>
          <w:szCs w:val="24"/>
          <w:lang w:val="ro-MD"/>
        </w:rPr>
        <w:t>4141,64 mii lei</w:t>
      </w:r>
      <w:r w:rsidRPr="009E5B39">
        <w:rPr>
          <w:rFonts w:asciiTheme="majorHAnsi" w:hAnsiTheme="majorHAnsi" w:cstheme="majorHAnsi"/>
          <w:sz w:val="24"/>
          <w:szCs w:val="24"/>
          <w:lang w:val="ro-MD"/>
        </w:rPr>
        <w:t>; în anul 2019 –</w:t>
      </w:r>
      <w:r w:rsidRPr="009E5B39">
        <w:rPr>
          <w:rFonts w:asciiTheme="majorHAnsi" w:hAnsiTheme="majorHAnsi" w:cstheme="majorHAnsi"/>
          <w:b/>
          <w:sz w:val="24"/>
          <w:szCs w:val="24"/>
          <w:lang w:val="ro-MD"/>
        </w:rPr>
        <w:t>3643,05 mii lei</w:t>
      </w:r>
      <w:r w:rsidRPr="009E5B39">
        <w:rPr>
          <w:rFonts w:asciiTheme="majorHAnsi" w:hAnsiTheme="majorHAnsi" w:cstheme="majorHAnsi"/>
          <w:sz w:val="24"/>
          <w:szCs w:val="24"/>
          <w:lang w:val="ro-MD"/>
        </w:rPr>
        <w:t>; în anul 2020 –</w:t>
      </w:r>
      <w:r w:rsidRPr="009E5B39">
        <w:rPr>
          <w:rFonts w:asciiTheme="majorHAnsi" w:hAnsiTheme="majorHAnsi" w:cstheme="majorHAnsi"/>
          <w:b/>
          <w:sz w:val="24"/>
          <w:szCs w:val="24"/>
          <w:lang w:val="ro-MD"/>
        </w:rPr>
        <w:t>1878,56 mii lei</w:t>
      </w:r>
      <w:r w:rsidRPr="009E5B39">
        <w:rPr>
          <w:rStyle w:val="FootnoteReference"/>
          <w:rFonts w:asciiTheme="majorHAnsi" w:hAnsiTheme="majorHAnsi" w:cstheme="majorHAnsi"/>
          <w:sz w:val="24"/>
          <w:szCs w:val="24"/>
          <w:lang w:val="ro-MD"/>
        </w:rPr>
        <w:footnoteReference w:id="243"/>
      </w:r>
      <w:r w:rsidR="006C3BFA" w:rsidRPr="009E5B39">
        <w:rPr>
          <w:rFonts w:asciiTheme="majorHAnsi" w:hAnsiTheme="majorHAnsi" w:cstheme="majorHAnsi"/>
          <w:sz w:val="24"/>
          <w:szCs w:val="24"/>
          <w:lang w:val="ro-MD"/>
        </w:rPr>
        <w:t>.</w:t>
      </w:r>
    </w:p>
    <w:p w14:paraId="23D66191" w14:textId="2E74E2A8" w:rsidR="00723D5F" w:rsidRPr="009E5B39" w:rsidRDefault="00723D5F" w:rsidP="00723D5F">
      <w:pPr>
        <w:spacing w:after="0" w:line="276" w:lineRule="auto"/>
        <w:ind w:firstLine="72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Cele menționate se confirmă prin datele din declarația VEN12</w:t>
      </w:r>
      <w:r w:rsidR="006C3B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depusă de către SRL </w:t>
      </w:r>
      <w:r w:rsidR="006C3B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Avent</w:t>
      </w:r>
      <w:r w:rsidR="006C3B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unde veniturile totale ale agentului economic pentru perioada </w:t>
      </w:r>
      <w:r w:rsidR="006C3BFA" w:rsidRPr="009E5B39">
        <w:rPr>
          <w:rFonts w:asciiTheme="majorHAnsi" w:hAnsiTheme="majorHAnsi" w:cstheme="majorHAnsi"/>
          <w:sz w:val="24"/>
          <w:szCs w:val="24"/>
          <w:lang w:val="ro-MD"/>
        </w:rPr>
        <w:t xml:space="preserve">anilor </w:t>
      </w:r>
      <w:r w:rsidRPr="009E5B39">
        <w:rPr>
          <w:rFonts w:asciiTheme="majorHAnsi" w:hAnsiTheme="majorHAnsi" w:cstheme="majorHAnsi"/>
          <w:sz w:val="24"/>
          <w:szCs w:val="24"/>
          <w:lang w:val="ro-MD"/>
        </w:rPr>
        <w:t xml:space="preserve">2018-2020 constituie 48,86 mil. lei și profitul </w:t>
      </w:r>
      <w:r w:rsidR="006C3BFA"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22,23 mil. lei.</w:t>
      </w:r>
    </w:p>
    <w:p w14:paraId="7269BF74" w14:textId="6F68FA96" w:rsidR="00723D5F" w:rsidRPr="009E5B39" w:rsidRDefault="00723D5F" w:rsidP="00723D5F">
      <w:pPr>
        <w:spacing w:after="0" w:line="276" w:lineRule="auto"/>
        <w:ind w:firstLine="720"/>
        <w:jc w:val="both"/>
        <w:rPr>
          <w:rFonts w:asciiTheme="majorHAnsi" w:hAnsiTheme="majorHAnsi" w:cstheme="majorHAnsi"/>
          <w:sz w:val="20"/>
          <w:szCs w:val="20"/>
          <w:lang w:val="ro-MD"/>
        </w:rPr>
      </w:pPr>
      <w:r w:rsidRPr="009E5B39">
        <w:rPr>
          <w:rFonts w:asciiTheme="majorHAnsi" w:hAnsiTheme="majorHAnsi" w:cstheme="majorHAnsi"/>
          <w:sz w:val="24"/>
          <w:szCs w:val="24"/>
          <w:lang w:val="ro-MD"/>
        </w:rPr>
        <w:t>Cele descrise în exemplul de mai sus denotă că, urmare gestionării ineficiente a patrimoniului public, AAPL</w:t>
      </w:r>
      <w:r w:rsidR="006C3B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perioada </w:t>
      </w:r>
      <w:r w:rsidR="006C3BFA" w:rsidRPr="009E5B39">
        <w:rPr>
          <w:rFonts w:asciiTheme="majorHAnsi" w:hAnsiTheme="majorHAnsi" w:cstheme="majorHAnsi"/>
          <w:sz w:val="24"/>
          <w:szCs w:val="24"/>
          <w:lang w:val="ro-MD"/>
        </w:rPr>
        <w:t xml:space="preserve">anilor </w:t>
      </w:r>
      <w:r w:rsidRPr="009E5B39">
        <w:rPr>
          <w:rFonts w:asciiTheme="majorHAnsi" w:hAnsiTheme="majorHAnsi" w:cstheme="majorHAnsi"/>
          <w:sz w:val="24"/>
          <w:szCs w:val="24"/>
          <w:lang w:val="ro-MD"/>
        </w:rPr>
        <w:t>2018-2020</w:t>
      </w:r>
      <w:r w:rsidR="006C3BFA"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bugetul municipal</w:t>
      </w:r>
      <w:r w:rsidR="00C64647" w:rsidRPr="009E5B39">
        <w:rPr>
          <w:rFonts w:asciiTheme="majorHAnsi" w:hAnsiTheme="majorHAnsi" w:cstheme="majorHAnsi"/>
          <w:sz w:val="24"/>
          <w:szCs w:val="24"/>
          <w:lang w:val="ro-MD"/>
        </w:rPr>
        <w:t xml:space="preserve"> nu a încasat</w:t>
      </w:r>
      <w:r w:rsidRPr="009E5B39">
        <w:rPr>
          <w:rFonts w:asciiTheme="majorHAnsi" w:hAnsiTheme="majorHAnsi" w:cstheme="majorHAnsi"/>
          <w:sz w:val="24"/>
          <w:szCs w:val="24"/>
          <w:lang w:val="ro-MD"/>
        </w:rPr>
        <w:t xml:space="preserve">, numai din locațiunea încăperilor cu suprafața de </w:t>
      </w:r>
      <w:r w:rsidRPr="009E5B39">
        <w:rPr>
          <w:rFonts w:asciiTheme="majorHAnsi" w:hAnsiTheme="majorHAnsi" w:cstheme="majorHAnsi"/>
          <w:b/>
          <w:bCs/>
          <w:sz w:val="24"/>
          <w:szCs w:val="24"/>
          <w:lang w:val="ro-MD"/>
        </w:rPr>
        <w:t>218,5 m</w:t>
      </w:r>
      <w:r w:rsidRPr="009E5B39">
        <w:rPr>
          <w:rFonts w:asciiTheme="majorHAnsi" w:hAnsiTheme="majorHAnsi" w:cstheme="majorHAnsi"/>
          <w:b/>
          <w:bCs/>
          <w:sz w:val="24"/>
          <w:szCs w:val="24"/>
          <w:vertAlign w:val="superscript"/>
          <w:lang w:val="ro-MD"/>
        </w:rPr>
        <w:t>2</w:t>
      </w:r>
      <w:r w:rsidRPr="009E5B39">
        <w:rPr>
          <w:rFonts w:asciiTheme="majorHAnsi" w:hAnsiTheme="majorHAnsi" w:cstheme="majorHAnsi"/>
          <w:sz w:val="24"/>
          <w:szCs w:val="24"/>
          <w:lang w:val="ro-MD"/>
        </w:rPr>
        <w:t xml:space="preserve"> din pasajul subteran d</w:t>
      </w:r>
      <w:r w:rsidR="006C3BFA" w:rsidRPr="009E5B39">
        <w:rPr>
          <w:rFonts w:asciiTheme="majorHAnsi" w:hAnsiTheme="majorHAnsi" w:cstheme="majorHAnsi"/>
          <w:sz w:val="24"/>
          <w:szCs w:val="24"/>
          <w:lang w:val="ro-MD"/>
        </w:rPr>
        <w:t>e la</w:t>
      </w:r>
      <w:r w:rsidRPr="009E5B39">
        <w:rPr>
          <w:rFonts w:asciiTheme="majorHAnsi" w:hAnsiTheme="majorHAnsi" w:cstheme="majorHAnsi"/>
          <w:sz w:val="24"/>
          <w:szCs w:val="24"/>
          <w:lang w:val="ro-MD"/>
        </w:rPr>
        <w:t xml:space="preserve"> intersecția str. Ismail cu bd. Ștefan cel Mare </w:t>
      </w:r>
      <w:r w:rsidR="006C3BFA" w:rsidRPr="009E5B39">
        <w:rPr>
          <w:rFonts w:asciiTheme="majorHAnsi" w:hAnsiTheme="majorHAnsi" w:cstheme="majorHAnsi"/>
          <w:sz w:val="24"/>
          <w:szCs w:val="24"/>
          <w:lang w:val="ro-MD"/>
        </w:rPr>
        <w:t xml:space="preserve">și Sfânt, </w:t>
      </w:r>
      <w:r w:rsidR="00C64647" w:rsidRPr="009E5B39">
        <w:rPr>
          <w:rFonts w:asciiTheme="majorHAnsi" w:hAnsiTheme="majorHAnsi" w:cstheme="majorHAnsi"/>
          <w:sz w:val="24"/>
          <w:szCs w:val="24"/>
          <w:lang w:val="ro-MD"/>
        </w:rPr>
        <w:t xml:space="preserve">mijloace </w:t>
      </w:r>
      <w:r w:rsidRPr="009E5B39">
        <w:rPr>
          <w:rFonts w:asciiTheme="majorHAnsi" w:hAnsiTheme="majorHAnsi" w:cstheme="majorHAnsi"/>
          <w:sz w:val="24"/>
          <w:szCs w:val="24"/>
          <w:lang w:val="ro-MD"/>
        </w:rPr>
        <w:t xml:space="preserve">în valoare totală de circa </w:t>
      </w:r>
      <w:r w:rsidRPr="009E5B39">
        <w:rPr>
          <w:rFonts w:asciiTheme="majorHAnsi" w:hAnsiTheme="majorHAnsi" w:cstheme="majorHAnsi"/>
          <w:b/>
          <w:sz w:val="24"/>
          <w:szCs w:val="24"/>
          <w:lang w:val="ro-MD"/>
        </w:rPr>
        <w:t>16231,06 mii lei</w:t>
      </w:r>
      <w:r w:rsidRPr="009E5B39">
        <w:rPr>
          <w:rFonts w:asciiTheme="majorHAnsi" w:hAnsiTheme="majorHAnsi" w:cstheme="majorHAnsi"/>
          <w:sz w:val="24"/>
          <w:szCs w:val="24"/>
          <w:lang w:val="ro-MD"/>
        </w:rPr>
        <w:t xml:space="preserve"> (6567,83 mii lei + 9663,26 mii lei).</w:t>
      </w:r>
    </w:p>
    <w:p w14:paraId="5DE2C5CA" w14:textId="77777777" w:rsidR="00723D5F" w:rsidRPr="009E5B39" w:rsidRDefault="00723D5F" w:rsidP="00723D5F">
      <w:pPr>
        <w:spacing w:after="0"/>
        <w:jc w:val="right"/>
        <w:rPr>
          <w:rFonts w:asciiTheme="majorHAnsi" w:hAnsiTheme="majorHAnsi" w:cstheme="majorHAnsi"/>
          <w:b/>
          <w:sz w:val="24"/>
          <w:szCs w:val="24"/>
          <w:lang w:val="ro-MD"/>
        </w:rPr>
        <w:sectPr w:rsidR="00723D5F" w:rsidRPr="009E5B39" w:rsidSect="00DF1919">
          <w:pgSz w:w="11907" w:h="16840" w:code="9"/>
          <w:pgMar w:top="1134" w:right="851" w:bottom="1134" w:left="1701" w:header="709" w:footer="709" w:gutter="0"/>
          <w:cols w:space="708"/>
          <w:docGrid w:linePitch="360"/>
        </w:sectPr>
      </w:pPr>
    </w:p>
    <w:p w14:paraId="5FCAD1F0" w14:textId="5F1A2D21" w:rsidR="00723D5F" w:rsidRPr="009E5B39" w:rsidRDefault="00ED71CD" w:rsidP="00723D5F">
      <w:pPr>
        <w:pStyle w:val="Heading1"/>
        <w:spacing w:before="0"/>
        <w:jc w:val="right"/>
        <w:rPr>
          <w:rFonts w:cstheme="majorHAnsi"/>
          <w:b/>
          <w:color w:val="auto"/>
          <w:lang w:val="ro-MD"/>
        </w:rPr>
      </w:pPr>
      <w:bookmarkStart w:id="30" w:name="_Toc116026895"/>
      <w:r w:rsidRPr="009E5B39">
        <w:rPr>
          <w:rFonts w:cstheme="majorHAnsi"/>
          <w:b/>
          <w:color w:val="auto"/>
          <w:lang w:val="ro-MD"/>
        </w:rPr>
        <w:t>Anexa nr.13</w:t>
      </w:r>
      <w:bookmarkEnd w:id="30"/>
    </w:p>
    <w:p w14:paraId="02E4D230" w14:textId="09F18395" w:rsidR="00723D5F" w:rsidRPr="009E5B39" w:rsidRDefault="00723D5F" w:rsidP="00723D5F">
      <w:pPr>
        <w:spacing w:after="0" w:line="276" w:lineRule="auto"/>
        <w:ind w:firstLine="410"/>
        <w:jc w:val="center"/>
        <w:rPr>
          <w:rFonts w:asciiTheme="majorHAnsi" w:hAnsiTheme="majorHAnsi" w:cstheme="majorHAnsi"/>
          <w:b/>
          <w:sz w:val="24"/>
          <w:szCs w:val="24"/>
          <w:lang w:val="ro-MD"/>
        </w:rPr>
      </w:pPr>
      <w:r w:rsidRPr="009E5B39">
        <w:rPr>
          <w:rFonts w:asciiTheme="majorHAnsi" w:hAnsiTheme="majorHAnsi" w:cstheme="majorHAnsi"/>
          <w:b/>
          <w:i/>
          <w:sz w:val="24"/>
          <w:szCs w:val="24"/>
          <w:lang w:val="ro-MD"/>
        </w:rPr>
        <w:t xml:space="preserve">Litigiul și acțiunile întreprinse de către UAT mun. Chișinău în raport cu SRL </w:t>
      </w:r>
      <w:r w:rsidR="0080601D" w:rsidRPr="009E5B39">
        <w:rPr>
          <w:rFonts w:asciiTheme="majorHAnsi" w:hAnsiTheme="majorHAnsi" w:cstheme="majorHAnsi"/>
          <w:b/>
          <w:i/>
          <w:sz w:val="24"/>
          <w:szCs w:val="24"/>
          <w:lang w:val="ro-MD"/>
        </w:rPr>
        <w:t>„</w:t>
      </w:r>
      <w:r w:rsidRPr="009E5B39">
        <w:rPr>
          <w:rFonts w:asciiTheme="majorHAnsi" w:hAnsiTheme="majorHAnsi" w:cstheme="majorHAnsi"/>
          <w:b/>
          <w:i/>
          <w:sz w:val="24"/>
          <w:szCs w:val="24"/>
          <w:lang w:val="ro-MD"/>
        </w:rPr>
        <w:t>Ianus</w:t>
      </w:r>
      <w:r w:rsidR="0080601D" w:rsidRPr="009E5B39">
        <w:rPr>
          <w:rFonts w:asciiTheme="majorHAnsi" w:hAnsiTheme="majorHAnsi" w:cstheme="majorHAnsi"/>
          <w:b/>
          <w:i/>
          <w:sz w:val="24"/>
          <w:szCs w:val="24"/>
          <w:lang w:val="ro-MD"/>
        </w:rPr>
        <w:t>”</w:t>
      </w:r>
    </w:p>
    <w:p w14:paraId="1F60216E" w14:textId="69BC8815" w:rsidR="00723D5F" w:rsidRPr="009E5B39" w:rsidRDefault="00723D5F" w:rsidP="00723D5F">
      <w:pPr>
        <w:spacing w:after="0" w:line="276" w:lineRule="auto"/>
        <w:ind w:firstLine="41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Analiza achitărilor plății pentru locațiunea bunurilor patrimoniului public (contul 142251 „Plata pentru locațiunea bunurilor patrimoniului public încasată în bugetul local de nivelul II”) denotă că</w:t>
      </w:r>
      <w:r w:rsidR="0080601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perioada </w:t>
      </w:r>
      <w:r w:rsidR="0080601D" w:rsidRPr="009E5B39">
        <w:rPr>
          <w:rFonts w:asciiTheme="majorHAnsi" w:hAnsiTheme="majorHAnsi" w:cstheme="majorHAnsi"/>
          <w:sz w:val="24"/>
          <w:szCs w:val="24"/>
          <w:lang w:val="ro-MD"/>
        </w:rPr>
        <w:t xml:space="preserve">anilor </w:t>
      </w:r>
      <w:r w:rsidRPr="009E5B39">
        <w:rPr>
          <w:rFonts w:asciiTheme="majorHAnsi" w:hAnsiTheme="majorHAnsi" w:cstheme="majorHAnsi"/>
          <w:sz w:val="24"/>
          <w:szCs w:val="24"/>
          <w:lang w:val="ro-MD"/>
        </w:rPr>
        <w:t>2018-2020</w:t>
      </w:r>
      <w:r w:rsidR="0080601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SRL </w:t>
      </w:r>
      <w:r w:rsidR="0080601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Ianus</w:t>
      </w:r>
      <w:r w:rsidR="0080601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nu a achitat nimic în bugetul municipal pentru locațiunea spațiilor comerciale</w:t>
      </w:r>
      <w:r w:rsidR="0080601D" w:rsidRPr="009E5B39">
        <w:rPr>
          <w:rFonts w:asciiTheme="majorHAnsi" w:hAnsiTheme="majorHAnsi" w:cstheme="majorHAnsi"/>
          <w:sz w:val="24"/>
          <w:szCs w:val="24"/>
          <w:lang w:val="ro-MD"/>
        </w:rPr>
        <w:t>, p</w:t>
      </w:r>
      <w:r w:rsidRPr="009E5B39">
        <w:rPr>
          <w:rFonts w:asciiTheme="majorHAnsi" w:hAnsiTheme="majorHAnsi" w:cstheme="majorHAnsi"/>
          <w:sz w:val="24"/>
          <w:szCs w:val="24"/>
          <w:lang w:val="ro-MD"/>
        </w:rPr>
        <w:t xml:space="preserve">e când analiza selectivă a livrărilor declarate de către SRL </w:t>
      </w:r>
      <w:r w:rsidR="0080601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Ianus</w:t>
      </w:r>
      <w:r w:rsidR="0080601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contrapunere cu procurările declarate de unii sublocatari ai acestuia</w:t>
      </w:r>
      <w:r w:rsidRPr="009E5B39">
        <w:rPr>
          <w:rFonts w:asciiTheme="majorHAnsi" w:hAnsiTheme="majorHAnsi" w:cstheme="majorHAnsi"/>
          <w:sz w:val="24"/>
          <w:szCs w:val="24"/>
          <w:vertAlign w:val="superscript"/>
          <w:lang w:val="ro-MD"/>
        </w:rPr>
        <w:footnoteReference w:id="244"/>
      </w:r>
      <w:r w:rsidRPr="009E5B39">
        <w:rPr>
          <w:rFonts w:asciiTheme="majorHAnsi" w:hAnsiTheme="majorHAnsi" w:cstheme="majorHAnsi"/>
          <w:sz w:val="24"/>
          <w:szCs w:val="24"/>
          <w:lang w:val="ro-MD"/>
        </w:rPr>
        <w:t xml:space="preserve">, </w:t>
      </w:r>
      <w:r w:rsidR="0080601D" w:rsidRPr="009E5B39">
        <w:rPr>
          <w:rFonts w:asciiTheme="majorHAnsi" w:hAnsiTheme="majorHAnsi" w:cstheme="majorHAnsi"/>
          <w:sz w:val="24"/>
          <w:szCs w:val="24"/>
          <w:lang w:val="ro-MD"/>
        </w:rPr>
        <w:t>relevă</w:t>
      </w:r>
      <w:r w:rsidRPr="009E5B39">
        <w:rPr>
          <w:rFonts w:asciiTheme="majorHAnsi" w:hAnsiTheme="majorHAnsi" w:cstheme="majorHAnsi"/>
          <w:sz w:val="24"/>
          <w:szCs w:val="24"/>
          <w:lang w:val="ro-MD"/>
        </w:rPr>
        <w:t xml:space="preserve"> că</w:t>
      </w:r>
      <w:r w:rsidR="0080601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perioada auditată</w:t>
      </w:r>
      <w:r w:rsidR="0080601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SRL </w:t>
      </w:r>
      <w:r w:rsidR="0080601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Ianus</w:t>
      </w:r>
      <w:r w:rsidR="0080601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 prestat servicii (conform livrărilor pe facturi fiscale) de sublocațiune la cel puțin 5 agenți economici</w:t>
      </w:r>
      <w:r w:rsidRPr="009E5B39">
        <w:rPr>
          <w:rFonts w:asciiTheme="majorHAnsi" w:hAnsiTheme="majorHAnsi" w:cstheme="majorHAnsi"/>
          <w:sz w:val="24"/>
          <w:szCs w:val="24"/>
          <w:vertAlign w:val="superscript"/>
          <w:lang w:val="ro-MD"/>
        </w:rPr>
        <w:footnoteReference w:id="245"/>
      </w:r>
      <w:r w:rsidRPr="009E5B39">
        <w:rPr>
          <w:rFonts w:asciiTheme="majorHAnsi" w:hAnsiTheme="majorHAnsi" w:cstheme="majorHAnsi"/>
          <w:sz w:val="24"/>
          <w:szCs w:val="24"/>
          <w:lang w:val="ro-MD"/>
        </w:rPr>
        <w:t xml:space="preserve">, încasând venituri în sumă totală de </w:t>
      </w:r>
      <w:r w:rsidRPr="009E5B39">
        <w:rPr>
          <w:rFonts w:asciiTheme="majorHAnsi" w:hAnsiTheme="majorHAnsi" w:cstheme="majorHAnsi"/>
          <w:b/>
          <w:bCs/>
          <w:sz w:val="24"/>
          <w:szCs w:val="24"/>
          <w:lang w:val="ro-MD"/>
        </w:rPr>
        <w:t>838,39 mii lei</w:t>
      </w:r>
      <w:r w:rsidRPr="009E5B39">
        <w:rPr>
          <w:rFonts w:asciiTheme="majorHAnsi" w:hAnsiTheme="majorHAnsi" w:cstheme="majorHAnsi"/>
          <w:sz w:val="24"/>
          <w:szCs w:val="24"/>
          <w:lang w:val="ro-MD"/>
        </w:rPr>
        <w:t xml:space="preserve"> (fără TVA), din care: </w:t>
      </w:r>
      <w:r w:rsidRPr="009E5B39">
        <w:rPr>
          <w:rFonts w:asciiTheme="majorHAnsi" w:hAnsiTheme="majorHAnsi" w:cstheme="majorHAnsi"/>
          <w:b/>
          <w:bCs/>
          <w:sz w:val="24"/>
          <w:szCs w:val="24"/>
          <w:lang w:val="ro-MD"/>
        </w:rPr>
        <w:t>326,78 mii lei</w:t>
      </w:r>
      <w:r w:rsidRPr="009E5B39">
        <w:rPr>
          <w:rFonts w:asciiTheme="majorHAnsi" w:hAnsiTheme="majorHAnsi" w:cstheme="majorHAnsi"/>
          <w:sz w:val="24"/>
          <w:szCs w:val="24"/>
          <w:lang w:val="ro-MD"/>
        </w:rPr>
        <w:t xml:space="preserve"> </w:t>
      </w:r>
      <w:r w:rsidR="0080601D"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în anul 2018; </w:t>
      </w:r>
      <w:r w:rsidRPr="009E5B39">
        <w:rPr>
          <w:rFonts w:asciiTheme="majorHAnsi" w:hAnsiTheme="majorHAnsi" w:cstheme="majorHAnsi"/>
          <w:b/>
          <w:bCs/>
          <w:sz w:val="24"/>
          <w:szCs w:val="24"/>
          <w:lang w:val="ro-MD"/>
        </w:rPr>
        <w:t>293,02 mii lei</w:t>
      </w:r>
      <w:r w:rsidRPr="009E5B39">
        <w:rPr>
          <w:rFonts w:asciiTheme="majorHAnsi" w:hAnsiTheme="majorHAnsi" w:cstheme="majorHAnsi"/>
          <w:sz w:val="24"/>
          <w:szCs w:val="24"/>
          <w:lang w:val="ro-MD"/>
        </w:rPr>
        <w:t xml:space="preserve"> </w:t>
      </w:r>
      <w:r w:rsidR="0080601D"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în </w:t>
      </w:r>
      <w:r w:rsidR="0080601D"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2019</w:t>
      </w:r>
      <w:r w:rsidR="0080601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și </w:t>
      </w:r>
      <w:r w:rsidRPr="009E5B39">
        <w:rPr>
          <w:rFonts w:asciiTheme="majorHAnsi" w:hAnsiTheme="majorHAnsi" w:cstheme="majorHAnsi"/>
          <w:b/>
          <w:bCs/>
          <w:sz w:val="24"/>
          <w:szCs w:val="24"/>
          <w:lang w:val="ro-MD"/>
        </w:rPr>
        <w:t>218,60 mii lei</w:t>
      </w:r>
      <w:r w:rsidRPr="009E5B39">
        <w:rPr>
          <w:rFonts w:asciiTheme="majorHAnsi" w:hAnsiTheme="majorHAnsi" w:cstheme="majorHAnsi"/>
          <w:sz w:val="24"/>
          <w:szCs w:val="24"/>
          <w:lang w:val="ro-MD"/>
        </w:rPr>
        <w:t xml:space="preserve"> </w:t>
      </w:r>
      <w:r w:rsidR="0080601D"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în </w:t>
      </w:r>
      <w:r w:rsidR="0080601D"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 xml:space="preserve">2020.  </w:t>
      </w:r>
    </w:p>
    <w:p w14:paraId="45EF2FF6" w14:textId="3697ADB5" w:rsidR="00723D5F" w:rsidRPr="009E5B39" w:rsidRDefault="00723D5F" w:rsidP="00723D5F">
      <w:pPr>
        <w:spacing w:after="0" w:line="276" w:lineRule="auto"/>
        <w:ind w:firstLine="41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Unele constatări ulterioare au  fost preluate din Raportul</w:t>
      </w:r>
      <w:r w:rsidRPr="009E5B39">
        <w:rPr>
          <w:rFonts w:asciiTheme="majorHAnsi" w:hAnsiTheme="majorHAnsi" w:cstheme="majorHAnsi"/>
          <w:sz w:val="24"/>
          <w:szCs w:val="24"/>
          <w:vertAlign w:val="superscript"/>
          <w:lang w:val="ro-MD"/>
        </w:rPr>
        <w:footnoteReference w:id="246"/>
      </w:r>
      <w:r w:rsidRPr="009E5B39">
        <w:rPr>
          <w:rFonts w:asciiTheme="majorHAnsi" w:hAnsiTheme="majorHAnsi" w:cstheme="majorHAnsi"/>
          <w:sz w:val="24"/>
          <w:szCs w:val="24"/>
          <w:lang w:val="ro-MD"/>
        </w:rPr>
        <w:t xml:space="preserve"> întocmit de către Direcția Audit Intern a Primăriei mun. Chișinău, fiind considerate de către echipa de audit credibile și elocvente, pentru </w:t>
      </w:r>
      <w:r w:rsidR="00741135" w:rsidRPr="009E5B39">
        <w:rPr>
          <w:rFonts w:asciiTheme="majorHAnsi" w:hAnsiTheme="majorHAnsi" w:cstheme="majorHAnsi"/>
          <w:sz w:val="24"/>
          <w:szCs w:val="24"/>
          <w:lang w:val="ro-MD"/>
        </w:rPr>
        <w:t>anii</w:t>
      </w:r>
      <w:r w:rsidRPr="009E5B39">
        <w:rPr>
          <w:rFonts w:asciiTheme="majorHAnsi" w:hAnsiTheme="majorHAnsi" w:cstheme="majorHAnsi"/>
          <w:sz w:val="24"/>
          <w:szCs w:val="24"/>
          <w:lang w:val="ro-MD"/>
        </w:rPr>
        <w:t xml:space="preserve"> 2015-2019. Echipa de audit a analizat subiectul abordat, pentru perioad</w:t>
      </w:r>
      <w:r w:rsidR="00741135" w:rsidRPr="009E5B39">
        <w:rPr>
          <w:rFonts w:asciiTheme="majorHAnsi" w:hAnsiTheme="majorHAnsi" w:cstheme="majorHAnsi"/>
          <w:sz w:val="24"/>
          <w:szCs w:val="24"/>
          <w:lang w:val="ro-MD"/>
        </w:rPr>
        <w:t>a anilor</w:t>
      </w:r>
      <w:r w:rsidRPr="009E5B39">
        <w:rPr>
          <w:rFonts w:asciiTheme="majorHAnsi" w:hAnsiTheme="majorHAnsi" w:cstheme="majorHAnsi"/>
          <w:sz w:val="24"/>
          <w:szCs w:val="24"/>
          <w:lang w:val="ro-MD"/>
        </w:rPr>
        <w:t xml:space="preserve"> 2020 - 2022 (4 luni).</w:t>
      </w:r>
    </w:p>
    <w:p w14:paraId="040FC74A" w14:textId="77777777" w:rsidR="00723D5F" w:rsidRPr="009E5B39" w:rsidRDefault="00723D5F" w:rsidP="00723D5F">
      <w:pPr>
        <w:spacing w:after="0" w:line="276" w:lineRule="auto"/>
        <w:ind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Astfel, auditul intern a constatat că: </w:t>
      </w:r>
    </w:p>
    <w:p w14:paraId="6C5D09F8" w14:textId="5201A7CE" w:rsidR="00723D5F" w:rsidRPr="009E5B39" w:rsidRDefault="00723D5F" w:rsidP="00723D5F">
      <w:pPr>
        <w:spacing w:after="0" w:line="276" w:lineRule="auto"/>
        <w:ind w:firstLine="360"/>
        <w:jc w:val="both"/>
        <w:rPr>
          <w:rFonts w:asciiTheme="majorHAnsi" w:hAnsiTheme="majorHAnsi" w:cstheme="majorHAnsi"/>
          <w:sz w:val="24"/>
          <w:szCs w:val="24"/>
          <w:lang w:val="ro-MD"/>
        </w:rPr>
      </w:pPr>
      <w:r w:rsidRPr="009E5B39">
        <w:rPr>
          <w:rFonts w:asciiTheme="majorHAnsi" w:hAnsiTheme="majorHAnsi" w:cstheme="majorHAnsi"/>
          <w:b/>
          <w:i/>
          <w:sz w:val="24"/>
          <w:szCs w:val="24"/>
          <w:lang w:val="ro-MD"/>
        </w:rPr>
        <w:t xml:space="preserve">1) </w:t>
      </w:r>
      <w:r w:rsidRPr="009E5B39">
        <w:rPr>
          <w:rFonts w:asciiTheme="majorHAnsi" w:hAnsiTheme="majorHAnsi" w:cstheme="majorHAnsi"/>
          <w:i/>
          <w:sz w:val="24"/>
          <w:szCs w:val="24"/>
          <w:lang w:val="ro-MD"/>
        </w:rPr>
        <w:t>DGTPCC nu a recalculat plata pentru locațiune în perioada</w:t>
      </w:r>
      <w:r w:rsidR="00741135" w:rsidRPr="009E5B39">
        <w:rPr>
          <w:rFonts w:asciiTheme="majorHAnsi" w:hAnsiTheme="majorHAnsi" w:cstheme="majorHAnsi"/>
          <w:i/>
          <w:sz w:val="24"/>
          <w:szCs w:val="24"/>
          <w:lang w:val="ro-MD"/>
        </w:rPr>
        <w:t xml:space="preserve"> anilor</w:t>
      </w:r>
      <w:r w:rsidRPr="009E5B39">
        <w:rPr>
          <w:rFonts w:asciiTheme="majorHAnsi" w:hAnsiTheme="majorHAnsi" w:cstheme="majorHAnsi"/>
          <w:i/>
          <w:sz w:val="24"/>
          <w:szCs w:val="24"/>
          <w:lang w:val="ro-MD"/>
        </w:rPr>
        <w:t xml:space="preserve"> 2015-2019, în conformitate cu prevederile actelor normative</w:t>
      </w:r>
      <w:r w:rsidRPr="009E5B39">
        <w:rPr>
          <w:rFonts w:asciiTheme="majorHAnsi" w:hAnsiTheme="majorHAnsi" w:cstheme="majorHAnsi"/>
          <w:i/>
          <w:sz w:val="24"/>
          <w:szCs w:val="24"/>
          <w:vertAlign w:val="superscript"/>
          <w:lang w:val="ro-MD"/>
        </w:rPr>
        <w:footnoteReference w:id="247"/>
      </w:r>
      <w:r w:rsidRPr="009E5B39">
        <w:rPr>
          <w:rFonts w:asciiTheme="majorHAnsi" w:hAnsiTheme="majorHAnsi" w:cstheme="majorHAnsi"/>
          <w:i/>
          <w:sz w:val="24"/>
          <w:szCs w:val="24"/>
          <w:lang w:val="ro-MD"/>
        </w:rPr>
        <w:t xml:space="preserve">, pentru SRL </w:t>
      </w:r>
      <w:r w:rsidR="00741135"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Ianus</w:t>
      </w:r>
      <w:r w:rsidR="00741135" w:rsidRPr="009E5B39">
        <w:rPr>
          <w:rFonts w:asciiTheme="majorHAnsi" w:hAnsiTheme="majorHAnsi" w:cstheme="majorHAnsi"/>
          <w:i/>
          <w:sz w:val="24"/>
          <w:szCs w:val="24"/>
          <w:lang w:val="ro-MD"/>
        </w:rPr>
        <w:t>”, a</w:t>
      </w:r>
      <w:r w:rsidRPr="009E5B39">
        <w:rPr>
          <w:rFonts w:asciiTheme="majorHAnsi" w:hAnsiTheme="majorHAnsi" w:cstheme="majorHAnsi"/>
          <w:i/>
          <w:sz w:val="24"/>
          <w:szCs w:val="24"/>
          <w:lang w:val="ro-MD"/>
        </w:rPr>
        <w:t>ceasta însumând, pentru perioada menționată</w:t>
      </w:r>
      <w:r w:rsidR="00741135"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w:t>
      </w:r>
      <w:r w:rsidRPr="009E5B39">
        <w:rPr>
          <w:rFonts w:asciiTheme="majorHAnsi" w:hAnsiTheme="majorHAnsi" w:cstheme="majorHAnsi"/>
          <w:b/>
          <w:i/>
          <w:sz w:val="24"/>
          <w:szCs w:val="24"/>
          <w:lang w:val="ro-MD"/>
        </w:rPr>
        <w:t>5640,8 mii lei</w:t>
      </w:r>
      <w:r w:rsidRPr="009E5B39">
        <w:rPr>
          <w:rFonts w:asciiTheme="majorHAnsi" w:hAnsiTheme="majorHAnsi" w:cstheme="majorHAnsi"/>
          <w:b/>
          <w:sz w:val="24"/>
          <w:szCs w:val="24"/>
          <w:lang w:val="ro-MD"/>
        </w:rPr>
        <w:t>.</w:t>
      </w:r>
      <w:r w:rsidRPr="009E5B39">
        <w:rPr>
          <w:rFonts w:asciiTheme="majorHAnsi" w:hAnsiTheme="majorHAnsi" w:cstheme="majorHAnsi"/>
          <w:sz w:val="24"/>
          <w:szCs w:val="24"/>
          <w:lang w:val="ro-MD"/>
        </w:rPr>
        <w:t xml:space="preserve"> Ace</w:t>
      </w:r>
      <w:r w:rsidR="00741135"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ași situație se menține și pe parcursul perioadei 2020 – 2022 (4 luni), plata diminuată pentru locațiune constituind </w:t>
      </w:r>
      <w:r w:rsidRPr="009E5B39">
        <w:rPr>
          <w:rFonts w:asciiTheme="majorHAnsi" w:hAnsiTheme="majorHAnsi" w:cstheme="majorHAnsi"/>
          <w:b/>
          <w:sz w:val="24"/>
          <w:szCs w:val="24"/>
          <w:lang w:val="ro-MD"/>
        </w:rPr>
        <w:t>2341,7 mii lei</w:t>
      </w:r>
      <w:r w:rsidRPr="009E5B39">
        <w:rPr>
          <w:rFonts w:asciiTheme="majorHAnsi" w:hAnsiTheme="majorHAnsi" w:cstheme="majorHAnsi"/>
          <w:sz w:val="24"/>
          <w:szCs w:val="24"/>
          <w:lang w:val="ro-MD"/>
        </w:rPr>
        <w:t xml:space="preserve">; </w:t>
      </w:r>
    </w:p>
    <w:p w14:paraId="48544FC0" w14:textId="6066120D" w:rsidR="00723D5F" w:rsidRPr="009E5B39" w:rsidRDefault="00723D5F" w:rsidP="00723D5F">
      <w:pPr>
        <w:spacing w:after="0" w:line="276" w:lineRule="auto"/>
        <w:ind w:firstLine="360"/>
        <w:jc w:val="both"/>
        <w:rPr>
          <w:rFonts w:asciiTheme="majorHAnsi" w:hAnsiTheme="majorHAnsi" w:cstheme="majorHAnsi"/>
          <w:sz w:val="24"/>
          <w:szCs w:val="24"/>
          <w:lang w:val="ro-MD"/>
        </w:rPr>
      </w:pPr>
      <w:r w:rsidRPr="009E5B39">
        <w:rPr>
          <w:rFonts w:asciiTheme="majorHAnsi" w:hAnsiTheme="majorHAnsi" w:cstheme="majorHAnsi"/>
          <w:b/>
          <w:i/>
          <w:sz w:val="24"/>
          <w:szCs w:val="24"/>
          <w:lang w:val="ro-MD"/>
        </w:rPr>
        <w:t>2)</w:t>
      </w:r>
      <w:r w:rsidRPr="009E5B39">
        <w:rPr>
          <w:rFonts w:asciiTheme="majorHAnsi" w:hAnsiTheme="majorHAnsi" w:cstheme="majorHAnsi"/>
          <w:sz w:val="24"/>
          <w:szCs w:val="24"/>
          <w:lang w:val="ro-MD"/>
        </w:rPr>
        <w:t xml:space="preserve"> </w:t>
      </w:r>
      <w:r w:rsidRPr="009E5B39">
        <w:rPr>
          <w:rFonts w:asciiTheme="majorHAnsi" w:hAnsiTheme="majorHAnsi" w:cstheme="majorHAnsi"/>
          <w:i/>
          <w:sz w:val="24"/>
          <w:szCs w:val="24"/>
          <w:lang w:val="ro-MD"/>
        </w:rPr>
        <w:t xml:space="preserve">Calculul prețului </w:t>
      </w:r>
      <w:r w:rsidR="00741135" w:rsidRPr="009E5B39">
        <w:rPr>
          <w:rFonts w:asciiTheme="majorHAnsi" w:hAnsiTheme="majorHAnsi" w:cstheme="majorHAnsi"/>
          <w:i/>
          <w:sz w:val="24"/>
          <w:szCs w:val="24"/>
          <w:lang w:val="ro-MD"/>
        </w:rPr>
        <w:t>pentru</w:t>
      </w:r>
      <w:r w:rsidRPr="009E5B39">
        <w:rPr>
          <w:rFonts w:asciiTheme="majorHAnsi" w:hAnsiTheme="majorHAnsi" w:cstheme="majorHAnsi"/>
          <w:i/>
          <w:sz w:val="24"/>
          <w:szCs w:val="24"/>
          <w:lang w:val="ro-MD"/>
        </w:rPr>
        <w:t xml:space="preserve"> chirie pe anul 2019 s-a efectuat pentru </w:t>
      </w:r>
      <w:r w:rsidR="00741135" w:rsidRPr="009E5B39">
        <w:rPr>
          <w:rFonts w:asciiTheme="majorHAnsi" w:hAnsiTheme="majorHAnsi" w:cstheme="majorHAnsi"/>
          <w:i/>
          <w:sz w:val="24"/>
          <w:szCs w:val="24"/>
          <w:lang w:val="ro-MD"/>
        </w:rPr>
        <w:t xml:space="preserve">o </w:t>
      </w:r>
      <w:r w:rsidRPr="009E5B39">
        <w:rPr>
          <w:rFonts w:asciiTheme="majorHAnsi" w:hAnsiTheme="majorHAnsi" w:cstheme="majorHAnsi"/>
          <w:i/>
          <w:sz w:val="24"/>
          <w:szCs w:val="24"/>
          <w:lang w:val="ro-MD"/>
        </w:rPr>
        <w:t xml:space="preserve">suprafață mai mică față de cea indicată în contractele de locațiune. Cauza invocată de responsabili </w:t>
      </w:r>
      <w:r w:rsidR="00480580"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lipsa temeiului de recalculare a plăților </w:t>
      </w:r>
      <w:r w:rsidR="00741135" w:rsidRPr="009E5B39">
        <w:rPr>
          <w:rFonts w:asciiTheme="majorHAnsi" w:hAnsiTheme="majorHAnsi" w:cstheme="majorHAnsi"/>
          <w:i/>
          <w:sz w:val="24"/>
          <w:szCs w:val="24"/>
          <w:lang w:val="ro-MD"/>
        </w:rPr>
        <w:t>pentru</w:t>
      </w:r>
      <w:r w:rsidRPr="009E5B39">
        <w:rPr>
          <w:rFonts w:asciiTheme="majorHAnsi" w:hAnsiTheme="majorHAnsi" w:cstheme="majorHAnsi"/>
          <w:i/>
          <w:sz w:val="24"/>
          <w:szCs w:val="24"/>
          <w:lang w:val="ro-MD"/>
        </w:rPr>
        <w:t xml:space="preserve"> chirie în condițiile inexistenței acordului locatarului de modificare a prețului contractului</w:t>
      </w:r>
      <w:r w:rsidR="00480580"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este neplauzibilă, or</w:t>
      </w:r>
      <w:r w:rsidR="00480580" w:rsidRPr="009E5B39">
        <w:rPr>
          <w:rFonts w:asciiTheme="majorHAnsi" w:hAnsiTheme="majorHAnsi" w:cstheme="majorHAnsi"/>
          <w:i/>
          <w:sz w:val="24"/>
          <w:szCs w:val="24"/>
          <w:lang w:val="ro-MD"/>
        </w:rPr>
        <w:t>, cuantumul chiriei</w:t>
      </w:r>
      <w:r w:rsidRPr="009E5B39">
        <w:rPr>
          <w:rFonts w:asciiTheme="majorHAnsi" w:hAnsiTheme="majorHAnsi" w:cstheme="majorHAnsi"/>
          <w:i/>
          <w:sz w:val="24"/>
          <w:szCs w:val="24"/>
          <w:lang w:val="ro-MD"/>
        </w:rPr>
        <w:t xml:space="preserve"> modifica</w:t>
      </w:r>
      <w:r w:rsidR="00480580" w:rsidRPr="009E5B39">
        <w:rPr>
          <w:rFonts w:asciiTheme="majorHAnsi" w:hAnsiTheme="majorHAnsi" w:cstheme="majorHAnsi"/>
          <w:i/>
          <w:sz w:val="24"/>
          <w:szCs w:val="24"/>
          <w:lang w:val="ro-MD"/>
        </w:rPr>
        <w:t>t</w:t>
      </w:r>
      <w:r w:rsidRPr="009E5B39">
        <w:rPr>
          <w:rFonts w:asciiTheme="majorHAnsi" w:hAnsiTheme="majorHAnsi" w:cstheme="majorHAnsi"/>
          <w:i/>
          <w:sz w:val="24"/>
          <w:szCs w:val="24"/>
          <w:lang w:val="ro-MD"/>
        </w:rPr>
        <w:t xml:space="preserve"> urmează a fi aplicat prin efectul legii</w:t>
      </w:r>
      <w:r w:rsidR="00480580"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cu informarea în sensul dat a părților. Totodată, deficiențele admise au fost generate de faptul că responsabilii din cadrul DGTPCC, fără a efectua verificarea veridicității datelor și contrapunerea acestora cu prevederile contractelor de locațiune, acceptă</w:t>
      </w:r>
      <w:r w:rsidR="00480580"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pentru includerea în calcul</w:t>
      </w:r>
      <w:r w:rsidR="00480580" w:rsidRPr="009E5B39">
        <w:rPr>
          <w:rFonts w:asciiTheme="majorHAnsi" w:hAnsiTheme="majorHAnsi" w:cstheme="majorHAnsi"/>
          <w:i/>
          <w:sz w:val="24"/>
          <w:szCs w:val="24"/>
          <w:lang w:val="ro-MD"/>
        </w:rPr>
        <w:t>,</w:t>
      </w:r>
      <w:r w:rsidRPr="009E5B39">
        <w:rPr>
          <w:rFonts w:asciiTheme="majorHAnsi" w:hAnsiTheme="majorHAnsi" w:cstheme="majorHAnsi"/>
          <w:i/>
          <w:sz w:val="24"/>
          <w:szCs w:val="24"/>
          <w:lang w:val="ro-MD"/>
        </w:rPr>
        <w:t xml:space="preserve"> doar suprafețele raportate de către locatari</w:t>
      </w:r>
      <w:r w:rsidRPr="009E5B39">
        <w:rPr>
          <w:rFonts w:asciiTheme="majorHAnsi" w:hAnsiTheme="majorHAnsi" w:cstheme="majorHAnsi"/>
          <w:sz w:val="24"/>
          <w:szCs w:val="24"/>
          <w:lang w:val="ro-MD"/>
        </w:rPr>
        <w:t xml:space="preserve">. </w:t>
      </w:r>
      <w:r w:rsidR="00480580" w:rsidRPr="009E5B39">
        <w:rPr>
          <w:rFonts w:asciiTheme="majorHAnsi" w:hAnsiTheme="majorHAnsi" w:cstheme="majorHAnsi"/>
          <w:sz w:val="24"/>
          <w:szCs w:val="24"/>
          <w:lang w:val="ro-MD"/>
        </w:rPr>
        <w:t>F</w:t>
      </w:r>
      <w:r w:rsidRPr="009E5B39">
        <w:rPr>
          <w:rFonts w:asciiTheme="majorHAnsi" w:hAnsiTheme="majorHAnsi" w:cstheme="majorHAnsi"/>
          <w:sz w:val="24"/>
          <w:szCs w:val="24"/>
          <w:lang w:val="ro-MD"/>
        </w:rPr>
        <w:t xml:space="preserve">aptul că plata pentru chirie în perioada 2020 – 2022 (4 luni) este identică cu cea din </w:t>
      </w:r>
      <w:r w:rsidR="00480580" w:rsidRPr="009E5B39">
        <w:rPr>
          <w:rFonts w:asciiTheme="majorHAnsi" w:hAnsiTheme="majorHAnsi" w:cstheme="majorHAnsi"/>
          <w:sz w:val="24"/>
          <w:szCs w:val="24"/>
          <w:lang w:val="ro-MD"/>
        </w:rPr>
        <w:t xml:space="preserve">anul </w:t>
      </w:r>
      <w:r w:rsidRPr="009E5B39">
        <w:rPr>
          <w:rFonts w:asciiTheme="majorHAnsi" w:hAnsiTheme="majorHAnsi" w:cstheme="majorHAnsi"/>
          <w:sz w:val="24"/>
          <w:szCs w:val="24"/>
          <w:lang w:val="ro-MD"/>
        </w:rPr>
        <w:t>2019</w:t>
      </w:r>
      <w:r w:rsidR="00480580" w:rsidRPr="009E5B39">
        <w:rPr>
          <w:rFonts w:asciiTheme="majorHAnsi" w:hAnsiTheme="majorHAnsi" w:cstheme="majorHAnsi"/>
          <w:sz w:val="24"/>
          <w:szCs w:val="24"/>
          <w:lang w:val="ro-MD"/>
        </w:rPr>
        <w:t xml:space="preserve"> dovedește</w:t>
      </w:r>
      <w:r w:rsidRPr="009E5B39">
        <w:rPr>
          <w:rFonts w:asciiTheme="majorHAnsi" w:hAnsiTheme="majorHAnsi" w:cstheme="majorHAnsi"/>
          <w:sz w:val="24"/>
          <w:szCs w:val="24"/>
          <w:lang w:val="ro-MD"/>
        </w:rPr>
        <w:t xml:space="preserve"> că constatarea auditului intern se menține până în prezent.  Potrivit calculului prezentat de DGTPCC</w:t>
      </w:r>
      <w:r w:rsidR="0048058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auditul constată că plata pentru locațiune în perioada 2013 – 2019 a constituit 1159,2 mii lei/an, fiind calculată pentru suprafața de 870,6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cu utilizarea coeficientului K4 = 2,5.  Din anul 2020 până în 2022 (4 luni) calculul este efectuat pentru suprafața de 837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cu aplicarea tarifului aprobat în </w:t>
      </w:r>
      <w:r w:rsidR="00480580"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nexa nr.9 la Legea bugetului de stat pentru anul 2020 (se menține și pentru an</w:t>
      </w:r>
      <w:r w:rsidR="00480580" w:rsidRPr="009E5B39">
        <w:rPr>
          <w:rFonts w:asciiTheme="majorHAnsi" w:hAnsiTheme="majorHAnsi" w:cstheme="majorHAnsi"/>
          <w:sz w:val="24"/>
          <w:szCs w:val="24"/>
          <w:lang w:val="ro-MD"/>
        </w:rPr>
        <w:t>ii</w:t>
      </w:r>
      <w:r w:rsidRPr="009E5B39">
        <w:rPr>
          <w:rFonts w:asciiTheme="majorHAnsi" w:hAnsiTheme="majorHAnsi" w:cstheme="majorHAnsi"/>
          <w:sz w:val="24"/>
          <w:szCs w:val="24"/>
          <w:lang w:val="ro-MD"/>
        </w:rPr>
        <w:t xml:space="preserve"> 2021 și 2022)</w:t>
      </w:r>
      <w:r w:rsidR="0048058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păstrarea coeficienților aplicați pentru perioada anterioară, plata anuală constituind 1003,5 mii lei/an;</w:t>
      </w:r>
    </w:p>
    <w:p w14:paraId="65845EE0" w14:textId="4EB90802" w:rsidR="00723D5F" w:rsidRPr="009E5B39" w:rsidRDefault="00723D5F" w:rsidP="00723D5F">
      <w:pPr>
        <w:spacing w:after="0" w:line="276" w:lineRule="auto"/>
        <w:ind w:firstLine="360"/>
        <w:jc w:val="both"/>
        <w:rPr>
          <w:rFonts w:asciiTheme="majorHAnsi" w:hAnsiTheme="majorHAnsi" w:cstheme="majorHAnsi"/>
          <w:sz w:val="24"/>
          <w:szCs w:val="24"/>
          <w:lang w:val="ro-MD"/>
        </w:rPr>
      </w:pPr>
      <w:r w:rsidRPr="009E5B39">
        <w:rPr>
          <w:rFonts w:asciiTheme="majorHAnsi" w:hAnsiTheme="majorHAnsi" w:cstheme="majorHAnsi"/>
          <w:b/>
          <w:i/>
          <w:sz w:val="24"/>
          <w:szCs w:val="24"/>
          <w:lang w:val="ro-MD"/>
        </w:rPr>
        <w:t>3)</w:t>
      </w:r>
      <w:r w:rsidRPr="009E5B39">
        <w:rPr>
          <w:rFonts w:asciiTheme="majorHAnsi" w:hAnsiTheme="majorHAnsi" w:cstheme="majorHAnsi"/>
          <w:i/>
          <w:sz w:val="24"/>
          <w:szCs w:val="24"/>
          <w:lang w:val="ro-MD"/>
        </w:rPr>
        <w:t xml:space="preserve"> La situația din 01.01.2020, creanța înregistrată de către SRL „Ianus” este de </w:t>
      </w:r>
      <w:r w:rsidRPr="009E5B39">
        <w:rPr>
          <w:rFonts w:asciiTheme="majorHAnsi" w:hAnsiTheme="majorHAnsi" w:cstheme="majorHAnsi"/>
          <w:b/>
          <w:i/>
          <w:sz w:val="24"/>
          <w:szCs w:val="24"/>
          <w:lang w:val="ro-MD"/>
        </w:rPr>
        <w:t>13098,6 mii lei,</w:t>
      </w:r>
      <w:r w:rsidRPr="009E5B39">
        <w:rPr>
          <w:rFonts w:asciiTheme="majorHAnsi" w:hAnsiTheme="majorHAnsi" w:cstheme="majorHAnsi"/>
          <w:i/>
          <w:sz w:val="24"/>
          <w:szCs w:val="24"/>
          <w:lang w:val="ro-MD"/>
        </w:rPr>
        <w:t xml:space="preserve"> datorie acumulată pe parcursul a 11 ani. În această perioad</w:t>
      </w:r>
      <w:r w:rsidR="001849BD" w:rsidRPr="009E5B39">
        <w:rPr>
          <w:rFonts w:asciiTheme="majorHAnsi" w:hAnsiTheme="majorHAnsi" w:cstheme="majorHAnsi"/>
          <w:i/>
          <w:sz w:val="24"/>
          <w:szCs w:val="24"/>
          <w:lang w:val="ro-MD"/>
        </w:rPr>
        <w:t xml:space="preserve">ă, </w:t>
      </w:r>
      <w:r w:rsidRPr="009E5B39">
        <w:rPr>
          <w:rFonts w:asciiTheme="majorHAnsi" w:hAnsiTheme="majorHAnsi" w:cstheme="majorHAnsi"/>
          <w:i/>
          <w:sz w:val="24"/>
          <w:szCs w:val="24"/>
          <w:lang w:val="ro-MD"/>
        </w:rPr>
        <w:t>în care SRL „Ianus” a închiriat spații comerciale în incinta pasajului subteran pietonal din str. Ismail – bd. Ștefan cel Mare</w:t>
      </w:r>
      <w:r w:rsidR="001849BD" w:rsidRPr="009E5B39">
        <w:rPr>
          <w:rFonts w:asciiTheme="majorHAnsi" w:hAnsiTheme="majorHAnsi" w:cstheme="majorHAnsi"/>
          <w:i/>
          <w:sz w:val="24"/>
          <w:szCs w:val="24"/>
          <w:lang w:val="ro-MD"/>
        </w:rPr>
        <w:t xml:space="preserve"> și Sfânt</w:t>
      </w:r>
      <w:r w:rsidRPr="009E5B39">
        <w:rPr>
          <w:rFonts w:asciiTheme="majorHAnsi" w:hAnsiTheme="majorHAnsi" w:cstheme="majorHAnsi"/>
          <w:i/>
          <w:sz w:val="24"/>
          <w:szCs w:val="24"/>
          <w:lang w:val="ro-MD"/>
        </w:rPr>
        <w:t xml:space="preserve">, acesta a achitat în bugetul municipal doar </w:t>
      </w:r>
      <w:r w:rsidRPr="009E5B39">
        <w:rPr>
          <w:rFonts w:asciiTheme="majorHAnsi" w:hAnsiTheme="majorHAnsi" w:cstheme="majorHAnsi"/>
          <w:b/>
          <w:i/>
          <w:sz w:val="24"/>
          <w:szCs w:val="24"/>
          <w:lang w:val="ro-MD"/>
        </w:rPr>
        <w:t>186,1 mii lei</w:t>
      </w:r>
      <w:r w:rsidRPr="009E5B39">
        <w:rPr>
          <w:rFonts w:asciiTheme="majorHAnsi" w:hAnsiTheme="majorHAnsi" w:cstheme="majorHAnsi"/>
          <w:i/>
          <w:sz w:val="24"/>
          <w:szCs w:val="24"/>
          <w:lang w:val="ro-MD"/>
        </w:rPr>
        <w:t>, ce constituie puțin peste 1% din suma total</w:t>
      </w:r>
      <w:r w:rsidR="001849BD" w:rsidRPr="009E5B39">
        <w:rPr>
          <w:rFonts w:asciiTheme="majorHAnsi" w:hAnsiTheme="majorHAnsi" w:cstheme="majorHAnsi"/>
          <w:i/>
          <w:sz w:val="24"/>
          <w:szCs w:val="24"/>
          <w:lang w:val="ro-MD"/>
        </w:rPr>
        <w:t xml:space="preserve">ă </w:t>
      </w:r>
      <w:r w:rsidRPr="009E5B39">
        <w:rPr>
          <w:rFonts w:asciiTheme="majorHAnsi" w:hAnsiTheme="majorHAnsi" w:cstheme="majorHAnsi"/>
          <w:i/>
          <w:sz w:val="24"/>
          <w:szCs w:val="24"/>
          <w:lang w:val="ro-MD"/>
        </w:rPr>
        <w:t xml:space="preserve"> calculată.</w:t>
      </w:r>
      <w:r w:rsidRPr="009E5B39">
        <w:rPr>
          <w:rFonts w:asciiTheme="majorHAnsi" w:hAnsiTheme="majorHAnsi" w:cstheme="majorHAnsi"/>
          <w:sz w:val="24"/>
          <w:szCs w:val="24"/>
          <w:lang w:val="ro-MD"/>
        </w:rPr>
        <w:t xml:space="preserve"> Probele de audit denotă că</w:t>
      </w:r>
      <w:r w:rsidR="001849B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anul 2020, DGTPCC a corectat</w:t>
      </w:r>
      <w:r w:rsidR="001849B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prin diminuare cu 6164,3 mii lei, creanța înregistrată de către SRL „Ianus”, aceasta fiind corelată cu Hotărârea finală a instanței de judecată, prin care a fost recunoscută creanța în sumă de 2869,7 mii lei (din 9034,0 mii lei – creanța înregistrată la situația din 30.04.2016 la data depunerii cererii de chemare în judecată). Potrivit datelor reflectate în evidența contabilă a DGTPCC la situația din 30.04.2022, creanța SRL </w:t>
      </w:r>
      <w:r w:rsidR="001849B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Ianus</w:t>
      </w:r>
      <w:r w:rsidR="001849B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constituie 9275,9 mii lei. </w:t>
      </w:r>
    </w:p>
    <w:p w14:paraId="7277B680" w14:textId="2962383E" w:rsidR="00723D5F" w:rsidRPr="009E5B39" w:rsidRDefault="00723D5F" w:rsidP="003C5073">
      <w:pPr>
        <w:spacing w:after="0" w:line="276" w:lineRule="auto"/>
        <w:ind w:firstLine="410"/>
        <w:jc w:val="both"/>
        <w:rPr>
          <w:lang w:val="ro-MD"/>
        </w:rPr>
      </w:pPr>
      <w:r w:rsidRPr="009E5B39">
        <w:rPr>
          <w:rFonts w:asciiTheme="majorHAnsi" w:hAnsiTheme="majorHAnsi" w:cstheme="majorHAnsi"/>
          <w:sz w:val="24"/>
          <w:szCs w:val="24"/>
          <w:lang w:val="ro-MD"/>
        </w:rPr>
        <w:t>Auditul atestă că în hotărârile instanței de judecată nu a fost argumentat</w:t>
      </w:r>
      <w:r w:rsidR="00775C82"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necesitatea privind aplicarea coeficienților de piață K4 pe perioada de când contractele de locațiune a spațiilor publice era</w:t>
      </w:r>
      <w:r w:rsidR="00775C82" w:rsidRPr="009E5B39">
        <w:rPr>
          <w:rFonts w:asciiTheme="majorHAnsi" w:hAnsiTheme="majorHAnsi" w:cstheme="majorHAnsi"/>
          <w:sz w:val="24"/>
          <w:szCs w:val="24"/>
          <w:lang w:val="ro-MD"/>
        </w:rPr>
        <w:t>u</w:t>
      </w:r>
      <w:r w:rsidRPr="009E5B39">
        <w:rPr>
          <w:rFonts w:asciiTheme="majorHAnsi" w:hAnsiTheme="majorHAnsi" w:cstheme="majorHAnsi"/>
          <w:sz w:val="24"/>
          <w:szCs w:val="24"/>
          <w:lang w:val="ro-MD"/>
        </w:rPr>
        <w:t xml:space="preserve"> expirat</w:t>
      </w:r>
      <w:r w:rsidR="00775C82"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 perioada de la 01.07.2006 până la 30.04.2016. Astfel, din cauza existenței unei hotărâri a Curții Supreme de Justiție finale și irevocabile</w:t>
      </w:r>
      <w:r w:rsidR="00775C82"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diferența creanței în sumă de </w:t>
      </w:r>
      <w:r w:rsidRPr="009E5B39">
        <w:rPr>
          <w:rFonts w:asciiTheme="majorHAnsi" w:hAnsiTheme="majorHAnsi" w:cstheme="majorHAnsi"/>
          <w:b/>
          <w:sz w:val="24"/>
          <w:szCs w:val="24"/>
          <w:lang w:val="ro-MD"/>
        </w:rPr>
        <w:t>6164,3 mii lei</w:t>
      </w:r>
      <w:r w:rsidRPr="009E5B39">
        <w:rPr>
          <w:rFonts w:asciiTheme="majorHAnsi" w:hAnsiTheme="majorHAnsi" w:cstheme="majorHAnsi"/>
          <w:sz w:val="24"/>
          <w:szCs w:val="24"/>
          <w:lang w:val="ro-MD"/>
        </w:rPr>
        <w:t>, neacceptată de instanța de judecată</w:t>
      </w:r>
      <w:r w:rsidR="00775C82"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nu va mai putea fi recuperată. Pentru perioada </w:t>
      </w:r>
      <w:r w:rsidR="00775C82" w:rsidRPr="009E5B39">
        <w:rPr>
          <w:rFonts w:asciiTheme="majorHAnsi" w:hAnsiTheme="majorHAnsi" w:cstheme="majorHAnsi"/>
          <w:sz w:val="24"/>
          <w:szCs w:val="24"/>
          <w:lang w:val="ro-MD"/>
        </w:rPr>
        <w:t xml:space="preserve">de la </w:t>
      </w:r>
      <w:r w:rsidRPr="009E5B39">
        <w:rPr>
          <w:rFonts w:asciiTheme="majorHAnsi" w:hAnsiTheme="majorHAnsi" w:cstheme="majorHAnsi"/>
          <w:sz w:val="24"/>
          <w:szCs w:val="24"/>
          <w:lang w:val="ro-MD"/>
        </w:rPr>
        <w:t>01.05.2016 până la 31.12.2020, DGTPCC a calculat plata pentru folosința neautorizată a spațiilor proprietate publică (în lipsa acordului proprietarului CMC)</w:t>
      </w:r>
      <w:r w:rsidR="00775C82"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potrivit datelor reflectate în evidența contabilă, în sumă totală de </w:t>
      </w:r>
      <w:r w:rsidRPr="009E5B39">
        <w:rPr>
          <w:rFonts w:asciiTheme="majorHAnsi" w:hAnsiTheme="majorHAnsi" w:cstheme="majorHAnsi"/>
          <w:b/>
          <w:sz w:val="24"/>
          <w:szCs w:val="24"/>
          <w:lang w:val="ro-MD"/>
        </w:rPr>
        <w:t>5254,3 mii lei.</w:t>
      </w:r>
      <w:r w:rsidRPr="009E5B39">
        <w:rPr>
          <w:rFonts w:asciiTheme="majorHAnsi" w:hAnsiTheme="majorHAnsi" w:cstheme="majorHAnsi"/>
          <w:sz w:val="24"/>
          <w:szCs w:val="24"/>
          <w:lang w:val="ro-MD"/>
        </w:rPr>
        <w:t xml:space="preserve"> De menționat că DGTPCC a continuat și în perioadele ulterioare, anul 2021 – 2022 (4 luni), calcularea plății </w:t>
      </w:r>
      <w:r w:rsidR="00775C82" w:rsidRPr="009E5B39">
        <w:rPr>
          <w:rFonts w:asciiTheme="majorHAnsi" w:hAnsiTheme="majorHAnsi" w:cstheme="majorHAnsi"/>
          <w:sz w:val="24"/>
          <w:szCs w:val="24"/>
          <w:lang w:val="ro-MD"/>
        </w:rPr>
        <w:t>pentru</w:t>
      </w:r>
      <w:r w:rsidRPr="009E5B39">
        <w:rPr>
          <w:rFonts w:asciiTheme="majorHAnsi" w:hAnsiTheme="majorHAnsi" w:cstheme="majorHAnsi"/>
          <w:sz w:val="24"/>
          <w:szCs w:val="24"/>
          <w:lang w:val="ro-MD"/>
        </w:rPr>
        <w:t xml:space="preserve"> arendă în cuantum de 83,6 mii lei/lună, sau în sumă totală de </w:t>
      </w:r>
      <w:r w:rsidRPr="009E5B39">
        <w:rPr>
          <w:rFonts w:asciiTheme="majorHAnsi" w:hAnsiTheme="majorHAnsi" w:cstheme="majorHAnsi"/>
          <w:b/>
          <w:sz w:val="24"/>
          <w:szCs w:val="24"/>
          <w:lang w:val="ro-MD"/>
        </w:rPr>
        <w:t>1338,0 mii lei</w:t>
      </w:r>
      <w:r w:rsidRPr="009E5B39">
        <w:rPr>
          <w:rFonts w:asciiTheme="majorHAnsi" w:hAnsiTheme="majorHAnsi" w:cstheme="majorHAnsi"/>
          <w:sz w:val="24"/>
          <w:szCs w:val="24"/>
          <w:lang w:val="ro-MD"/>
        </w:rPr>
        <w:t>.</w:t>
      </w:r>
    </w:p>
    <w:p w14:paraId="79E9A562" w14:textId="77777777" w:rsidR="008107EA" w:rsidRPr="009E5B39" w:rsidRDefault="008107EA" w:rsidP="003E291B">
      <w:pPr>
        <w:spacing w:after="0"/>
        <w:jc w:val="right"/>
        <w:rPr>
          <w:rFonts w:asciiTheme="majorHAnsi" w:hAnsiTheme="majorHAnsi" w:cstheme="majorHAnsi"/>
          <w:b/>
          <w:i/>
          <w:sz w:val="24"/>
          <w:szCs w:val="24"/>
          <w:lang w:val="ro-MD"/>
        </w:rPr>
        <w:sectPr w:rsidR="008107EA" w:rsidRPr="009E5B39" w:rsidSect="003E291B">
          <w:pgSz w:w="11907" w:h="16840" w:code="9"/>
          <w:pgMar w:top="1134" w:right="851" w:bottom="1134" w:left="1701" w:header="709" w:footer="709" w:gutter="0"/>
          <w:cols w:space="708"/>
          <w:docGrid w:linePitch="360"/>
        </w:sectPr>
      </w:pPr>
    </w:p>
    <w:p w14:paraId="4C9354EB" w14:textId="38145DCB" w:rsidR="008107EA" w:rsidRPr="009E5B39" w:rsidRDefault="008107EA" w:rsidP="008107EA">
      <w:pPr>
        <w:keepNext/>
        <w:keepLines/>
        <w:spacing w:after="0"/>
        <w:jc w:val="right"/>
        <w:outlineLvl w:val="0"/>
        <w:rPr>
          <w:rFonts w:asciiTheme="majorHAnsi" w:eastAsiaTheme="majorEastAsia" w:hAnsiTheme="majorHAnsi" w:cstheme="majorHAnsi"/>
          <w:b/>
          <w:sz w:val="32"/>
          <w:szCs w:val="32"/>
          <w:lang w:val="ro-MD"/>
        </w:rPr>
      </w:pPr>
      <w:bookmarkStart w:id="31" w:name="_Toc116026896"/>
      <w:r w:rsidRPr="009E5B39">
        <w:rPr>
          <w:rFonts w:asciiTheme="majorHAnsi" w:eastAsiaTheme="majorEastAsia" w:hAnsiTheme="majorHAnsi" w:cstheme="majorHAnsi"/>
          <w:b/>
          <w:sz w:val="32"/>
          <w:szCs w:val="32"/>
          <w:lang w:val="ro-MD"/>
        </w:rPr>
        <w:t>Anexa nr.</w:t>
      </w:r>
      <w:r w:rsidR="00FB52F4" w:rsidRPr="009E5B39">
        <w:rPr>
          <w:rFonts w:asciiTheme="majorHAnsi" w:eastAsiaTheme="majorEastAsia" w:hAnsiTheme="majorHAnsi" w:cstheme="majorHAnsi"/>
          <w:b/>
          <w:sz w:val="32"/>
          <w:szCs w:val="32"/>
          <w:lang w:val="ro-MD"/>
        </w:rPr>
        <w:t>14</w:t>
      </w:r>
      <w:bookmarkEnd w:id="31"/>
    </w:p>
    <w:p w14:paraId="4B2D8D58" w14:textId="77777777" w:rsidR="008107EA" w:rsidRPr="009E5B39" w:rsidRDefault="008107EA" w:rsidP="008107EA">
      <w:pPr>
        <w:jc w:val="center"/>
        <w:rPr>
          <w:rFonts w:asciiTheme="majorHAnsi" w:hAnsiTheme="majorHAnsi" w:cstheme="majorHAnsi"/>
          <w:b/>
          <w:sz w:val="24"/>
          <w:szCs w:val="24"/>
          <w:lang w:val="ro-MD"/>
        </w:rPr>
      </w:pPr>
      <w:r w:rsidRPr="009E5B39">
        <w:rPr>
          <w:rFonts w:asciiTheme="majorHAnsi" w:hAnsiTheme="majorHAnsi" w:cstheme="majorHAnsi"/>
          <w:b/>
          <w:sz w:val="24"/>
          <w:szCs w:val="24"/>
          <w:lang w:val="ro-MD"/>
        </w:rPr>
        <w:t>Vânzarea-cumpărarea terenurilor</w:t>
      </w:r>
    </w:p>
    <w:tbl>
      <w:tblPr>
        <w:tblW w:w="14034" w:type="dxa"/>
        <w:tblInd w:w="704" w:type="dxa"/>
        <w:tblLayout w:type="fixed"/>
        <w:tblLook w:val="04A0" w:firstRow="1" w:lastRow="0" w:firstColumn="1" w:lastColumn="0" w:noHBand="0" w:noVBand="1"/>
      </w:tblPr>
      <w:tblGrid>
        <w:gridCol w:w="460"/>
        <w:gridCol w:w="958"/>
        <w:gridCol w:w="993"/>
        <w:gridCol w:w="1275"/>
        <w:gridCol w:w="1843"/>
        <w:gridCol w:w="1134"/>
        <w:gridCol w:w="851"/>
        <w:gridCol w:w="1134"/>
        <w:gridCol w:w="1701"/>
        <w:gridCol w:w="1134"/>
        <w:gridCol w:w="1134"/>
        <w:gridCol w:w="1417"/>
      </w:tblGrid>
      <w:tr w:rsidR="008107EA" w:rsidRPr="009E5B39" w14:paraId="2D476ACF" w14:textId="77777777" w:rsidTr="001F48A2">
        <w:trPr>
          <w:trHeight w:val="2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437DF" w14:textId="5A40529E" w:rsidR="008107EA" w:rsidRPr="009E5B39" w:rsidRDefault="008107EA">
            <w:pPr>
              <w:spacing w:after="0" w:line="240" w:lineRule="auto"/>
              <w:jc w:val="center"/>
              <w:rPr>
                <w:rFonts w:asciiTheme="majorHAnsi" w:eastAsia="Times New Roman" w:hAnsiTheme="majorHAnsi" w:cstheme="majorHAnsi"/>
                <w:b/>
                <w:bCs/>
                <w:sz w:val="16"/>
                <w:szCs w:val="16"/>
                <w:lang w:val="ro-MD" w:eastAsia="ru-RU"/>
              </w:rPr>
            </w:pPr>
            <w:r w:rsidRPr="009E5B39">
              <w:rPr>
                <w:rFonts w:asciiTheme="majorHAnsi" w:eastAsia="Times New Roman" w:hAnsiTheme="majorHAnsi" w:cstheme="majorHAnsi"/>
                <w:b/>
                <w:bCs/>
                <w:sz w:val="16"/>
                <w:szCs w:val="16"/>
                <w:lang w:val="ro-MD" w:eastAsia="ru-RU"/>
              </w:rPr>
              <w:t>N</w:t>
            </w:r>
            <w:r w:rsidR="005C6936" w:rsidRPr="009E5B39">
              <w:rPr>
                <w:rFonts w:asciiTheme="majorHAnsi" w:eastAsia="Times New Roman" w:hAnsiTheme="majorHAnsi" w:cstheme="majorHAnsi"/>
                <w:b/>
                <w:bCs/>
                <w:sz w:val="16"/>
                <w:szCs w:val="16"/>
                <w:lang w:val="ro-MD" w:eastAsia="ru-RU"/>
              </w:rPr>
              <w:t>r. d/o</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2A3023C1" w14:textId="77777777" w:rsidR="008107EA" w:rsidRPr="009E5B39" w:rsidRDefault="008107EA">
            <w:pPr>
              <w:spacing w:after="0" w:line="240" w:lineRule="auto"/>
              <w:jc w:val="center"/>
              <w:rPr>
                <w:rFonts w:asciiTheme="majorHAnsi" w:eastAsia="Times New Roman" w:hAnsiTheme="majorHAnsi" w:cstheme="majorHAnsi"/>
                <w:b/>
                <w:bCs/>
                <w:sz w:val="16"/>
                <w:szCs w:val="16"/>
                <w:lang w:val="ro-MD" w:eastAsia="ru-RU"/>
              </w:rPr>
            </w:pPr>
            <w:r w:rsidRPr="009E5B39">
              <w:rPr>
                <w:rFonts w:asciiTheme="majorHAnsi" w:eastAsia="Times New Roman" w:hAnsiTheme="majorHAnsi" w:cstheme="majorHAnsi"/>
                <w:b/>
                <w:bCs/>
                <w:sz w:val="16"/>
                <w:szCs w:val="16"/>
                <w:lang w:val="ro-MD" w:eastAsia="ru-RU"/>
              </w:rPr>
              <w:t>Nr. deciziei CMC</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3D8705E" w14:textId="77777777" w:rsidR="008107EA" w:rsidRPr="009E5B39" w:rsidRDefault="008107EA">
            <w:pPr>
              <w:spacing w:after="0" w:line="240" w:lineRule="auto"/>
              <w:jc w:val="center"/>
              <w:rPr>
                <w:rFonts w:asciiTheme="majorHAnsi" w:eastAsia="Times New Roman" w:hAnsiTheme="majorHAnsi" w:cstheme="majorHAnsi"/>
                <w:b/>
                <w:bCs/>
                <w:sz w:val="16"/>
                <w:szCs w:val="16"/>
                <w:lang w:val="ro-MD" w:eastAsia="ru-RU"/>
              </w:rPr>
            </w:pPr>
            <w:r w:rsidRPr="009E5B39">
              <w:rPr>
                <w:rFonts w:asciiTheme="majorHAnsi" w:eastAsia="Times New Roman" w:hAnsiTheme="majorHAnsi" w:cstheme="majorHAnsi"/>
                <w:b/>
                <w:bCs/>
                <w:sz w:val="16"/>
                <w:szCs w:val="16"/>
                <w:lang w:val="ro-MD" w:eastAsia="ru-RU"/>
              </w:rPr>
              <w:t>Data deciziei CMC</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15B8409" w14:textId="77777777" w:rsidR="008107EA" w:rsidRPr="009E5B39" w:rsidRDefault="008107EA">
            <w:pPr>
              <w:spacing w:after="0" w:line="240" w:lineRule="auto"/>
              <w:jc w:val="center"/>
              <w:rPr>
                <w:rFonts w:asciiTheme="majorHAnsi" w:eastAsia="Times New Roman" w:hAnsiTheme="majorHAnsi" w:cstheme="majorHAnsi"/>
                <w:b/>
                <w:bCs/>
                <w:sz w:val="16"/>
                <w:szCs w:val="16"/>
                <w:lang w:val="ro-MD" w:eastAsia="ru-RU"/>
              </w:rPr>
            </w:pPr>
            <w:r w:rsidRPr="009E5B39">
              <w:rPr>
                <w:rFonts w:asciiTheme="majorHAnsi" w:eastAsia="Times New Roman" w:hAnsiTheme="majorHAnsi" w:cstheme="majorHAnsi"/>
                <w:b/>
                <w:bCs/>
                <w:sz w:val="16"/>
                <w:szCs w:val="16"/>
                <w:lang w:val="ro-MD" w:eastAsia="ru-RU"/>
              </w:rPr>
              <w:t>Cumpărătorul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EE54ED2" w14:textId="77777777" w:rsidR="008107EA" w:rsidRPr="009E5B39" w:rsidRDefault="008107EA">
            <w:pPr>
              <w:spacing w:after="0" w:line="240" w:lineRule="auto"/>
              <w:jc w:val="center"/>
              <w:rPr>
                <w:rFonts w:asciiTheme="majorHAnsi" w:eastAsia="Times New Roman" w:hAnsiTheme="majorHAnsi" w:cstheme="majorHAnsi"/>
                <w:b/>
                <w:bCs/>
                <w:sz w:val="16"/>
                <w:szCs w:val="16"/>
                <w:lang w:val="ro-MD" w:eastAsia="ru-RU"/>
              </w:rPr>
            </w:pPr>
            <w:r w:rsidRPr="009E5B39">
              <w:rPr>
                <w:rFonts w:asciiTheme="majorHAnsi" w:eastAsia="Times New Roman" w:hAnsiTheme="majorHAnsi" w:cstheme="majorHAnsi"/>
                <w:b/>
                <w:bCs/>
                <w:sz w:val="16"/>
                <w:szCs w:val="16"/>
                <w:lang w:val="ro-MD" w:eastAsia="ru-RU"/>
              </w:rPr>
              <w:t>Teren aferent/adiacent/licitație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0DAA61" w14:textId="77777777" w:rsidR="008107EA" w:rsidRPr="009E5B39" w:rsidRDefault="008107EA">
            <w:pPr>
              <w:spacing w:after="0" w:line="240" w:lineRule="auto"/>
              <w:jc w:val="center"/>
              <w:rPr>
                <w:rFonts w:asciiTheme="majorHAnsi" w:eastAsia="Times New Roman" w:hAnsiTheme="majorHAnsi" w:cstheme="majorHAnsi"/>
                <w:b/>
                <w:bCs/>
                <w:sz w:val="16"/>
                <w:szCs w:val="16"/>
                <w:lang w:val="ro-MD" w:eastAsia="ru-RU"/>
              </w:rPr>
            </w:pPr>
            <w:r w:rsidRPr="009E5B39">
              <w:rPr>
                <w:rFonts w:asciiTheme="majorHAnsi" w:eastAsia="Times New Roman" w:hAnsiTheme="majorHAnsi" w:cstheme="majorHAnsi"/>
                <w:b/>
                <w:bCs/>
                <w:sz w:val="16"/>
                <w:szCs w:val="16"/>
                <w:lang w:val="ro-MD" w:eastAsia="ru-RU"/>
              </w:rPr>
              <w:t>Cod cadastral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D4E07C9" w14:textId="77777777" w:rsidR="008107EA" w:rsidRPr="009E5B39" w:rsidRDefault="008107EA">
            <w:pPr>
              <w:spacing w:after="0" w:line="240" w:lineRule="auto"/>
              <w:jc w:val="center"/>
              <w:rPr>
                <w:rFonts w:asciiTheme="majorHAnsi" w:eastAsia="Times New Roman" w:hAnsiTheme="majorHAnsi" w:cstheme="majorHAnsi"/>
                <w:b/>
                <w:bCs/>
                <w:sz w:val="16"/>
                <w:szCs w:val="16"/>
                <w:lang w:val="ro-MD" w:eastAsia="ru-RU"/>
              </w:rPr>
            </w:pPr>
            <w:r w:rsidRPr="009E5B39">
              <w:rPr>
                <w:rFonts w:asciiTheme="majorHAnsi" w:eastAsia="Times New Roman" w:hAnsiTheme="majorHAnsi" w:cstheme="majorHAnsi"/>
                <w:b/>
                <w:bCs/>
                <w:sz w:val="16"/>
                <w:szCs w:val="16"/>
                <w:lang w:val="ro-MD" w:eastAsia="ru-RU"/>
              </w:rPr>
              <w:t>Prețul de vânzare-cumpărare (mii lei)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8D5482" w14:textId="77777777" w:rsidR="008107EA" w:rsidRPr="009E5B39" w:rsidRDefault="008107EA">
            <w:pPr>
              <w:spacing w:after="0" w:line="240" w:lineRule="auto"/>
              <w:jc w:val="center"/>
              <w:rPr>
                <w:rFonts w:asciiTheme="majorHAnsi" w:eastAsia="Times New Roman" w:hAnsiTheme="majorHAnsi" w:cstheme="majorHAnsi"/>
                <w:b/>
                <w:bCs/>
                <w:sz w:val="16"/>
                <w:szCs w:val="16"/>
                <w:lang w:val="ro-MD" w:eastAsia="ru-RU"/>
              </w:rPr>
            </w:pPr>
            <w:r w:rsidRPr="009E5B39">
              <w:rPr>
                <w:rFonts w:asciiTheme="majorHAnsi" w:eastAsia="Times New Roman" w:hAnsiTheme="majorHAnsi" w:cstheme="majorHAnsi"/>
                <w:b/>
                <w:bCs/>
                <w:sz w:val="16"/>
                <w:szCs w:val="16"/>
                <w:lang w:val="ro-MD" w:eastAsia="ru-RU"/>
              </w:rPr>
              <w:t>Suprafața (ha)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9EFB255" w14:textId="77777777" w:rsidR="008107EA" w:rsidRPr="009E5B39" w:rsidRDefault="008107EA">
            <w:pPr>
              <w:spacing w:after="0" w:line="240" w:lineRule="auto"/>
              <w:jc w:val="center"/>
              <w:rPr>
                <w:rFonts w:asciiTheme="majorHAnsi" w:eastAsia="Times New Roman" w:hAnsiTheme="majorHAnsi" w:cstheme="majorHAnsi"/>
                <w:b/>
                <w:bCs/>
                <w:sz w:val="16"/>
                <w:szCs w:val="16"/>
                <w:lang w:val="ro-MD" w:eastAsia="ru-RU"/>
              </w:rPr>
            </w:pPr>
            <w:r w:rsidRPr="009E5B39">
              <w:rPr>
                <w:rFonts w:asciiTheme="majorHAnsi" w:eastAsia="Times New Roman" w:hAnsiTheme="majorHAnsi" w:cstheme="majorHAnsi"/>
                <w:b/>
                <w:bCs/>
                <w:sz w:val="16"/>
                <w:szCs w:val="16"/>
                <w:lang w:val="ro-MD" w:eastAsia="ru-RU"/>
              </w:rPr>
              <w:t>Adresa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9915B6" w14:textId="6E9F9297" w:rsidR="008107EA" w:rsidRPr="009E5B39" w:rsidRDefault="008107EA">
            <w:pPr>
              <w:spacing w:after="0" w:line="240" w:lineRule="auto"/>
              <w:jc w:val="center"/>
              <w:rPr>
                <w:rFonts w:asciiTheme="majorHAnsi" w:eastAsia="Times New Roman" w:hAnsiTheme="majorHAnsi" w:cstheme="majorHAnsi"/>
                <w:b/>
                <w:bCs/>
                <w:sz w:val="16"/>
                <w:szCs w:val="16"/>
                <w:lang w:val="ro-MD" w:eastAsia="ru-RU"/>
              </w:rPr>
            </w:pPr>
            <w:r w:rsidRPr="009E5B39">
              <w:rPr>
                <w:rFonts w:asciiTheme="majorHAnsi" w:eastAsia="Times New Roman" w:hAnsiTheme="majorHAnsi" w:cstheme="majorHAnsi"/>
                <w:b/>
                <w:bCs/>
                <w:sz w:val="16"/>
                <w:szCs w:val="16"/>
                <w:lang w:val="ro-MD" w:eastAsia="ru-RU"/>
              </w:rPr>
              <w:t xml:space="preserve">Prețul </w:t>
            </w:r>
            <w:r w:rsidR="00D77169" w:rsidRPr="009E5B39">
              <w:rPr>
                <w:rFonts w:asciiTheme="majorHAnsi" w:eastAsia="Times New Roman" w:hAnsiTheme="majorHAnsi" w:cstheme="majorHAnsi"/>
                <w:b/>
                <w:bCs/>
                <w:sz w:val="16"/>
                <w:szCs w:val="16"/>
                <w:lang w:val="ro-MD" w:eastAsia="ru-RU"/>
              </w:rPr>
              <w:t>de v</w:t>
            </w:r>
            <w:r w:rsidR="005C6936" w:rsidRPr="009E5B39">
              <w:rPr>
                <w:rFonts w:asciiTheme="majorHAnsi" w:eastAsia="Times New Roman" w:hAnsiTheme="majorHAnsi" w:cstheme="majorHAnsi"/>
                <w:b/>
                <w:bCs/>
                <w:sz w:val="16"/>
                <w:szCs w:val="16"/>
                <w:lang w:val="ro-MD" w:eastAsia="ru-RU"/>
              </w:rPr>
              <w:t>â</w:t>
            </w:r>
            <w:r w:rsidR="00D77169" w:rsidRPr="009E5B39">
              <w:rPr>
                <w:rFonts w:asciiTheme="majorHAnsi" w:eastAsia="Times New Roman" w:hAnsiTheme="majorHAnsi" w:cstheme="majorHAnsi"/>
                <w:b/>
                <w:bCs/>
                <w:sz w:val="16"/>
                <w:szCs w:val="16"/>
                <w:lang w:val="ro-MD" w:eastAsia="ru-RU"/>
              </w:rPr>
              <w:t xml:space="preserve">nzare </w:t>
            </w:r>
            <w:r w:rsidRPr="009E5B39">
              <w:rPr>
                <w:rFonts w:asciiTheme="majorHAnsi" w:eastAsia="Times New Roman" w:hAnsiTheme="majorHAnsi" w:cstheme="majorHAnsi"/>
                <w:b/>
                <w:bCs/>
                <w:sz w:val="16"/>
                <w:szCs w:val="16"/>
                <w:lang w:val="ro-MD" w:eastAsia="ru-RU"/>
              </w:rPr>
              <w:t xml:space="preserve">pentru </w:t>
            </w:r>
            <w:r w:rsidR="005C6936" w:rsidRPr="009E5B39">
              <w:rPr>
                <w:rFonts w:asciiTheme="majorHAnsi" w:eastAsia="Times New Roman" w:hAnsiTheme="majorHAnsi" w:cstheme="majorHAnsi"/>
                <w:b/>
                <w:bCs/>
                <w:sz w:val="16"/>
                <w:szCs w:val="16"/>
                <w:lang w:val="ro-MD" w:eastAsia="ru-RU"/>
              </w:rPr>
              <w:t>1</w:t>
            </w:r>
            <w:r w:rsidRPr="009E5B39">
              <w:rPr>
                <w:rFonts w:asciiTheme="majorHAnsi" w:eastAsia="Times New Roman" w:hAnsiTheme="majorHAnsi" w:cstheme="majorHAnsi"/>
                <w:b/>
                <w:bCs/>
                <w:sz w:val="16"/>
                <w:szCs w:val="16"/>
                <w:lang w:val="ro-MD" w:eastAsia="ru-RU"/>
              </w:rPr>
              <w:t xml:space="preserve"> ha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E2AEBF" w14:textId="77777777" w:rsidR="008107EA" w:rsidRPr="009E5B39" w:rsidRDefault="008107EA">
            <w:pPr>
              <w:spacing w:after="0" w:line="240" w:lineRule="auto"/>
              <w:jc w:val="center"/>
              <w:rPr>
                <w:rFonts w:asciiTheme="majorHAnsi" w:eastAsia="Times New Roman" w:hAnsiTheme="majorHAnsi" w:cstheme="majorHAnsi"/>
                <w:b/>
                <w:bCs/>
                <w:sz w:val="16"/>
                <w:szCs w:val="16"/>
                <w:lang w:val="ro-MD" w:eastAsia="ru-RU"/>
              </w:rPr>
            </w:pPr>
            <w:r w:rsidRPr="009E5B39">
              <w:rPr>
                <w:rFonts w:asciiTheme="majorHAnsi" w:eastAsia="Times New Roman" w:hAnsiTheme="majorHAnsi" w:cstheme="majorHAnsi"/>
                <w:b/>
                <w:bCs/>
                <w:sz w:val="16"/>
                <w:szCs w:val="16"/>
                <w:lang w:val="ro-MD" w:eastAsia="ru-RU"/>
              </w:rPr>
              <w:t>Prețul inițial la licitație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556C81A" w14:textId="7AC7A80F" w:rsidR="008107EA" w:rsidRPr="009E5B39" w:rsidRDefault="008107EA">
            <w:pPr>
              <w:spacing w:after="0" w:line="240" w:lineRule="auto"/>
              <w:jc w:val="center"/>
              <w:rPr>
                <w:rFonts w:asciiTheme="majorHAnsi" w:eastAsia="Times New Roman" w:hAnsiTheme="majorHAnsi" w:cstheme="majorHAnsi"/>
                <w:b/>
                <w:bCs/>
                <w:sz w:val="16"/>
                <w:szCs w:val="16"/>
                <w:lang w:val="ro-MD" w:eastAsia="ru-RU"/>
              </w:rPr>
            </w:pPr>
            <w:r w:rsidRPr="009E5B39">
              <w:rPr>
                <w:rFonts w:asciiTheme="majorHAnsi" w:eastAsia="Times New Roman" w:hAnsiTheme="majorHAnsi" w:cstheme="majorHAnsi"/>
                <w:b/>
                <w:bCs/>
                <w:sz w:val="16"/>
                <w:szCs w:val="16"/>
                <w:lang w:val="ro-MD" w:eastAsia="ru-RU"/>
              </w:rPr>
              <w:t xml:space="preserve">Preț inițial </w:t>
            </w:r>
            <w:r w:rsidR="00D77169" w:rsidRPr="009E5B39">
              <w:rPr>
                <w:rFonts w:asciiTheme="majorHAnsi" w:eastAsia="Times New Roman" w:hAnsiTheme="majorHAnsi" w:cstheme="majorHAnsi"/>
                <w:b/>
                <w:bCs/>
                <w:sz w:val="16"/>
                <w:szCs w:val="16"/>
                <w:lang w:val="ro-MD" w:eastAsia="ru-RU"/>
              </w:rPr>
              <w:t xml:space="preserve">la licitație </w:t>
            </w:r>
            <w:r w:rsidRPr="009E5B39">
              <w:rPr>
                <w:rFonts w:asciiTheme="majorHAnsi" w:eastAsia="Times New Roman" w:hAnsiTheme="majorHAnsi" w:cstheme="majorHAnsi"/>
                <w:b/>
                <w:bCs/>
                <w:sz w:val="16"/>
                <w:szCs w:val="16"/>
                <w:lang w:val="ro-MD" w:eastAsia="ru-RU"/>
              </w:rPr>
              <w:t xml:space="preserve">la </w:t>
            </w:r>
            <w:r w:rsidR="005C6936" w:rsidRPr="009E5B39">
              <w:rPr>
                <w:rFonts w:asciiTheme="majorHAnsi" w:eastAsia="Times New Roman" w:hAnsiTheme="majorHAnsi" w:cstheme="majorHAnsi"/>
                <w:b/>
                <w:bCs/>
                <w:sz w:val="16"/>
                <w:szCs w:val="16"/>
                <w:lang w:val="ro-MD" w:eastAsia="ru-RU"/>
              </w:rPr>
              <w:t>1</w:t>
            </w:r>
            <w:r w:rsidRPr="009E5B39">
              <w:rPr>
                <w:rFonts w:asciiTheme="majorHAnsi" w:eastAsia="Times New Roman" w:hAnsiTheme="majorHAnsi" w:cstheme="majorHAnsi"/>
                <w:b/>
                <w:bCs/>
                <w:sz w:val="16"/>
                <w:szCs w:val="16"/>
                <w:lang w:val="ro-MD" w:eastAsia="ru-RU"/>
              </w:rPr>
              <w:t xml:space="preserve"> ha</w:t>
            </w:r>
          </w:p>
        </w:tc>
      </w:tr>
      <w:tr w:rsidR="008107EA" w:rsidRPr="009E5B39" w14:paraId="61A8F013"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7D9471D"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w:t>
            </w:r>
          </w:p>
        </w:tc>
        <w:tc>
          <w:tcPr>
            <w:tcW w:w="958" w:type="dxa"/>
            <w:tcBorders>
              <w:top w:val="nil"/>
              <w:left w:val="nil"/>
              <w:bottom w:val="single" w:sz="4" w:space="0" w:color="auto"/>
              <w:right w:val="single" w:sz="4" w:space="0" w:color="auto"/>
            </w:tcBorders>
            <w:shd w:val="clear" w:color="auto" w:fill="auto"/>
            <w:vAlign w:val="center"/>
            <w:hideMark/>
          </w:tcPr>
          <w:p w14:paraId="5589FB0D"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9/20</w:t>
            </w:r>
          </w:p>
        </w:tc>
        <w:tc>
          <w:tcPr>
            <w:tcW w:w="993" w:type="dxa"/>
            <w:tcBorders>
              <w:top w:val="nil"/>
              <w:left w:val="nil"/>
              <w:bottom w:val="single" w:sz="4" w:space="0" w:color="auto"/>
              <w:right w:val="single" w:sz="4" w:space="0" w:color="auto"/>
            </w:tcBorders>
            <w:shd w:val="clear" w:color="auto" w:fill="auto"/>
            <w:vAlign w:val="center"/>
            <w:hideMark/>
          </w:tcPr>
          <w:p w14:paraId="2971018F"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16.01.2019</w:t>
            </w:r>
          </w:p>
        </w:tc>
        <w:tc>
          <w:tcPr>
            <w:tcW w:w="1275" w:type="dxa"/>
            <w:tcBorders>
              <w:top w:val="nil"/>
              <w:left w:val="nil"/>
              <w:bottom w:val="single" w:sz="4" w:space="0" w:color="auto"/>
              <w:right w:val="single" w:sz="4" w:space="0" w:color="auto"/>
            </w:tcBorders>
            <w:shd w:val="clear" w:color="auto" w:fill="auto"/>
            <w:vAlign w:val="center"/>
            <w:hideMark/>
          </w:tcPr>
          <w:p w14:paraId="6F558AA3" w14:textId="03B4612C"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SRL„Exfactor</w:t>
            </w:r>
            <w:r w:rsidR="005C6936" w:rsidRPr="009E5B39">
              <w:rPr>
                <w:rFonts w:asciiTheme="majorHAnsi" w:eastAsia="Times New Roman" w:hAnsiTheme="majorHAnsi" w:cstheme="majorHAnsi"/>
                <w:sz w:val="16"/>
                <w:szCs w:val="16"/>
                <w:lang w:val="ro-MD" w:eastAsia="ru-RU"/>
              </w:rPr>
              <w:t>-</w:t>
            </w:r>
            <w:r w:rsidRPr="009E5B39">
              <w:rPr>
                <w:rFonts w:asciiTheme="majorHAnsi" w:eastAsia="Times New Roman" w:hAnsiTheme="majorHAnsi" w:cstheme="majorHAnsi"/>
                <w:sz w:val="16"/>
                <w:szCs w:val="16"/>
                <w:lang w:val="ro-MD" w:eastAsia="ru-RU"/>
              </w:rPr>
              <w:t xml:space="preserve"> Grup”</w:t>
            </w:r>
          </w:p>
        </w:tc>
        <w:tc>
          <w:tcPr>
            <w:tcW w:w="1843" w:type="dxa"/>
            <w:tcBorders>
              <w:top w:val="nil"/>
              <w:left w:val="nil"/>
              <w:bottom w:val="single" w:sz="4" w:space="0" w:color="auto"/>
              <w:right w:val="single" w:sz="4" w:space="0" w:color="auto"/>
            </w:tcBorders>
            <w:shd w:val="clear" w:color="auto" w:fill="auto"/>
            <w:vAlign w:val="center"/>
            <w:hideMark/>
          </w:tcPr>
          <w:p w14:paraId="3FB47831"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Adiacent</w:t>
            </w:r>
          </w:p>
        </w:tc>
        <w:tc>
          <w:tcPr>
            <w:tcW w:w="1134" w:type="dxa"/>
            <w:tcBorders>
              <w:top w:val="nil"/>
              <w:left w:val="nil"/>
              <w:bottom w:val="single" w:sz="4" w:space="0" w:color="auto"/>
              <w:right w:val="single" w:sz="4" w:space="0" w:color="auto"/>
            </w:tcBorders>
            <w:shd w:val="clear" w:color="auto" w:fill="auto"/>
            <w:vAlign w:val="center"/>
            <w:hideMark/>
          </w:tcPr>
          <w:p w14:paraId="0973B5B6"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0100207048</w:t>
            </w:r>
          </w:p>
        </w:tc>
        <w:tc>
          <w:tcPr>
            <w:tcW w:w="851" w:type="dxa"/>
            <w:tcBorders>
              <w:top w:val="nil"/>
              <w:left w:val="nil"/>
              <w:bottom w:val="single" w:sz="4" w:space="0" w:color="auto"/>
              <w:right w:val="single" w:sz="4" w:space="0" w:color="auto"/>
            </w:tcBorders>
            <w:shd w:val="clear" w:color="auto" w:fill="auto"/>
            <w:vAlign w:val="center"/>
            <w:hideMark/>
          </w:tcPr>
          <w:p w14:paraId="370ECCA7"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1 072,64</w:t>
            </w:r>
          </w:p>
        </w:tc>
        <w:tc>
          <w:tcPr>
            <w:tcW w:w="1134" w:type="dxa"/>
            <w:tcBorders>
              <w:top w:val="nil"/>
              <w:left w:val="nil"/>
              <w:bottom w:val="single" w:sz="4" w:space="0" w:color="auto"/>
              <w:right w:val="single" w:sz="4" w:space="0" w:color="auto"/>
            </w:tcBorders>
            <w:shd w:val="clear" w:color="auto" w:fill="auto"/>
            <w:vAlign w:val="center"/>
            <w:hideMark/>
          </w:tcPr>
          <w:p w14:paraId="4DCDEBB9"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0,1820</w:t>
            </w:r>
          </w:p>
        </w:tc>
        <w:tc>
          <w:tcPr>
            <w:tcW w:w="1701" w:type="dxa"/>
            <w:tcBorders>
              <w:top w:val="nil"/>
              <w:left w:val="nil"/>
              <w:bottom w:val="single" w:sz="4" w:space="0" w:color="auto"/>
              <w:right w:val="single" w:sz="4" w:space="0" w:color="auto"/>
            </w:tcBorders>
            <w:shd w:val="clear" w:color="auto" w:fill="auto"/>
            <w:vAlign w:val="center"/>
            <w:hideMark/>
          </w:tcPr>
          <w:p w14:paraId="6FD8F5DD"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C Negruzzi 2</w:t>
            </w:r>
          </w:p>
        </w:tc>
        <w:tc>
          <w:tcPr>
            <w:tcW w:w="1134" w:type="dxa"/>
            <w:tcBorders>
              <w:top w:val="nil"/>
              <w:left w:val="nil"/>
              <w:bottom w:val="single" w:sz="4" w:space="0" w:color="auto"/>
              <w:right w:val="single" w:sz="4" w:space="0" w:color="auto"/>
            </w:tcBorders>
            <w:shd w:val="clear" w:color="auto" w:fill="auto"/>
            <w:vAlign w:val="center"/>
            <w:hideMark/>
          </w:tcPr>
          <w:p w14:paraId="715D216F"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5893,6</w:t>
            </w:r>
          </w:p>
        </w:tc>
        <w:tc>
          <w:tcPr>
            <w:tcW w:w="1134" w:type="dxa"/>
            <w:tcBorders>
              <w:top w:val="nil"/>
              <w:left w:val="nil"/>
              <w:bottom w:val="single" w:sz="4" w:space="0" w:color="auto"/>
              <w:right w:val="single" w:sz="4" w:space="0" w:color="auto"/>
            </w:tcBorders>
            <w:shd w:val="clear" w:color="auto" w:fill="auto"/>
            <w:vAlign w:val="center"/>
            <w:hideMark/>
          </w:tcPr>
          <w:p w14:paraId="1CD88CCC" w14:textId="636B12BA"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A9E301F" w14:textId="1DBA4C41"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1D09AA8E"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90EE870"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w:t>
            </w:r>
          </w:p>
        </w:tc>
        <w:tc>
          <w:tcPr>
            <w:tcW w:w="958" w:type="dxa"/>
            <w:tcBorders>
              <w:top w:val="nil"/>
              <w:left w:val="nil"/>
              <w:bottom w:val="single" w:sz="4" w:space="0" w:color="auto"/>
              <w:right w:val="single" w:sz="4" w:space="0" w:color="auto"/>
            </w:tcBorders>
            <w:shd w:val="clear" w:color="auto" w:fill="auto"/>
            <w:vAlign w:val="center"/>
            <w:hideMark/>
          </w:tcPr>
          <w:p w14:paraId="3BF7DADE"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7/19-2</w:t>
            </w:r>
          </w:p>
        </w:tc>
        <w:tc>
          <w:tcPr>
            <w:tcW w:w="993" w:type="dxa"/>
            <w:tcBorders>
              <w:top w:val="nil"/>
              <w:left w:val="nil"/>
              <w:bottom w:val="single" w:sz="4" w:space="0" w:color="auto"/>
              <w:right w:val="single" w:sz="4" w:space="0" w:color="auto"/>
            </w:tcBorders>
            <w:shd w:val="clear" w:color="auto" w:fill="auto"/>
            <w:vAlign w:val="center"/>
            <w:hideMark/>
          </w:tcPr>
          <w:p w14:paraId="2E9449BF"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18.10.2018</w:t>
            </w:r>
          </w:p>
        </w:tc>
        <w:tc>
          <w:tcPr>
            <w:tcW w:w="1275" w:type="dxa"/>
            <w:tcBorders>
              <w:top w:val="nil"/>
              <w:left w:val="nil"/>
              <w:bottom w:val="single" w:sz="4" w:space="0" w:color="auto"/>
              <w:right w:val="single" w:sz="4" w:space="0" w:color="auto"/>
            </w:tcBorders>
            <w:shd w:val="clear" w:color="auto" w:fill="auto"/>
            <w:vAlign w:val="center"/>
            <w:hideMark/>
          </w:tcPr>
          <w:p w14:paraId="09DDE8BA"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SRL„Olmosdin”</w:t>
            </w:r>
          </w:p>
        </w:tc>
        <w:tc>
          <w:tcPr>
            <w:tcW w:w="1843" w:type="dxa"/>
            <w:tcBorders>
              <w:top w:val="nil"/>
              <w:left w:val="nil"/>
              <w:bottom w:val="single" w:sz="4" w:space="0" w:color="auto"/>
              <w:right w:val="single" w:sz="4" w:space="0" w:color="auto"/>
            </w:tcBorders>
            <w:shd w:val="clear" w:color="auto" w:fill="auto"/>
            <w:vAlign w:val="center"/>
            <w:hideMark/>
          </w:tcPr>
          <w:p w14:paraId="2135CDDC"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Adiacent</w:t>
            </w:r>
          </w:p>
        </w:tc>
        <w:tc>
          <w:tcPr>
            <w:tcW w:w="1134" w:type="dxa"/>
            <w:tcBorders>
              <w:top w:val="nil"/>
              <w:left w:val="nil"/>
              <w:bottom w:val="single" w:sz="4" w:space="0" w:color="auto"/>
              <w:right w:val="single" w:sz="4" w:space="0" w:color="auto"/>
            </w:tcBorders>
            <w:shd w:val="clear" w:color="auto" w:fill="auto"/>
            <w:vAlign w:val="center"/>
            <w:hideMark/>
          </w:tcPr>
          <w:p w14:paraId="282743CB"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0100302019</w:t>
            </w:r>
          </w:p>
        </w:tc>
        <w:tc>
          <w:tcPr>
            <w:tcW w:w="851" w:type="dxa"/>
            <w:tcBorders>
              <w:top w:val="nil"/>
              <w:left w:val="nil"/>
              <w:bottom w:val="single" w:sz="4" w:space="0" w:color="auto"/>
              <w:right w:val="single" w:sz="4" w:space="0" w:color="auto"/>
            </w:tcBorders>
            <w:shd w:val="clear" w:color="auto" w:fill="auto"/>
            <w:vAlign w:val="center"/>
            <w:hideMark/>
          </w:tcPr>
          <w:p w14:paraId="0560988B"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1 240,00</w:t>
            </w:r>
          </w:p>
        </w:tc>
        <w:tc>
          <w:tcPr>
            <w:tcW w:w="1134" w:type="dxa"/>
            <w:tcBorders>
              <w:top w:val="nil"/>
              <w:left w:val="nil"/>
              <w:bottom w:val="single" w:sz="4" w:space="0" w:color="auto"/>
              <w:right w:val="single" w:sz="4" w:space="0" w:color="auto"/>
            </w:tcBorders>
            <w:shd w:val="clear" w:color="auto" w:fill="auto"/>
            <w:vAlign w:val="center"/>
            <w:hideMark/>
          </w:tcPr>
          <w:p w14:paraId="65C8BF2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0,2644</w:t>
            </w:r>
          </w:p>
        </w:tc>
        <w:tc>
          <w:tcPr>
            <w:tcW w:w="1701" w:type="dxa"/>
            <w:tcBorders>
              <w:top w:val="nil"/>
              <w:left w:val="nil"/>
              <w:bottom w:val="single" w:sz="4" w:space="0" w:color="auto"/>
              <w:right w:val="single" w:sz="4" w:space="0" w:color="auto"/>
            </w:tcBorders>
            <w:shd w:val="clear" w:color="auto" w:fill="auto"/>
            <w:vAlign w:val="center"/>
            <w:hideMark/>
          </w:tcPr>
          <w:p w14:paraId="6159E68D"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Varnița,8</w:t>
            </w:r>
          </w:p>
        </w:tc>
        <w:tc>
          <w:tcPr>
            <w:tcW w:w="1134" w:type="dxa"/>
            <w:tcBorders>
              <w:top w:val="nil"/>
              <w:left w:val="nil"/>
              <w:bottom w:val="single" w:sz="4" w:space="0" w:color="auto"/>
              <w:right w:val="single" w:sz="4" w:space="0" w:color="auto"/>
            </w:tcBorders>
            <w:shd w:val="clear" w:color="auto" w:fill="auto"/>
            <w:vAlign w:val="center"/>
            <w:hideMark/>
          </w:tcPr>
          <w:p w14:paraId="50EE8F94"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4689,9</w:t>
            </w:r>
          </w:p>
        </w:tc>
        <w:tc>
          <w:tcPr>
            <w:tcW w:w="1134" w:type="dxa"/>
            <w:tcBorders>
              <w:top w:val="nil"/>
              <w:left w:val="nil"/>
              <w:bottom w:val="single" w:sz="4" w:space="0" w:color="auto"/>
              <w:right w:val="single" w:sz="4" w:space="0" w:color="auto"/>
            </w:tcBorders>
            <w:shd w:val="clear" w:color="auto" w:fill="auto"/>
            <w:vAlign w:val="center"/>
            <w:hideMark/>
          </w:tcPr>
          <w:p w14:paraId="6B07113B" w14:textId="0F0C158F"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092CF6ED" w14:textId="5DA3CE69"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3294B889"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6E0D5DE"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w:t>
            </w:r>
          </w:p>
        </w:tc>
        <w:tc>
          <w:tcPr>
            <w:tcW w:w="958" w:type="dxa"/>
            <w:tcBorders>
              <w:top w:val="nil"/>
              <w:left w:val="nil"/>
              <w:bottom w:val="single" w:sz="4" w:space="0" w:color="auto"/>
              <w:right w:val="single" w:sz="4" w:space="0" w:color="auto"/>
            </w:tcBorders>
            <w:shd w:val="clear" w:color="auto" w:fill="auto"/>
            <w:vAlign w:val="center"/>
            <w:hideMark/>
          </w:tcPr>
          <w:p w14:paraId="4A7955AD"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7/19-1</w:t>
            </w:r>
          </w:p>
        </w:tc>
        <w:tc>
          <w:tcPr>
            <w:tcW w:w="993" w:type="dxa"/>
            <w:tcBorders>
              <w:top w:val="nil"/>
              <w:left w:val="nil"/>
              <w:bottom w:val="single" w:sz="4" w:space="0" w:color="auto"/>
              <w:right w:val="single" w:sz="4" w:space="0" w:color="auto"/>
            </w:tcBorders>
            <w:shd w:val="clear" w:color="auto" w:fill="auto"/>
            <w:vAlign w:val="center"/>
            <w:hideMark/>
          </w:tcPr>
          <w:p w14:paraId="2BD8B83F"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18.10.2018</w:t>
            </w:r>
          </w:p>
        </w:tc>
        <w:tc>
          <w:tcPr>
            <w:tcW w:w="1275" w:type="dxa"/>
            <w:tcBorders>
              <w:top w:val="nil"/>
              <w:left w:val="nil"/>
              <w:bottom w:val="single" w:sz="4" w:space="0" w:color="auto"/>
              <w:right w:val="single" w:sz="4" w:space="0" w:color="auto"/>
            </w:tcBorders>
            <w:shd w:val="clear" w:color="auto" w:fill="auto"/>
            <w:vAlign w:val="center"/>
            <w:hideMark/>
          </w:tcPr>
          <w:p w14:paraId="34212008"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 CSM Uniform</w:t>
            </w:r>
          </w:p>
        </w:tc>
        <w:tc>
          <w:tcPr>
            <w:tcW w:w="1843" w:type="dxa"/>
            <w:tcBorders>
              <w:top w:val="nil"/>
              <w:left w:val="nil"/>
              <w:bottom w:val="single" w:sz="4" w:space="0" w:color="auto"/>
              <w:right w:val="single" w:sz="4" w:space="0" w:color="auto"/>
            </w:tcBorders>
            <w:shd w:val="clear" w:color="auto" w:fill="auto"/>
            <w:vAlign w:val="center"/>
            <w:hideMark/>
          </w:tcPr>
          <w:p w14:paraId="75D68FE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Adiacent</w:t>
            </w:r>
          </w:p>
        </w:tc>
        <w:tc>
          <w:tcPr>
            <w:tcW w:w="1134" w:type="dxa"/>
            <w:tcBorders>
              <w:top w:val="nil"/>
              <w:left w:val="nil"/>
              <w:bottom w:val="single" w:sz="4" w:space="0" w:color="auto"/>
              <w:right w:val="single" w:sz="4" w:space="0" w:color="auto"/>
            </w:tcBorders>
            <w:shd w:val="clear" w:color="auto" w:fill="auto"/>
            <w:vAlign w:val="center"/>
            <w:hideMark/>
          </w:tcPr>
          <w:p w14:paraId="435B3ED9"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0100305497</w:t>
            </w:r>
          </w:p>
        </w:tc>
        <w:tc>
          <w:tcPr>
            <w:tcW w:w="851" w:type="dxa"/>
            <w:tcBorders>
              <w:top w:val="nil"/>
              <w:left w:val="nil"/>
              <w:bottom w:val="single" w:sz="4" w:space="0" w:color="auto"/>
              <w:right w:val="single" w:sz="4" w:space="0" w:color="auto"/>
            </w:tcBorders>
            <w:shd w:val="clear" w:color="auto" w:fill="auto"/>
            <w:vAlign w:val="center"/>
            <w:hideMark/>
          </w:tcPr>
          <w:p w14:paraId="1E86F203"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1 120,90</w:t>
            </w:r>
          </w:p>
        </w:tc>
        <w:tc>
          <w:tcPr>
            <w:tcW w:w="1134" w:type="dxa"/>
            <w:tcBorders>
              <w:top w:val="nil"/>
              <w:left w:val="nil"/>
              <w:bottom w:val="single" w:sz="4" w:space="0" w:color="auto"/>
              <w:right w:val="single" w:sz="4" w:space="0" w:color="auto"/>
            </w:tcBorders>
            <w:shd w:val="clear" w:color="auto" w:fill="auto"/>
            <w:vAlign w:val="center"/>
            <w:hideMark/>
          </w:tcPr>
          <w:p w14:paraId="39FF1523"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0,0613</w:t>
            </w:r>
          </w:p>
        </w:tc>
        <w:tc>
          <w:tcPr>
            <w:tcW w:w="1701" w:type="dxa"/>
            <w:tcBorders>
              <w:top w:val="nil"/>
              <w:left w:val="nil"/>
              <w:bottom w:val="single" w:sz="4" w:space="0" w:color="auto"/>
              <w:right w:val="single" w:sz="4" w:space="0" w:color="auto"/>
            </w:tcBorders>
            <w:shd w:val="clear" w:color="auto" w:fill="auto"/>
            <w:vAlign w:val="center"/>
            <w:hideMark/>
          </w:tcPr>
          <w:p w14:paraId="09DAB476"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Maria Drăgan 28/3</w:t>
            </w:r>
          </w:p>
        </w:tc>
        <w:tc>
          <w:tcPr>
            <w:tcW w:w="1134" w:type="dxa"/>
            <w:tcBorders>
              <w:top w:val="nil"/>
              <w:left w:val="nil"/>
              <w:bottom w:val="single" w:sz="4" w:space="0" w:color="auto"/>
              <w:right w:val="single" w:sz="4" w:space="0" w:color="auto"/>
            </w:tcBorders>
            <w:shd w:val="clear" w:color="auto" w:fill="auto"/>
            <w:vAlign w:val="center"/>
            <w:hideMark/>
          </w:tcPr>
          <w:p w14:paraId="2649D70E"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18285,5</w:t>
            </w:r>
          </w:p>
        </w:tc>
        <w:tc>
          <w:tcPr>
            <w:tcW w:w="1134" w:type="dxa"/>
            <w:tcBorders>
              <w:top w:val="nil"/>
              <w:left w:val="nil"/>
              <w:bottom w:val="single" w:sz="4" w:space="0" w:color="auto"/>
              <w:right w:val="single" w:sz="4" w:space="0" w:color="auto"/>
            </w:tcBorders>
            <w:shd w:val="clear" w:color="auto" w:fill="auto"/>
            <w:vAlign w:val="center"/>
            <w:hideMark/>
          </w:tcPr>
          <w:p w14:paraId="79CBF2CC" w14:textId="70328C93"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202E7D96" w14:textId="5E47DBF6"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1D6C6CCC"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E783FD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w:t>
            </w:r>
          </w:p>
        </w:tc>
        <w:tc>
          <w:tcPr>
            <w:tcW w:w="958" w:type="dxa"/>
            <w:tcBorders>
              <w:top w:val="nil"/>
              <w:left w:val="nil"/>
              <w:bottom w:val="single" w:sz="4" w:space="0" w:color="auto"/>
              <w:right w:val="single" w:sz="4" w:space="0" w:color="auto"/>
            </w:tcBorders>
            <w:shd w:val="clear" w:color="auto" w:fill="auto"/>
            <w:vAlign w:val="center"/>
            <w:hideMark/>
          </w:tcPr>
          <w:p w14:paraId="36357C9C"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7/19-16</w:t>
            </w:r>
          </w:p>
        </w:tc>
        <w:tc>
          <w:tcPr>
            <w:tcW w:w="993" w:type="dxa"/>
            <w:tcBorders>
              <w:top w:val="nil"/>
              <w:left w:val="nil"/>
              <w:bottom w:val="single" w:sz="4" w:space="0" w:color="auto"/>
              <w:right w:val="single" w:sz="4" w:space="0" w:color="auto"/>
            </w:tcBorders>
            <w:shd w:val="clear" w:color="auto" w:fill="auto"/>
            <w:vAlign w:val="center"/>
            <w:hideMark/>
          </w:tcPr>
          <w:p w14:paraId="3CFA4949"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18.10.2018</w:t>
            </w:r>
          </w:p>
        </w:tc>
        <w:tc>
          <w:tcPr>
            <w:tcW w:w="1275" w:type="dxa"/>
            <w:tcBorders>
              <w:top w:val="nil"/>
              <w:left w:val="nil"/>
              <w:bottom w:val="single" w:sz="4" w:space="0" w:color="auto"/>
              <w:right w:val="single" w:sz="4" w:space="0" w:color="auto"/>
            </w:tcBorders>
            <w:shd w:val="clear" w:color="auto" w:fill="auto"/>
            <w:vAlign w:val="center"/>
            <w:hideMark/>
          </w:tcPr>
          <w:p w14:paraId="68DA3C79"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 Horus</w:t>
            </w:r>
          </w:p>
        </w:tc>
        <w:tc>
          <w:tcPr>
            <w:tcW w:w="1843" w:type="dxa"/>
            <w:tcBorders>
              <w:top w:val="nil"/>
              <w:left w:val="nil"/>
              <w:bottom w:val="single" w:sz="4" w:space="0" w:color="auto"/>
              <w:right w:val="single" w:sz="4" w:space="0" w:color="auto"/>
            </w:tcBorders>
            <w:shd w:val="clear" w:color="auto" w:fill="auto"/>
            <w:vAlign w:val="center"/>
            <w:hideMark/>
          </w:tcPr>
          <w:p w14:paraId="174EEEB0"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Adiacent</w:t>
            </w:r>
          </w:p>
        </w:tc>
        <w:tc>
          <w:tcPr>
            <w:tcW w:w="1134" w:type="dxa"/>
            <w:tcBorders>
              <w:top w:val="nil"/>
              <w:left w:val="nil"/>
              <w:bottom w:val="single" w:sz="4" w:space="0" w:color="auto"/>
              <w:right w:val="single" w:sz="4" w:space="0" w:color="auto"/>
            </w:tcBorders>
            <w:shd w:val="clear" w:color="auto" w:fill="auto"/>
            <w:vAlign w:val="center"/>
            <w:hideMark/>
          </w:tcPr>
          <w:p w14:paraId="4A278BA9"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0100413224</w:t>
            </w:r>
          </w:p>
        </w:tc>
        <w:tc>
          <w:tcPr>
            <w:tcW w:w="851" w:type="dxa"/>
            <w:tcBorders>
              <w:top w:val="nil"/>
              <w:left w:val="nil"/>
              <w:bottom w:val="single" w:sz="4" w:space="0" w:color="auto"/>
              <w:right w:val="single" w:sz="4" w:space="0" w:color="auto"/>
            </w:tcBorders>
            <w:shd w:val="clear" w:color="auto" w:fill="auto"/>
            <w:vAlign w:val="center"/>
            <w:hideMark/>
          </w:tcPr>
          <w:p w14:paraId="6A25B54C"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771,64</w:t>
            </w:r>
          </w:p>
        </w:tc>
        <w:tc>
          <w:tcPr>
            <w:tcW w:w="1134" w:type="dxa"/>
            <w:tcBorders>
              <w:top w:val="nil"/>
              <w:left w:val="nil"/>
              <w:bottom w:val="single" w:sz="4" w:space="0" w:color="auto"/>
              <w:right w:val="single" w:sz="4" w:space="0" w:color="auto"/>
            </w:tcBorders>
            <w:shd w:val="clear" w:color="auto" w:fill="auto"/>
            <w:vAlign w:val="center"/>
            <w:hideMark/>
          </w:tcPr>
          <w:p w14:paraId="43A91BD2"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0,0651</w:t>
            </w:r>
          </w:p>
        </w:tc>
        <w:tc>
          <w:tcPr>
            <w:tcW w:w="1701" w:type="dxa"/>
            <w:tcBorders>
              <w:top w:val="nil"/>
              <w:left w:val="nil"/>
              <w:bottom w:val="single" w:sz="4" w:space="0" w:color="auto"/>
              <w:right w:val="single" w:sz="4" w:space="0" w:color="auto"/>
            </w:tcBorders>
            <w:shd w:val="clear" w:color="auto" w:fill="auto"/>
            <w:vAlign w:val="center"/>
            <w:hideMark/>
          </w:tcPr>
          <w:p w14:paraId="499D20C1"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Matei Basarab, 1/3</w:t>
            </w:r>
          </w:p>
        </w:tc>
        <w:tc>
          <w:tcPr>
            <w:tcW w:w="1134" w:type="dxa"/>
            <w:tcBorders>
              <w:top w:val="nil"/>
              <w:left w:val="nil"/>
              <w:bottom w:val="single" w:sz="4" w:space="0" w:color="auto"/>
              <w:right w:val="single" w:sz="4" w:space="0" w:color="auto"/>
            </w:tcBorders>
            <w:shd w:val="clear" w:color="auto" w:fill="auto"/>
            <w:vAlign w:val="center"/>
            <w:hideMark/>
          </w:tcPr>
          <w:p w14:paraId="2BFE614F"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11853,2</w:t>
            </w:r>
          </w:p>
        </w:tc>
        <w:tc>
          <w:tcPr>
            <w:tcW w:w="1134" w:type="dxa"/>
            <w:tcBorders>
              <w:top w:val="nil"/>
              <w:left w:val="nil"/>
              <w:bottom w:val="single" w:sz="4" w:space="0" w:color="auto"/>
              <w:right w:val="single" w:sz="4" w:space="0" w:color="auto"/>
            </w:tcBorders>
            <w:shd w:val="clear" w:color="auto" w:fill="auto"/>
            <w:vAlign w:val="center"/>
            <w:hideMark/>
          </w:tcPr>
          <w:p w14:paraId="58E7DB54" w14:textId="05CE5040"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51D6183B" w14:textId="56E95F98"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6EFA0870"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3968E0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5</w:t>
            </w:r>
          </w:p>
        </w:tc>
        <w:tc>
          <w:tcPr>
            <w:tcW w:w="958" w:type="dxa"/>
            <w:tcBorders>
              <w:top w:val="nil"/>
              <w:left w:val="nil"/>
              <w:bottom w:val="single" w:sz="4" w:space="0" w:color="auto"/>
              <w:right w:val="single" w:sz="4" w:space="0" w:color="auto"/>
            </w:tcBorders>
            <w:shd w:val="clear" w:color="auto" w:fill="auto"/>
            <w:vAlign w:val="center"/>
            <w:hideMark/>
          </w:tcPr>
          <w:p w14:paraId="21D353B3"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9/20-6</w:t>
            </w:r>
          </w:p>
        </w:tc>
        <w:tc>
          <w:tcPr>
            <w:tcW w:w="993" w:type="dxa"/>
            <w:tcBorders>
              <w:top w:val="nil"/>
              <w:left w:val="nil"/>
              <w:bottom w:val="single" w:sz="4" w:space="0" w:color="auto"/>
              <w:right w:val="single" w:sz="4" w:space="0" w:color="auto"/>
            </w:tcBorders>
            <w:shd w:val="clear" w:color="auto" w:fill="auto"/>
            <w:vAlign w:val="center"/>
            <w:hideMark/>
          </w:tcPr>
          <w:p w14:paraId="433EB37F"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16.01.2019</w:t>
            </w:r>
          </w:p>
        </w:tc>
        <w:tc>
          <w:tcPr>
            <w:tcW w:w="1275" w:type="dxa"/>
            <w:tcBorders>
              <w:top w:val="nil"/>
              <w:left w:val="nil"/>
              <w:bottom w:val="single" w:sz="4" w:space="0" w:color="auto"/>
              <w:right w:val="single" w:sz="4" w:space="0" w:color="auto"/>
            </w:tcBorders>
            <w:shd w:val="clear" w:color="auto" w:fill="auto"/>
            <w:vAlign w:val="center"/>
            <w:hideMark/>
          </w:tcPr>
          <w:p w14:paraId="5778F530"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SRL„ABC Gurmandis”</w:t>
            </w:r>
          </w:p>
        </w:tc>
        <w:tc>
          <w:tcPr>
            <w:tcW w:w="1843" w:type="dxa"/>
            <w:tcBorders>
              <w:top w:val="nil"/>
              <w:left w:val="nil"/>
              <w:bottom w:val="single" w:sz="4" w:space="0" w:color="auto"/>
              <w:right w:val="single" w:sz="4" w:space="0" w:color="auto"/>
            </w:tcBorders>
            <w:shd w:val="clear" w:color="auto" w:fill="auto"/>
            <w:vAlign w:val="center"/>
            <w:hideMark/>
          </w:tcPr>
          <w:p w14:paraId="56631B69"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Adiacent</w:t>
            </w:r>
          </w:p>
        </w:tc>
        <w:tc>
          <w:tcPr>
            <w:tcW w:w="1134" w:type="dxa"/>
            <w:tcBorders>
              <w:top w:val="nil"/>
              <w:left w:val="nil"/>
              <w:bottom w:val="single" w:sz="4" w:space="0" w:color="auto"/>
              <w:right w:val="single" w:sz="4" w:space="0" w:color="auto"/>
            </w:tcBorders>
            <w:shd w:val="clear" w:color="auto" w:fill="auto"/>
            <w:vAlign w:val="center"/>
            <w:hideMark/>
          </w:tcPr>
          <w:p w14:paraId="331F7758"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0100413383</w:t>
            </w:r>
          </w:p>
        </w:tc>
        <w:tc>
          <w:tcPr>
            <w:tcW w:w="851" w:type="dxa"/>
            <w:tcBorders>
              <w:top w:val="nil"/>
              <w:left w:val="nil"/>
              <w:bottom w:val="single" w:sz="4" w:space="0" w:color="auto"/>
              <w:right w:val="single" w:sz="4" w:space="0" w:color="auto"/>
            </w:tcBorders>
            <w:shd w:val="clear" w:color="auto" w:fill="auto"/>
            <w:vAlign w:val="center"/>
            <w:hideMark/>
          </w:tcPr>
          <w:p w14:paraId="59322988"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1 163,04</w:t>
            </w:r>
          </w:p>
        </w:tc>
        <w:tc>
          <w:tcPr>
            <w:tcW w:w="1134" w:type="dxa"/>
            <w:tcBorders>
              <w:top w:val="nil"/>
              <w:left w:val="nil"/>
              <w:bottom w:val="single" w:sz="4" w:space="0" w:color="auto"/>
              <w:right w:val="single" w:sz="4" w:space="0" w:color="auto"/>
            </w:tcBorders>
            <w:shd w:val="clear" w:color="auto" w:fill="auto"/>
            <w:vAlign w:val="center"/>
            <w:hideMark/>
          </w:tcPr>
          <w:p w14:paraId="747039F1"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0,0650</w:t>
            </w:r>
          </w:p>
        </w:tc>
        <w:tc>
          <w:tcPr>
            <w:tcW w:w="1701" w:type="dxa"/>
            <w:tcBorders>
              <w:top w:val="nil"/>
              <w:left w:val="nil"/>
              <w:bottom w:val="single" w:sz="4" w:space="0" w:color="auto"/>
              <w:right w:val="single" w:sz="4" w:space="0" w:color="auto"/>
            </w:tcBorders>
            <w:shd w:val="clear" w:color="auto" w:fill="auto"/>
            <w:vAlign w:val="center"/>
            <w:hideMark/>
          </w:tcPr>
          <w:p w14:paraId="106BD634"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bd. Moscova 9/5</w:t>
            </w:r>
          </w:p>
        </w:tc>
        <w:tc>
          <w:tcPr>
            <w:tcW w:w="1134" w:type="dxa"/>
            <w:tcBorders>
              <w:top w:val="nil"/>
              <w:left w:val="nil"/>
              <w:bottom w:val="single" w:sz="4" w:space="0" w:color="auto"/>
              <w:right w:val="single" w:sz="4" w:space="0" w:color="auto"/>
            </w:tcBorders>
            <w:shd w:val="clear" w:color="auto" w:fill="auto"/>
            <w:vAlign w:val="center"/>
            <w:hideMark/>
          </w:tcPr>
          <w:p w14:paraId="140541EA"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17892,9</w:t>
            </w:r>
          </w:p>
        </w:tc>
        <w:tc>
          <w:tcPr>
            <w:tcW w:w="1134" w:type="dxa"/>
            <w:tcBorders>
              <w:top w:val="nil"/>
              <w:left w:val="nil"/>
              <w:bottom w:val="single" w:sz="4" w:space="0" w:color="auto"/>
              <w:right w:val="single" w:sz="4" w:space="0" w:color="auto"/>
            </w:tcBorders>
            <w:shd w:val="clear" w:color="auto" w:fill="auto"/>
            <w:vAlign w:val="center"/>
            <w:hideMark/>
          </w:tcPr>
          <w:p w14:paraId="28BE6A40" w14:textId="52053AD6"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2BFEF497" w14:textId="2DAEFDCF"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5A828330"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922AAC0"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6</w:t>
            </w:r>
          </w:p>
        </w:tc>
        <w:tc>
          <w:tcPr>
            <w:tcW w:w="958" w:type="dxa"/>
            <w:tcBorders>
              <w:top w:val="nil"/>
              <w:left w:val="nil"/>
              <w:bottom w:val="single" w:sz="4" w:space="0" w:color="auto"/>
              <w:right w:val="single" w:sz="4" w:space="0" w:color="auto"/>
            </w:tcBorders>
            <w:shd w:val="clear" w:color="auto" w:fill="auto"/>
            <w:vAlign w:val="center"/>
            <w:hideMark/>
          </w:tcPr>
          <w:p w14:paraId="11FD372F"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15/16</w:t>
            </w:r>
          </w:p>
        </w:tc>
        <w:tc>
          <w:tcPr>
            <w:tcW w:w="993" w:type="dxa"/>
            <w:tcBorders>
              <w:top w:val="nil"/>
              <w:left w:val="nil"/>
              <w:bottom w:val="single" w:sz="4" w:space="0" w:color="auto"/>
              <w:right w:val="single" w:sz="4" w:space="0" w:color="auto"/>
            </w:tcBorders>
            <w:shd w:val="clear" w:color="auto" w:fill="auto"/>
            <w:vAlign w:val="center"/>
            <w:hideMark/>
          </w:tcPr>
          <w:p w14:paraId="3A3AB8BA"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22.12.2017</w:t>
            </w:r>
          </w:p>
        </w:tc>
        <w:tc>
          <w:tcPr>
            <w:tcW w:w="1275" w:type="dxa"/>
            <w:tcBorders>
              <w:top w:val="nil"/>
              <w:left w:val="nil"/>
              <w:bottom w:val="single" w:sz="4" w:space="0" w:color="auto"/>
              <w:right w:val="single" w:sz="4" w:space="0" w:color="auto"/>
            </w:tcBorders>
            <w:shd w:val="clear" w:color="auto" w:fill="auto"/>
            <w:vAlign w:val="center"/>
            <w:hideMark/>
          </w:tcPr>
          <w:p w14:paraId="79CD8950"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SRL„Regata Imobiliare”</w:t>
            </w:r>
          </w:p>
        </w:tc>
        <w:tc>
          <w:tcPr>
            <w:tcW w:w="1843" w:type="dxa"/>
            <w:tcBorders>
              <w:top w:val="nil"/>
              <w:left w:val="nil"/>
              <w:bottom w:val="single" w:sz="4" w:space="0" w:color="auto"/>
              <w:right w:val="single" w:sz="4" w:space="0" w:color="auto"/>
            </w:tcBorders>
            <w:shd w:val="clear" w:color="auto" w:fill="auto"/>
            <w:vAlign w:val="center"/>
            <w:hideMark/>
          </w:tcPr>
          <w:p w14:paraId="5D19C8C8"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Adiacent</w:t>
            </w:r>
          </w:p>
        </w:tc>
        <w:tc>
          <w:tcPr>
            <w:tcW w:w="1134" w:type="dxa"/>
            <w:tcBorders>
              <w:top w:val="nil"/>
              <w:left w:val="nil"/>
              <w:bottom w:val="single" w:sz="4" w:space="0" w:color="auto"/>
              <w:right w:val="single" w:sz="4" w:space="0" w:color="auto"/>
            </w:tcBorders>
            <w:shd w:val="clear" w:color="auto" w:fill="auto"/>
            <w:vAlign w:val="center"/>
            <w:hideMark/>
          </w:tcPr>
          <w:p w14:paraId="41389146"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0100416114</w:t>
            </w:r>
          </w:p>
        </w:tc>
        <w:tc>
          <w:tcPr>
            <w:tcW w:w="851" w:type="dxa"/>
            <w:tcBorders>
              <w:top w:val="nil"/>
              <w:left w:val="nil"/>
              <w:bottom w:val="single" w:sz="4" w:space="0" w:color="auto"/>
              <w:right w:val="single" w:sz="4" w:space="0" w:color="auto"/>
            </w:tcBorders>
            <w:shd w:val="clear" w:color="auto" w:fill="auto"/>
            <w:vAlign w:val="center"/>
            <w:hideMark/>
          </w:tcPr>
          <w:p w14:paraId="322A047F"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4 402</w:t>
            </w:r>
          </w:p>
        </w:tc>
        <w:tc>
          <w:tcPr>
            <w:tcW w:w="1134" w:type="dxa"/>
            <w:tcBorders>
              <w:top w:val="nil"/>
              <w:left w:val="nil"/>
              <w:bottom w:val="single" w:sz="4" w:space="0" w:color="auto"/>
              <w:right w:val="single" w:sz="4" w:space="0" w:color="auto"/>
            </w:tcBorders>
            <w:shd w:val="clear" w:color="auto" w:fill="auto"/>
            <w:vAlign w:val="center"/>
            <w:hideMark/>
          </w:tcPr>
          <w:p w14:paraId="10FB3C5A"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0,2060</w:t>
            </w:r>
          </w:p>
        </w:tc>
        <w:tc>
          <w:tcPr>
            <w:tcW w:w="1701" w:type="dxa"/>
            <w:tcBorders>
              <w:top w:val="nil"/>
              <w:left w:val="nil"/>
              <w:bottom w:val="single" w:sz="4" w:space="0" w:color="auto"/>
              <w:right w:val="single" w:sz="4" w:space="0" w:color="auto"/>
            </w:tcBorders>
            <w:shd w:val="clear" w:color="auto" w:fill="auto"/>
            <w:vAlign w:val="center"/>
            <w:hideMark/>
          </w:tcPr>
          <w:p w14:paraId="114715BA"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Kiev, 7</w:t>
            </w:r>
          </w:p>
        </w:tc>
        <w:tc>
          <w:tcPr>
            <w:tcW w:w="1134" w:type="dxa"/>
            <w:tcBorders>
              <w:top w:val="nil"/>
              <w:left w:val="nil"/>
              <w:bottom w:val="single" w:sz="4" w:space="0" w:color="auto"/>
              <w:right w:val="single" w:sz="4" w:space="0" w:color="auto"/>
            </w:tcBorders>
            <w:shd w:val="clear" w:color="auto" w:fill="auto"/>
            <w:vAlign w:val="center"/>
            <w:hideMark/>
          </w:tcPr>
          <w:p w14:paraId="6F19298E"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21368,3</w:t>
            </w:r>
          </w:p>
        </w:tc>
        <w:tc>
          <w:tcPr>
            <w:tcW w:w="1134" w:type="dxa"/>
            <w:tcBorders>
              <w:top w:val="nil"/>
              <w:left w:val="nil"/>
              <w:bottom w:val="single" w:sz="4" w:space="0" w:color="auto"/>
              <w:right w:val="single" w:sz="4" w:space="0" w:color="auto"/>
            </w:tcBorders>
            <w:shd w:val="clear" w:color="auto" w:fill="auto"/>
            <w:vAlign w:val="center"/>
            <w:hideMark/>
          </w:tcPr>
          <w:p w14:paraId="335C1423" w14:textId="2D4BAE6A"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6E7D5DC0" w14:textId="4B6EE589"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529E0107"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BEFACC4"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w:t>
            </w:r>
          </w:p>
        </w:tc>
        <w:tc>
          <w:tcPr>
            <w:tcW w:w="958" w:type="dxa"/>
            <w:tcBorders>
              <w:top w:val="nil"/>
              <w:left w:val="nil"/>
              <w:bottom w:val="single" w:sz="4" w:space="0" w:color="auto"/>
              <w:right w:val="single" w:sz="4" w:space="0" w:color="auto"/>
            </w:tcBorders>
            <w:shd w:val="clear" w:color="auto" w:fill="auto"/>
            <w:vAlign w:val="center"/>
            <w:hideMark/>
          </w:tcPr>
          <w:p w14:paraId="14C3BD5D"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8/37</w:t>
            </w:r>
          </w:p>
        </w:tc>
        <w:tc>
          <w:tcPr>
            <w:tcW w:w="993" w:type="dxa"/>
            <w:tcBorders>
              <w:top w:val="nil"/>
              <w:left w:val="nil"/>
              <w:bottom w:val="single" w:sz="4" w:space="0" w:color="auto"/>
              <w:right w:val="single" w:sz="4" w:space="0" w:color="auto"/>
            </w:tcBorders>
            <w:shd w:val="clear" w:color="auto" w:fill="auto"/>
            <w:vAlign w:val="center"/>
            <w:hideMark/>
          </w:tcPr>
          <w:p w14:paraId="34444A50"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27.11.2018</w:t>
            </w:r>
          </w:p>
        </w:tc>
        <w:tc>
          <w:tcPr>
            <w:tcW w:w="1275" w:type="dxa"/>
            <w:tcBorders>
              <w:top w:val="nil"/>
              <w:left w:val="nil"/>
              <w:bottom w:val="single" w:sz="4" w:space="0" w:color="auto"/>
              <w:right w:val="single" w:sz="4" w:space="0" w:color="auto"/>
            </w:tcBorders>
            <w:shd w:val="clear" w:color="auto" w:fill="auto"/>
            <w:vAlign w:val="center"/>
            <w:hideMark/>
          </w:tcPr>
          <w:p w14:paraId="3AE3BB60" w14:textId="5887355E"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SRL„Exfactor-</w:t>
            </w:r>
            <w:r w:rsidR="005C6936" w:rsidRPr="009E5B39">
              <w:rPr>
                <w:rFonts w:asciiTheme="majorHAnsi" w:eastAsia="Times New Roman" w:hAnsiTheme="majorHAnsi" w:cstheme="majorHAnsi"/>
                <w:sz w:val="16"/>
                <w:szCs w:val="16"/>
                <w:lang w:val="ro-MD" w:eastAsia="ru-RU"/>
              </w:rPr>
              <w:t>Gr</w:t>
            </w:r>
            <w:r w:rsidRPr="009E5B39">
              <w:rPr>
                <w:rFonts w:asciiTheme="majorHAnsi" w:eastAsia="Times New Roman" w:hAnsiTheme="majorHAnsi" w:cstheme="majorHAnsi"/>
                <w:sz w:val="16"/>
                <w:szCs w:val="16"/>
                <w:lang w:val="ro-MD" w:eastAsia="ru-RU"/>
              </w:rPr>
              <w:t>up”</w:t>
            </w:r>
          </w:p>
        </w:tc>
        <w:tc>
          <w:tcPr>
            <w:tcW w:w="1843" w:type="dxa"/>
            <w:tcBorders>
              <w:top w:val="nil"/>
              <w:left w:val="nil"/>
              <w:bottom w:val="single" w:sz="4" w:space="0" w:color="auto"/>
              <w:right w:val="single" w:sz="4" w:space="0" w:color="auto"/>
            </w:tcBorders>
            <w:shd w:val="clear" w:color="auto" w:fill="auto"/>
            <w:vAlign w:val="center"/>
            <w:hideMark/>
          </w:tcPr>
          <w:p w14:paraId="4D982352"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Adiacent</w:t>
            </w:r>
          </w:p>
        </w:tc>
        <w:tc>
          <w:tcPr>
            <w:tcW w:w="1134" w:type="dxa"/>
            <w:tcBorders>
              <w:top w:val="nil"/>
              <w:left w:val="nil"/>
              <w:bottom w:val="single" w:sz="4" w:space="0" w:color="auto"/>
              <w:right w:val="single" w:sz="4" w:space="0" w:color="auto"/>
            </w:tcBorders>
            <w:shd w:val="clear" w:color="auto" w:fill="auto"/>
            <w:vAlign w:val="center"/>
            <w:hideMark/>
          </w:tcPr>
          <w:p w14:paraId="608FEBA3"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0100510241</w:t>
            </w:r>
          </w:p>
        </w:tc>
        <w:tc>
          <w:tcPr>
            <w:tcW w:w="851" w:type="dxa"/>
            <w:tcBorders>
              <w:top w:val="nil"/>
              <w:left w:val="nil"/>
              <w:bottom w:val="single" w:sz="4" w:space="0" w:color="auto"/>
              <w:right w:val="single" w:sz="4" w:space="0" w:color="auto"/>
            </w:tcBorders>
            <w:shd w:val="clear" w:color="auto" w:fill="auto"/>
            <w:vAlign w:val="center"/>
            <w:hideMark/>
          </w:tcPr>
          <w:p w14:paraId="0C4FA6CE"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531,40</w:t>
            </w:r>
          </w:p>
        </w:tc>
        <w:tc>
          <w:tcPr>
            <w:tcW w:w="1134" w:type="dxa"/>
            <w:tcBorders>
              <w:top w:val="nil"/>
              <w:left w:val="nil"/>
              <w:bottom w:val="single" w:sz="4" w:space="0" w:color="auto"/>
              <w:right w:val="single" w:sz="4" w:space="0" w:color="auto"/>
            </w:tcBorders>
            <w:shd w:val="clear" w:color="auto" w:fill="auto"/>
            <w:vAlign w:val="center"/>
            <w:hideMark/>
          </w:tcPr>
          <w:p w14:paraId="66BEF776"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0,1531</w:t>
            </w:r>
          </w:p>
        </w:tc>
        <w:tc>
          <w:tcPr>
            <w:tcW w:w="1701" w:type="dxa"/>
            <w:tcBorders>
              <w:top w:val="nil"/>
              <w:left w:val="nil"/>
              <w:bottom w:val="single" w:sz="4" w:space="0" w:color="auto"/>
              <w:right w:val="single" w:sz="4" w:space="0" w:color="auto"/>
            </w:tcBorders>
            <w:shd w:val="clear" w:color="auto" w:fill="auto"/>
            <w:vAlign w:val="center"/>
            <w:hideMark/>
          </w:tcPr>
          <w:p w14:paraId="472866C6"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Codrilor</w:t>
            </w:r>
          </w:p>
        </w:tc>
        <w:tc>
          <w:tcPr>
            <w:tcW w:w="1134" w:type="dxa"/>
            <w:tcBorders>
              <w:top w:val="nil"/>
              <w:left w:val="nil"/>
              <w:bottom w:val="single" w:sz="4" w:space="0" w:color="auto"/>
              <w:right w:val="single" w:sz="4" w:space="0" w:color="auto"/>
            </w:tcBorders>
            <w:shd w:val="clear" w:color="auto" w:fill="auto"/>
            <w:vAlign w:val="center"/>
            <w:hideMark/>
          </w:tcPr>
          <w:p w14:paraId="73FB8BE6"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3471,0</w:t>
            </w:r>
          </w:p>
        </w:tc>
        <w:tc>
          <w:tcPr>
            <w:tcW w:w="1134" w:type="dxa"/>
            <w:tcBorders>
              <w:top w:val="nil"/>
              <w:left w:val="nil"/>
              <w:bottom w:val="single" w:sz="4" w:space="0" w:color="auto"/>
              <w:right w:val="single" w:sz="4" w:space="0" w:color="auto"/>
            </w:tcBorders>
            <w:shd w:val="clear" w:color="auto" w:fill="auto"/>
            <w:vAlign w:val="center"/>
            <w:hideMark/>
          </w:tcPr>
          <w:p w14:paraId="1432EBD2" w14:textId="7868881E"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008D951C" w14:textId="5D3ACE73"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77B30563"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29A49AE"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8</w:t>
            </w:r>
          </w:p>
        </w:tc>
        <w:tc>
          <w:tcPr>
            <w:tcW w:w="958" w:type="dxa"/>
            <w:tcBorders>
              <w:top w:val="nil"/>
              <w:left w:val="nil"/>
              <w:bottom w:val="single" w:sz="4" w:space="0" w:color="auto"/>
              <w:right w:val="single" w:sz="4" w:space="0" w:color="auto"/>
            </w:tcBorders>
            <w:shd w:val="clear" w:color="auto" w:fill="auto"/>
            <w:vAlign w:val="center"/>
            <w:hideMark/>
          </w:tcPr>
          <w:p w14:paraId="440958E0"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3/13</w:t>
            </w:r>
          </w:p>
        </w:tc>
        <w:tc>
          <w:tcPr>
            <w:tcW w:w="993" w:type="dxa"/>
            <w:tcBorders>
              <w:top w:val="nil"/>
              <w:left w:val="nil"/>
              <w:bottom w:val="single" w:sz="4" w:space="0" w:color="auto"/>
              <w:right w:val="single" w:sz="4" w:space="0" w:color="auto"/>
            </w:tcBorders>
            <w:shd w:val="clear" w:color="auto" w:fill="auto"/>
            <w:vAlign w:val="center"/>
            <w:hideMark/>
          </w:tcPr>
          <w:p w14:paraId="35A359D9"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18.06.2018</w:t>
            </w:r>
          </w:p>
        </w:tc>
        <w:tc>
          <w:tcPr>
            <w:tcW w:w="1275" w:type="dxa"/>
            <w:tcBorders>
              <w:top w:val="nil"/>
              <w:left w:val="nil"/>
              <w:bottom w:val="single" w:sz="4" w:space="0" w:color="auto"/>
              <w:right w:val="single" w:sz="4" w:space="0" w:color="auto"/>
            </w:tcBorders>
            <w:shd w:val="clear" w:color="auto" w:fill="auto"/>
            <w:vAlign w:val="center"/>
            <w:hideMark/>
          </w:tcPr>
          <w:p w14:paraId="56BAB6D1"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SRL„Constar Invest”</w:t>
            </w:r>
          </w:p>
        </w:tc>
        <w:tc>
          <w:tcPr>
            <w:tcW w:w="1843" w:type="dxa"/>
            <w:tcBorders>
              <w:top w:val="nil"/>
              <w:left w:val="nil"/>
              <w:bottom w:val="single" w:sz="4" w:space="0" w:color="auto"/>
              <w:right w:val="single" w:sz="4" w:space="0" w:color="auto"/>
            </w:tcBorders>
            <w:shd w:val="clear" w:color="auto" w:fill="auto"/>
            <w:vAlign w:val="center"/>
            <w:hideMark/>
          </w:tcPr>
          <w:p w14:paraId="540459B9"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Adiacent</w:t>
            </w:r>
          </w:p>
        </w:tc>
        <w:tc>
          <w:tcPr>
            <w:tcW w:w="1134" w:type="dxa"/>
            <w:tcBorders>
              <w:top w:val="nil"/>
              <w:left w:val="nil"/>
              <w:bottom w:val="single" w:sz="4" w:space="0" w:color="auto"/>
              <w:right w:val="single" w:sz="4" w:space="0" w:color="auto"/>
            </w:tcBorders>
            <w:shd w:val="clear" w:color="auto" w:fill="auto"/>
            <w:vAlign w:val="center"/>
            <w:hideMark/>
          </w:tcPr>
          <w:p w14:paraId="45F2FA54"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0100205401</w:t>
            </w:r>
          </w:p>
        </w:tc>
        <w:tc>
          <w:tcPr>
            <w:tcW w:w="851" w:type="dxa"/>
            <w:tcBorders>
              <w:top w:val="nil"/>
              <w:left w:val="nil"/>
              <w:bottom w:val="single" w:sz="4" w:space="0" w:color="auto"/>
              <w:right w:val="single" w:sz="4" w:space="0" w:color="auto"/>
            </w:tcBorders>
            <w:shd w:val="clear" w:color="auto" w:fill="auto"/>
            <w:vAlign w:val="center"/>
            <w:hideMark/>
          </w:tcPr>
          <w:p w14:paraId="157A467B"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1 029,00</w:t>
            </w:r>
          </w:p>
        </w:tc>
        <w:tc>
          <w:tcPr>
            <w:tcW w:w="1134" w:type="dxa"/>
            <w:tcBorders>
              <w:top w:val="nil"/>
              <w:left w:val="nil"/>
              <w:bottom w:val="single" w:sz="4" w:space="0" w:color="auto"/>
              <w:right w:val="single" w:sz="4" w:space="0" w:color="auto"/>
            </w:tcBorders>
            <w:shd w:val="clear" w:color="auto" w:fill="auto"/>
            <w:vAlign w:val="center"/>
            <w:hideMark/>
          </w:tcPr>
          <w:p w14:paraId="0EEE879F"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0,0284</w:t>
            </w:r>
          </w:p>
        </w:tc>
        <w:tc>
          <w:tcPr>
            <w:tcW w:w="1701" w:type="dxa"/>
            <w:tcBorders>
              <w:top w:val="nil"/>
              <w:left w:val="nil"/>
              <w:bottom w:val="single" w:sz="4" w:space="0" w:color="auto"/>
              <w:right w:val="single" w:sz="4" w:space="0" w:color="auto"/>
            </w:tcBorders>
            <w:shd w:val="clear" w:color="auto" w:fill="auto"/>
            <w:vAlign w:val="center"/>
            <w:hideMark/>
          </w:tcPr>
          <w:p w14:paraId="6FD5954F"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Armenească,44/3</w:t>
            </w:r>
          </w:p>
        </w:tc>
        <w:tc>
          <w:tcPr>
            <w:tcW w:w="1134" w:type="dxa"/>
            <w:tcBorders>
              <w:top w:val="nil"/>
              <w:left w:val="nil"/>
              <w:bottom w:val="single" w:sz="4" w:space="0" w:color="auto"/>
              <w:right w:val="single" w:sz="4" w:space="0" w:color="auto"/>
            </w:tcBorders>
            <w:shd w:val="clear" w:color="auto" w:fill="auto"/>
            <w:vAlign w:val="center"/>
            <w:hideMark/>
          </w:tcPr>
          <w:p w14:paraId="6FCDDA87"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36232,4</w:t>
            </w:r>
          </w:p>
        </w:tc>
        <w:tc>
          <w:tcPr>
            <w:tcW w:w="1134" w:type="dxa"/>
            <w:tcBorders>
              <w:top w:val="nil"/>
              <w:left w:val="nil"/>
              <w:bottom w:val="single" w:sz="4" w:space="0" w:color="auto"/>
              <w:right w:val="single" w:sz="4" w:space="0" w:color="auto"/>
            </w:tcBorders>
            <w:shd w:val="clear" w:color="auto" w:fill="auto"/>
            <w:vAlign w:val="center"/>
            <w:hideMark/>
          </w:tcPr>
          <w:p w14:paraId="47455D5C" w14:textId="340EECD1"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4B1B770D" w14:textId="3B9FDC00"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3B391A8B"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9E294BD"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9</w:t>
            </w:r>
          </w:p>
        </w:tc>
        <w:tc>
          <w:tcPr>
            <w:tcW w:w="958" w:type="dxa"/>
            <w:tcBorders>
              <w:top w:val="nil"/>
              <w:left w:val="nil"/>
              <w:bottom w:val="single" w:sz="4" w:space="0" w:color="auto"/>
              <w:right w:val="single" w:sz="4" w:space="0" w:color="auto"/>
            </w:tcBorders>
            <w:shd w:val="clear" w:color="auto" w:fill="auto"/>
            <w:vAlign w:val="center"/>
            <w:hideMark/>
          </w:tcPr>
          <w:p w14:paraId="7470CE2E"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8/38</w:t>
            </w:r>
          </w:p>
        </w:tc>
        <w:tc>
          <w:tcPr>
            <w:tcW w:w="993" w:type="dxa"/>
            <w:tcBorders>
              <w:top w:val="nil"/>
              <w:left w:val="nil"/>
              <w:bottom w:val="single" w:sz="4" w:space="0" w:color="auto"/>
              <w:right w:val="single" w:sz="4" w:space="0" w:color="auto"/>
            </w:tcBorders>
            <w:shd w:val="clear" w:color="auto" w:fill="auto"/>
            <w:vAlign w:val="center"/>
            <w:hideMark/>
          </w:tcPr>
          <w:p w14:paraId="26A2AB68"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27.11.2018</w:t>
            </w:r>
          </w:p>
        </w:tc>
        <w:tc>
          <w:tcPr>
            <w:tcW w:w="1275" w:type="dxa"/>
            <w:tcBorders>
              <w:top w:val="nil"/>
              <w:left w:val="nil"/>
              <w:bottom w:val="single" w:sz="4" w:space="0" w:color="auto"/>
              <w:right w:val="single" w:sz="4" w:space="0" w:color="auto"/>
            </w:tcBorders>
            <w:shd w:val="clear" w:color="auto" w:fill="auto"/>
            <w:vAlign w:val="center"/>
            <w:hideMark/>
          </w:tcPr>
          <w:p w14:paraId="49966F73"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SRL„Gal Transervice”</w:t>
            </w:r>
          </w:p>
        </w:tc>
        <w:tc>
          <w:tcPr>
            <w:tcW w:w="1843" w:type="dxa"/>
            <w:tcBorders>
              <w:top w:val="nil"/>
              <w:left w:val="nil"/>
              <w:bottom w:val="single" w:sz="4" w:space="0" w:color="auto"/>
              <w:right w:val="single" w:sz="4" w:space="0" w:color="auto"/>
            </w:tcBorders>
            <w:shd w:val="clear" w:color="auto" w:fill="auto"/>
            <w:vAlign w:val="center"/>
            <w:hideMark/>
          </w:tcPr>
          <w:p w14:paraId="2B3E713C"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Aferent</w:t>
            </w:r>
          </w:p>
        </w:tc>
        <w:tc>
          <w:tcPr>
            <w:tcW w:w="1134" w:type="dxa"/>
            <w:tcBorders>
              <w:top w:val="nil"/>
              <w:left w:val="nil"/>
              <w:bottom w:val="single" w:sz="4" w:space="0" w:color="auto"/>
              <w:right w:val="single" w:sz="4" w:space="0" w:color="auto"/>
            </w:tcBorders>
            <w:shd w:val="clear" w:color="auto" w:fill="auto"/>
            <w:vAlign w:val="center"/>
            <w:hideMark/>
          </w:tcPr>
          <w:p w14:paraId="158AD833"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0100301609</w:t>
            </w:r>
          </w:p>
        </w:tc>
        <w:tc>
          <w:tcPr>
            <w:tcW w:w="851" w:type="dxa"/>
            <w:tcBorders>
              <w:top w:val="nil"/>
              <w:left w:val="nil"/>
              <w:bottom w:val="single" w:sz="4" w:space="0" w:color="auto"/>
              <w:right w:val="single" w:sz="4" w:space="0" w:color="auto"/>
            </w:tcBorders>
            <w:shd w:val="clear" w:color="auto" w:fill="auto"/>
            <w:vAlign w:val="center"/>
            <w:hideMark/>
          </w:tcPr>
          <w:p w14:paraId="0A94E85C"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995,38</w:t>
            </w:r>
          </w:p>
        </w:tc>
        <w:tc>
          <w:tcPr>
            <w:tcW w:w="1134" w:type="dxa"/>
            <w:tcBorders>
              <w:top w:val="nil"/>
              <w:left w:val="nil"/>
              <w:bottom w:val="single" w:sz="4" w:space="0" w:color="auto"/>
              <w:right w:val="single" w:sz="4" w:space="0" w:color="auto"/>
            </w:tcBorders>
            <w:shd w:val="clear" w:color="auto" w:fill="auto"/>
            <w:vAlign w:val="center"/>
            <w:hideMark/>
          </w:tcPr>
          <w:p w14:paraId="0DA2BE02"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0,6342</w:t>
            </w:r>
          </w:p>
        </w:tc>
        <w:tc>
          <w:tcPr>
            <w:tcW w:w="1701" w:type="dxa"/>
            <w:tcBorders>
              <w:top w:val="nil"/>
              <w:left w:val="nil"/>
              <w:bottom w:val="single" w:sz="4" w:space="0" w:color="auto"/>
              <w:right w:val="single" w:sz="4" w:space="0" w:color="auto"/>
            </w:tcBorders>
            <w:shd w:val="clear" w:color="auto" w:fill="auto"/>
            <w:vAlign w:val="center"/>
            <w:hideMark/>
          </w:tcPr>
          <w:p w14:paraId="37600920"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Calea Basarabiei, 26</w:t>
            </w:r>
          </w:p>
        </w:tc>
        <w:tc>
          <w:tcPr>
            <w:tcW w:w="1134" w:type="dxa"/>
            <w:tcBorders>
              <w:top w:val="nil"/>
              <w:left w:val="nil"/>
              <w:bottom w:val="single" w:sz="4" w:space="0" w:color="auto"/>
              <w:right w:val="single" w:sz="4" w:space="0" w:color="auto"/>
            </w:tcBorders>
            <w:shd w:val="clear" w:color="auto" w:fill="auto"/>
            <w:vAlign w:val="center"/>
            <w:hideMark/>
          </w:tcPr>
          <w:p w14:paraId="7A4AE584"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1569,5</w:t>
            </w:r>
          </w:p>
        </w:tc>
        <w:tc>
          <w:tcPr>
            <w:tcW w:w="1134" w:type="dxa"/>
            <w:tcBorders>
              <w:top w:val="nil"/>
              <w:left w:val="nil"/>
              <w:bottom w:val="single" w:sz="4" w:space="0" w:color="auto"/>
              <w:right w:val="single" w:sz="4" w:space="0" w:color="auto"/>
            </w:tcBorders>
            <w:shd w:val="clear" w:color="auto" w:fill="auto"/>
            <w:vAlign w:val="center"/>
            <w:hideMark/>
          </w:tcPr>
          <w:p w14:paraId="2653F171" w14:textId="7EC7D02D"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7D623285" w14:textId="528A48EE"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78CECEF2"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8BC14A6"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10</w:t>
            </w:r>
          </w:p>
        </w:tc>
        <w:tc>
          <w:tcPr>
            <w:tcW w:w="958" w:type="dxa"/>
            <w:tcBorders>
              <w:top w:val="nil"/>
              <w:left w:val="nil"/>
              <w:bottom w:val="single" w:sz="4" w:space="0" w:color="auto"/>
              <w:right w:val="single" w:sz="4" w:space="0" w:color="auto"/>
            </w:tcBorders>
            <w:shd w:val="clear" w:color="auto" w:fill="auto"/>
            <w:vAlign w:val="center"/>
            <w:hideMark/>
          </w:tcPr>
          <w:p w14:paraId="0270E918"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7/19-15</w:t>
            </w:r>
          </w:p>
        </w:tc>
        <w:tc>
          <w:tcPr>
            <w:tcW w:w="993" w:type="dxa"/>
            <w:tcBorders>
              <w:top w:val="nil"/>
              <w:left w:val="nil"/>
              <w:bottom w:val="single" w:sz="4" w:space="0" w:color="auto"/>
              <w:right w:val="single" w:sz="4" w:space="0" w:color="auto"/>
            </w:tcBorders>
            <w:shd w:val="clear" w:color="auto" w:fill="auto"/>
            <w:vAlign w:val="center"/>
            <w:hideMark/>
          </w:tcPr>
          <w:p w14:paraId="40AAE774"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18.10.2018</w:t>
            </w:r>
          </w:p>
        </w:tc>
        <w:tc>
          <w:tcPr>
            <w:tcW w:w="1275" w:type="dxa"/>
            <w:tcBorders>
              <w:top w:val="nil"/>
              <w:left w:val="nil"/>
              <w:bottom w:val="single" w:sz="4" w:space="0" w:color="auto"/>
              <w:right w:val="single" w:sz="4" w:space="0" w:color="auto"/>
            </w:tcBorders>
            <w:shd w:val="clear" w:color="auto" w:fill="auto"/>
            <w:vAlign w:val="center"/>
            <w:hideMark/>
          </w:tcPr>
          <w:p w14:paraId="777E2DA6"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SRL„47 TH Parallel”</w:t>
            </w:r>
          </w:p>
        </w:tc>
        <w:tc>
          <w:tcPr>
            <w:tcW w:w="1843" w:type="dxa"/>
            <w:tcBorders>
              <w:top w:val="nil"/>
              <w:left w:val="nil"/>
              <w:bottom w:val="single" w:sz="4" w:space="0" w:color="auto"/>
              <w:right w:val="single" w:sz="4" w:space="0" w:color="auto"/>
            </w:tcBorders>
            <w:shd w:val="clear" w:color="auto" w:fill="auto"/>
            <w:vAlign w:val="center"/>
            <w:hideMark/>
          </w:tcPr>
          <w:p w14:paraId="3EAA2859"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Aferent</w:t>
            </w:r>
          </w:p>
        </w:tc>
        <w:tc>
          <w:tcPr>
            <w:tcW w:w="1134" w:type="dxa"/>
            <w:tcBorders>
              <w:top w:val="nil"/>
              <w:left w:val="nil"/>
              <w:bottom w:val="single" w:sz="4" w:space="0" w:color="auto"/>
              <w:right w:val="single" w:sz="4" w:space="0" w:color="auto"/>
            </w:tcBorders>
            <w:shd w:val="clear" w:color="auto" w:fill="auto"/>
            <w:vAlign w:val="center"/>
            <w:hideMark/>
          </w:tcPr>
          <w:p w14:paraId="20DABFAB"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0100416295</w:t>
            </w:r>
          </w:p>
        </w:tc>
        <w:tc>
          <w:tcPr>
            <w:tcW w:w="851" w:type="dxa"/>
            <w:tcBorders>
              <w:top w:val="nil"/>
              <w:left w:val="nil"/>
              <w:bottom w:val="single" w:sz="4" w:space="0" w:color="auto"/>
              <w:right w:val="single" w:sz="4" w:space="0" w:color="auto"/>
            </w:tcBorders>
            <w:shd w:val="clear" w:color="auto" w:fill="auto"/>
            <w:vAlign w:val="center"/>
            <w:hideMark/>
          </w:tcPr>
          <w:p w14:paraId="02F7B4BA"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707,69</w:t>
            </w:r>
          </w:p>
        </w:tc>
        <w:tc>
          <w:tcPr>
            <w:tcW w:w="1134" w:type="dxa"/>
            <w:tcBorders>
              <w:top w:val="nil"/>
              <w:left w:val="nil"/>
              <w:bottom w:val="single" w:sz="4" w:space="0" w:color="auto"/>
              <w:right w:val="single" w:sz="4" w:space="0" w:color="auto"/>
            </w:tcBorders>
            <w:shd w:val="clear" w:color="auto" w:fill="auto"/>
            <w:vAlign w:val="center"/>
            <w:hideMark/>
          </w:tcPr>
          <w:p w14:paraId="73DD007C"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0,1012</w:t>
            </w:r>
          </w:p>
        </w:tc>
        <w:tc>
          <w:tcPr>
            <w:tcW w:w="1701" w:type="dxa"/>
            <w:tcBorders>
              <w:top w:val="nil"/>
              <w:left w:val="nil"/>
              <w:bottom w:val="single" w:sz="4" w:space="0" w:color="auto"/>
              <w:right w:val="single" w:sz="4" w:space="0" w:color="auto"/>
            </w:tcBorders>
            <w:shd w:val="clear" w:color="auto" w:fill="auto"/>
            <w:vAlign w:val="center"/>
            <w:hideMark/>
          </w:tcPr>
          <w:p w14:paraId="006888BE"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Nadejda Russo,17</w:t>
            </w:r>
          </w:p>
        </w:tc>
        <w:tc>
          <w:tcPr>
            <w:tcW w:w="1134" w:type="dxa"/>
            <w:tcBorders>
              <w:top w:val="nil"/>
              <w:left w:val="nil"/>
              <w:bottom w:val="single" w:sz="4" w:space="0" w:color="auto"/>
              <w:right w:val="single" w:sz="4" w:space="0" w:color="auto"/>
            </w:tcBorders>
            <w:shd w:val="clear" w:color="auto" w:fill="auto"/>
            <w:vAlign w:val="center"/>
            <w:hideMark/>
          </w:tcPr>
          <w:p w14:paraId="45529699"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6993,0</w:t>
            </w:r>
          </w:p>
        </w:tc>
        <w:tc>
          <w:tcPr>
            <w:tcW w:w="1134" w:type="dxa"/>
            <w:tcBorders>
              <w:top w:val="nil"/>
              <w:left w:val="nil"/>
              <w:bottom w:val="single" w:sz="4" w:space="0" w:color="auto"/>
              <w:right w:val="single" w:sz="4" w:space="0" w:color="auto"/>
            </w:tcBorders>
            <w:shd w:val="clear" w:color="auto" w:fill="auto"/>
            <w:vAlign w:val="center"/>
            <w:hideMark/>
          </w:tcPr>
          <w:p w14:paraId="0C68408E" w14:textId="1E1CB299"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168148B4" w14:textId="4DFC4CC8"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3C909C3F"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0E6048A"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w:t>
            </w:r>
          </w:p>
        </w:tc>
        <w:tc>
          <w:tcPr>
            <w:tcW w:w="958" w:type="dxa"/>
            <w:tcBorders>
              <w:top w:val="nil"/>
              <w:left w:val="nil"/>
              <w:bottom w:val="single" w:sz="4" w:space="0" w:color="auto"/>
              <w:right w:val="single" w:sz="4" w:space="0" w:color="auto"/>
            </w:tcBorders>
            <w:shd w:val="clear" w:color="auto" w:fill="auto"/>
            <w:vAlign w:val="center"/>
            <w:hideMark/>
          </w:tcPr>
          <w:p w14:paraId="0348E7E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2/27-2</w:t>
            </w:r>
          </w:p>
        </w:tc>
        <w:tc>
          <w:tcPr>
            <w:tcW w:w="993" w:type="dxa"/>
            <w:tcBorders>
              <w:top w:val="nil"/>
              <w:left w:val="nil"/>
              <w:bottom w:val="single" w:sz="4" w:space="0" w:color="auto"/>
              <w:right w:val="single" w:sz="4" w:space="0" w:color="auto"/>
            </w:tcBorders>
            <w:shd w:val="clear" w:color="auto" w:fill="auto"/>
            <w:vAlign w:val="center"/>
            <w:hideMark/>
          </w:tcPr>
          <w:p w14:paraId="1EF4F3CA"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22.02.2019</w:t>
            </w:r>
          </w:p>
        </w:tc>
        <w:tc>
          <w:tcPr>
            <w:tcW w:w="1275" w:type="dxa"/>
            <w:tcBorders>
              <w:top w:val="nil"/>
              <w:left w:val="nil"/>
              <w:bottom w:val="single" w:sz="4" w:space="0" w:color="auto"/>
              <w:right w:val="single" w:sz="4" w:space="0" w:color="auto"/>
            </w:tcBorders>
            <w:shd w:val="clear" w:color="auto" w:fill="auto"/>
            <w:vAlign w:val="center"/>
            <w:hideMark/>
          </w:tcPr>
          <w:p w14:paraId="36395DAF" w14:textId="005F023A" w:rsidR="008107EA" w:rsidRPr="009E5B39" w:rsidRDefault="008107EA"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 xml:space="preserve">Pers. fizice </w:t>
            </w:r>
          </w:p>
        </w:tc>
        <w:tc>
          <w:tcPr>
            <w:tcW w:w="1843" w:type="dxa"/>
            <w:tcBorders>
              <w:top w:val="nil"/>
              <w:left w:val="nil"/>
              <w:bottom w:val="single" w:sz="4" w:space="0" w:color="auto"/>
              <w:right w:val="single" w:sz="4" w:space="0" w:color="auto"/>
            </w:tcBorders>
            <w:shd w:val="clear" w:color="auto" w:fill="auto"/>
            <w:vAlign w:val="center"/>
            <w:hideMark/>
          </w:tcPr>
          <w:p w14:paraId="51CBD020"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 xml:space="preserve">Aferent (0,2248 ha) Adiacent (0,0956 ha)    </w:t>
            </w:r>
          </w:p>
        </w:tc>
        <w:tc>
          <w:tcPr>
            <w:tcW w:w="1134" w:type="dxa"/>
            <w:tcBorders>
              <w:top w:val="nil"/>
              <w:left w:val="nil"/>
              <w:bottom w:val="single" w:sz="4" w:space="0" w:color="auto"/>
              <w:right w:val="single" w:sz="4" w:space="0" w:color="auto"/>
            </w:tcBorders>
            <w:shd w:val="clear" w:color="auto" w:fill="auto"/>
            <w:vAlign w:val="center"/>
            <w:hideMark/>
          </w:tcPr>
          <w:p w14:paraId="12FC3564"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0100202290</w:t>
            </w:r>
          </w:p>
        </w:tc>
        <w:tc>
          <w:tcPr>
            <w:tcW w:w="851" w:type="dxa"/>
            <w:tcBorders>
              <w:top w:val="nil"/>
              <w:left w:val="nil"/>
              <w:bottom w:val="single" w:sz="4" w:space="0" w:color="auto"/>
              <w:right w:val="single" w:sz="4" w:space="0" w:color="auto"/>
            </w:tcBorders>
            <w:shd w:val="clear" w:color="auto" w:fill="auto"/>
            <w:vAlign w:val="center"/>
            <w:hideMark/>
          </w:tcPr>
          <w:p w14:paraId="70990807"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2 514,82</w:t>
            </w:r>
          </w:p>
        </w:tc>
        <w:tc>
          <w:tcPr>
            <w:tcW w:w="1134" w:type="dxa"/>
            <w:tcBorders>
              <w:top w:val="nil"/>
              <w:left w:val="nil"/>
              <w:bottom w:val="single" w:sz="4" w:space="0" w:color="auto"/>
              <w:right w:val="single" w:sz="4" w:space="0" w:color="auto"/>
            </w:tcBorders>
            <w:shd w:val="clear" w:color="auto" w:fill="auto"/>
            <w:vAlign w:val="center"/>
            <w:hideMark/>
          </w:tcPr>
          <w:p w14:paraId="39D5F86B"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0,3204</w:t>
            </w:r>
          </w:p>
        </w:tc>
        <w:tc>
          <w:tcPr>
            <w:tcW w:w="1701" w:type="dxa"/>
            <w:tcBorders>
              <w:top w:val="nil"/>
              <w:left w:val="nil"/>
              <w:bottom w:val="single" w:sz="4" w:space="0" w:color="auto"/>
              <w:right w:val="single" w:sz="4" w:space="0" w:color="auto"/>
            </w:tcBorders>
            <w:shd w:val="clear" w:color="auto" w:fill="auto"/>
            <w:vAlign w:val="center"/>
            <w:hideMark/>
          </w:tcPr>
          <w:p w14:paraId="60A7EEB8"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Timiș, 50</w:t>
            </w:r>
          </w:p>
        </w:tc>
        <w:tc>
          <w:tcPr>
            <w:tcW w:w="1134" w:type="dxa"/>
            <w:tcBorders>
              <w:top w:val="nil"/>
              <w:left w:val="nil"/>
              <w:bottom w:val="single" w:sz="4" w:space="0" w:color="auto"/>
              <w:right w:val="single" w:sz="4" w:space="0" w:color="auto"/>
            </w:tcBorders>
            <w:shd w:val="clear" w:color="auto" w:fill="auto"/>
            <w:vAlign w:val="center"/>
            <w:hideMark/>
          </w:tcPr>
          <w:p w14:paraId="257DFE7C"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7849,0</w:t>
            </w:r>
          </w:p>
        </w:tc>
        <w:tc>
          <w:tcPr>
            <w:tcW w:w="1134" w:type="dxa"/>
            <w:tcBorders>
              <w:top w:val="nil"/>
              <w:left w:val="nil"/>
              <w:bottom w:val="single" w:sz="4" w:space="0" w:color="auto"/>
              <w:right w:val="single" w:sz="4" w:space="0" w:color="auto"/>
            </w:tcBorders>
            <w:shd w:val="clear" w:color="auto" w:fill="auto"/>
            <w:vAlign w:val="center"/>
            <w:hideMark/>
          </w:tcPr>
          <w:p w14:paraId="6D989544" w14:textId="631A6D25"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11A330B7" w14:textId="07DA1224"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63641114"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2C6E678"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12</w:t>
            </w:r>
          </w:p>
        </w:tc>
        <w:tc>
          <w:tcPr>
            <w:tcW w:w="958" w:type="dxa"/>
            <w:tcBorders>
              <w:top w:val="nil"/>
              <w:left w:val="nil"/>
              <w:bottom w:val="single" w:sz="4" w:space="0" w:color="auto"/>
              <w:right w:val="single" w:sz="4" w:space="0" w:color="auto"/>
            </w:tcBorders>
            <w:shd w:val="clear" w:color="auto" w:fill="auto"/>
            <w:vAlign w:val="center"/>
            <w:hideMark/>
          </w:tcPr>
          <w:p w14:paraId="73844B4E"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7/13-42</w:t>
            </w:r>
          </w:p>
        </w:tc>
        <w:tc>
          <w:tcPr>
            <w:tcW w:w="993" w:type="dxa"/>
            <w:tcBorders>
              <w:top w:val="nil"/>
              <w:left w:val="nil"/>
              <w:bottom w:val="single" w:sz="4" w:space="0" w:color="auto"/>
              <w:right w:val="single" w:sz="4" w:space="0" w:color="auto"/>
            </w:tcBorders>
            <w:shd w:val="clear" w:color="auto" w:fill="auto"/>
            <w:vAlign w:val="center"/>
            <w:hideMark/>
          </w:tcPr>
          <w:p w14:paraId="3549D4A4"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10.06.2020</w:t>
            </w:r>
          </w:p>
        </w:tc>
        <w:tc>
          <w:tcPr>
            <w:tcW w:w="1275" w:type="dxa"/>
            <w:tcBorders>
              <w:top w:val="nil"/>
              <w:left w:val="nil"/>
              <w:bottom w:val="single" w:sz="4" w:space="0" w:color="auto"/>
              <w:right w:val="single" w:sz="4" w:space="0" w:color="auto"/>
            </w:tcBorders>
            <w:shd w:val="clear" w:color="auto" w:fill="auto"/>
            <w:vAlign w:val="center"/>
            <w:hideMark/>
          </w:tcPr>
          <w:p w14:paraId="6C6F613B" w14:textId="57E51780" w:rsidR="008107EA" w:rsidRPr="009E5B39" w:rsidRDefault="005C6936"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P</w:t>
            </w:r>
            <w:r w:rsidR="008107EA" w:rsidRPr="009E5B39">
              <w:rPr>
                <w:rFonts w:asciiTheme="majorHAnsi" w:eastAsia="Times New Roman" w:hAnsiTheme="majorHAnsi" w:cstheme="majorHAnsi"/>
                <w:sz w:val="16"/>
                <w:szCs w:val="16"/>
                <w:lang w:val="ro-MD" w:eastAsia="ru-RU"/>
              </w:rPr>
              <w:t xml:space="preserve">ers. fizică </w:t>
            </w:r>
          </w:p>
        </w:tc>
        <w:tc>
          <w:tcPr>
            <w:tcW w:w="1843" w:type="dxa"/>
            <w:tcBorders>
              <w:top w:val="nil"/>
              <w:left w:val="nil"/>
              <w:bottom w:val="single" w:sz="4" w:space="0" w:color="auto"/>
              <w:right w:val="single" w:sz="4" w:space="0" w:color="auto"/>
            </w:tcBorders>
            <w:shd w:val="clear" w:color="auto" w:fill="auto"/>
            <w:vAlign w:val="center"/>
            <w:hideMark/>
          </w:tcPr>
          <w:p w14:paraId="07F2037B"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Aferent (casei de locuit particulare)</w:t>
            </w:r>
          </w:p>
        </w:tc>
        <w:tc>
          <w:tcPr>
            <w:tcW w:w="1134" w:type="dxa"/>
            <w:tcBorders>
              <w:top w:val="nil"/>
              <w:left w:val="nil"/>
              <w:bottom w:val="single" w:sz="4" w:space="0" w:color="auto"/>
              <w:right w:val="single" w:sz="4" w:space="0" w:color="auto"/>
            </w:tcBorders>
            <w:shd w:val="clear" w:color="auto" w:fill="auto"/>
            <w:vAlign w:val="center"/>
            <w:hideMark/>
          </w:tcPr>
          <w:p w14:paraId="6A7C40A6"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0100102220</w:t>
            </w:r>
          </w:p>
        </w:tc>
        <w:tc>
          <w:tcPr>
            <w:tcW w:w="851" w:type="dxa"/>
            <w:tcBorders>
              <w:top w:val="nil"/>
              <w:left w:val="nil"/>
              <w:bottom w:val="single" w:sz="4" w:space="0" w:color="auto"/>
              <w:right w:val="single" w:sz="4" w:space="0" w:color="auto"/>
            </w:tcBorders>
            <w:shd w:val="clear" w:color="auto" w:fill="auto"/>
            <w:vAlign w:val="center"/>
            <w:hideMark/>
          </w:tcPr>
          <w:p w14:paraId="3BC91EA2"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0,41</w:t>
            </w:r>
          </w:p>
        </w:tc>
        <w:tc>
          <w:tcPr>
            <w:tcW w:w="1134" w:type="dxa"/>
            <w:tcBorders>
              <w:top w:val="nil"/>
              <w:left w:val="nil"/>
              <w:bottom w:val="single" w:sz="4" w:space="0" w:color="auto"/>
              <w:right w:val="single" w:sz="4" w:space="0" w:color="auto"/>
            </w:tcBorders>
            <w:shd w:val="clear" w:color="auto" w:fill="auto"/>
            <w:vAlign w:val="center"/>
            <w:hideMark/>
          </w:tcPr>
          <w:p w14:paraId="2DA91022"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0,0582</w:t>
            </w:r>
          </w:p>
        </w:tc>
        <w:tc>
          <w:tcPr>
            <w:tcW w:w="1701" w:type="dxa"/>
            <w:tcBorders>
              <w:top w:val="nil"/>
              <w:left w:val="nil"/>
              <w:bottom w:val="single" w:sz="4" w:space="0" w:color="auto"/>
              <w:right w:val="single" w:sz="4" w:space="0" w:color="auto"/>
            </w:tcBorders>
            <w:shd w:val="clear" w:color="auto" w:fill="auto"/>
            <w:vAlign w:val="center"/>
            <w:hideMark/>
          </w:tcPr>
          <w:p w14:paraId="49DCB5AD"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Dimitrie Moruzi,16</w:t>
            </w:r>
          </w:p>
        </w:tc>
        <w:tc>
          <w:tcPr>
            <w:tcW w:w="1134" w:type="dxa"/>
            <w:tcBorders>
              <w:top w:val="nil"/>
              <w:left w:val="nil"/>
              <w:bottom w:val="single" w:sz="4" w:space="0" w:color="auto"/>
              <w:right w:val="single" w:sz="4" w:space="0" w:color="auto"/>
            </w:tcBorders>
            <w:shd w:val="clear" w:color="auto" w:fill="auto"/>
            <w:vAlign w:val="center"/>
            <w:hideMark/>
          </w:tcPr>
          <w:p w14:paraId="33329912"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7,0</w:t>
            </w:r>
          </w:p>
        </w:tc>
        <w:tc>
          <w:tcPr>
            <w:tcW w:w="1134" w:type="dxa"/>
            <w:tcBorders>
              <w:top w:val="nil"/>
              <w:left w:val="nil"/>
              <w:bottom w:val="single" w:sz="4" w:space="0" w:color="auto"/>
              <w:right w:val="single" w:sz="4" w:space="0" w:color="auto"/>
            </w:tcBorders>
            <w:shd w:val="clear" w:color="auto" w:fill="auto"/>
            <w:vAlign w:val="center"/>
            <w:hideMark/>
          </w:tcPr>
          <w:p w14:paraId="37271E9B" w14:textId="53F69F8E"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72CDFCB1" w14:textId="3753F86F"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1AE2D5B2"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0F012FF"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13</w:t>
            </w:r>
          </w:p>
        </w:tc>
        <w:tc>
          <w:tcPr>
            <w:tcW w:w="958" w:type="dxa"/>
            <w:tcBorders>
              <w:top w:val="nil"/>
              <w:left w:val="nil"/>
              <w:bottom w:val="single" w:sz="4" w:space="0" w:color="auto"/>
              <w:right w:val="single" w:sz="4" w:space="0" w:color="auto"/>
            </w:tcBorders>
            <w:shd w:val="clear" w:color="auto" w:fill="auto"/>
            <w:vAlign w:val="center"/>
            <w:hideMark/>
          </w:tcPr>
          <w:p w14:paraId="6515753C"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9/40-13</w:t>
            </w:r>
          </w:p>
        </w:tc>
        <w:tc>
          <w:tcPr>
            <w:tcW w:w="993" w:type="dxa"/>
            <w:tcBorders>
              <w:top w:val="nil"/>
              <w:left w:val="nil"/>
              <w:bottom w:val="single" w:sz="4" w:space="0" w:color="auto"/>
              <w:right w:val="single" w:sz="4" w:space="0" w:color="auto"/>
            </w:tcBorders>
            <w:shd w:val="clear" w:color="auto" w:fill="auto"/>
            <w:vAlign w:val="center"/>
            <w:hideMark/>
          </w:tcPr>
          <w:p w14:paraId="033F6C4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16.01.2019</w:t>
            </w:r>
          </w:p>
        </w:tc>
        <w:tc>
          <w:tcPr>
            <w:tcW w:w="1275" w:type="dxa"/>
            <w:tcBorders>
              <w:top w:val="nil"/>
              <w:left w:val="nil"/>
              <w:bottom w:val="single" w:sz="4" w:space="0" w:color="auto"/>
              <w:right w:val="single" w:sz="4" w:space="0" w:color="auto"/>
            </w:tcBorders>
            <w:shd w:val="clear" w:color="auto" w:fill="auto"/>
            <w:vAlign w:val="center"/>
            <w:hideMark/>
          </w:tcPr>
          <w:p w14:paraId="33295501" w14:textId="0AC37EB1" w:rsidR="008107EA" w:rsidRPr="009E5B39" w:rsidRDefault="005C6936"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P</w:t>
            </w:r>
            <w:r w:rsidR="008107EA" w:rsidRPr="009E5B39">
              <w:rPr>
                <w:rFonts w:asciiTheme="majorHAnsi" w:eastAsia="Times New Roman" w:hAnsiTheme="majorHAnsi" w:cstheme="majorHAnsi"/>
                <w:sz w:val="16"/>
                <w:szCs w:val="16"/>
                <w:lang w:val="ro-MD" w:eastAsia="ru-RU"/>
              </w:rPr>
              <w:t xml:space="preserve">ers. fizică </w:t>
            </w:r>
          </w:p>
        </w:tc>
        <w:tc>
          <w:tcPr>
            <w:tcW w:w="1843" w:type="dxa"/>
            <w:tcBorders>
              <w:top w:val="nil"/>
              <w:left w:val="nil"/>
              <w:bottom w:val="single" w:sz="4" w:space="0" w:color="auto"/>
              <w:right w:val="single" w:sz="4" w:space="0" w:color="auto"/>
            </w:tcBorders>
            <w:shd w:val="clear" w:color="auto" w:fill="auto"/>
            <w:vAlign w:val="center"/>
            <w:hideMark/>
          </w:tcPr>
          <w:p w14:paraId="53AEDB36"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Aferent (casei de locuit particulare)</w:t>
            </w:r>
          </w:p>
        </w:tc>
        <w:tc>
          <w:tcPr>
            <w:tcW w:w="1134" w:type="dxa"/>
            <w:tcBorders>
              <w:top w:val="nil"/>
              <w:left w:val="nil"/>
              <w:bottom w:val="single" w:sz="4" w:space="0" w:color="auto"/>
              <w:right w:val="single" w:sz="4" w:space="0" w:color="auto"/>
            </w:tcBorders>
            <w:shd w:val="clear" w:color="auto" w:fill="auto"/>
            <w:vAlign w:val="center"/>
            <w:hideMark/>
          </w:tcPr>
          <w:p w14:paraId="761C7AE9"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0100201403</w:t>
            </w:r>
          </w:p>
        </w:tc>
        <w:tc>
          <w:tcPr>
            <w:tcW w:w="851" w:type="dxa"/>
            <w:tcBorders>
              <w:top w:val="nil"/>
              <w:left w:val="nil"/>
              <w:bottom w:val="single" w:sz="4" w:space="0" w:color="auto"/>
              <w:right w:val="single" w:sz="4" w:space="0" w:color="auto"/>
            </w:tcBorders>
            <w:shd w:val="clear" w:color="auto" w:fill="auto"/>
            <w:vAlign w:val="center"/>
            <w:hideMark/>
          </w:tcPr>
          <w:p w14:paraId="3DA423BF"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0,66</w:t>
            </w:r>
          </w:p>
        </w:tc>
        <w:tc>
          <w:tcPr>
            <w:tcW w:w="1134" w:type="dxa"/>
            <w:tcBorders>
              <w:top w:val="nil"/>
              <w:left w:val="nil"/>
              <w:bottom w:val="single" w:sz="4" w:space="0" w:color="auto"/>
              <w:right w:val="single" w:sz="4" w:space="0" w:color="auto"/>
            </w:tcBorders>
            <w:shd w:val="clear" w:color="auto" w:fill="auto"/>
            <w:vAlign w:val="center"/>
            <w:hideMark/>
          </w:tcPr>
          <w:p w14:paraId="5CFC2DD4"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0,06</w:t>
            </w:r>
          </w:p>
        </w:tc>
        <w:tc>
          <w:tcPr>
            <w:tcW w:w="1701" w:type="dxa"/>
            <w:tcBorders>
              <w:top w:val="nil"/>
              <w:left w:val="nil"/>
              <w:bottom w:val="single" w:sz="4" w:space="0" w:color="auto"/>
              <w:right w:val="single" w:sz="4" w:space="0" w:color="auto"/>
            </w:tcBorders>
            <w:shd w:val="clear" w:color="auto" w:fill="auto"/>
            <w:vAlign w:val="center"/>
            <w:hideMark/>
          </w:tcPr>
          <w:p w14:paraId="5176F6E1"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 xml:space="preserve">mun. Chișinău, str. Dragomirna 10 </w:t>
            </w:r>
          </w:p>
        </w:tc>
        <w:tc>
          <w:tcPr>
            <w:tcW w:w="1134" w:type="dxa"/>
            <w:tcBorders>
              <w:top w:val="nil"/>
              <w:left w:val="nil"/>
              <w:bottom w:val="single" w:sz="4" w:space="0" w:color="auto"/>
              <w:right w:val="single" w:sz="4" w:space="0" w:color="auto"/>
            </w:tcBorders>
            <w:shd w:val="clear" w:color="auto" w:fill="auto"/>
            <w:vAlign w:val="center"/>
            <w:hideMark/>
          </w:tcPr>
          <w:p w14:paraId="5BE9FFE9"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11,7</w:t>
            </w:r>
          </w:p>
        </w:tc>
        <w:tc>
          <w:tcPr>
            <w:tcW w:w="1134" w:type="dxa"/>
            <w:tcBorders>
              <w:top w:val="nil"/>
              <w:left w:val="nil"/>
              <w:bottom w:val="single" w:sz="4" w:space="0" w:color="auto"/>
              <w:right w:val="single" w:sz="4" w:space="0" w:color="auto"/>
            </w:tcBorders>
            <w:shd w:val="clear" w:color="auto" w:fill="auto"/>
            <w:vAlign w:val="center"/>
            <w:hideMark/>
          </w:tcPr>
          <w:p w14:paraId="3B0B763F" w14:textId="2B6E78BE"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41C4183E" w14:textId="481AD043"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3A1267F0"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B2CD8F8"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14</w:t>
            </w:r>
          </w:p>
        </w:tc>
        <w:tc>
          <w:tcPr>
            <w:tcW w:w="958" w:type="dxa"/>
            <w:tcBorders>
              <w:top w:val="nil"/>
              <w:left w:val="nil"/>
              <w:bottom w:val="single" w:sz="4" w:space="0" w:color="auto"/>
              <w:right w:val="single" w:sz="4" w:space="0" w:color="auto"/>
            </w:tcBorders>
            <w:shd w:val="clear" w:color="auto" w:fill="auto"/>
            <w:vAlign w:val="center"/>
            <w:hideMark/>
          </w:tcPr>
          <w:p w14:paraId="528C6AA0"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7/13-8</w:t>
            </w:r>
          </w:p>
        </w:tc>
        <w:tc>
          <w:tcPr>
            <w:tcW w:w="993" w:type="dxa"/>
            <w:tcBorders>
              <w:top w:val="nil"/>
              <w:left w:val="nil"/>
              <w:bottom w:val="single" w:sz="4" w:space="0" w:color="auto"/>
              <w:right w:val="single" w:sz="4" w:space="0" w:color="auto"/>
            </w:tcBorders>
            <w:shd w:val="clear" w:color="auto" w:fill="auto"/>
            <w:vAlign w:val="center"/>
            <w:hideMark/>
          </w:tcPr>
          <w:p w14:paraId="6FE34F5E"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08.10.2018</w:t>
            </w:r>
          </w:p>
        </w:tc>
        <w:tc>
          <w:tcPr>
            <w:tcW w:w="1275" w:type="dxa"/>
            <w:tcBorders>
              <w:top w:val="nil"/>
              <w:left w:val="nil"/>
              <w:bottom w:val="single" w:sz="4" w:space="0" w:color="auto"/>
              <w:right w:val="single" w:sz="4" w:space="0" w:color="auto"/>
            </w:tcBorders>
            <w:shd w:val="clear" w:color="auto" w:fill="auto"/>
            <w:vAlign w:val="center"/>
            <w:hideMark/>
          </w:tcPr>
          <w:p w14:paraId="7E68C1C8" w14:textId="08E01177" w:rsidR="008107EA" w:rsidRPr="009E5B39" w:rsidRDefault="005C6936"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P</w:t>
            </w:r>
            <w:r w:rsidR="008107EA" w:rsidRPr="009E5B39">
              <w:rPr>
                <w:rFonts w:asciiTheme="majorHAnsi" w:eastAsia="Times New Roman" w:hAnsiTheme="majorHAnsi" w:cstheme="majorHAnsi"/>
                <w:sz w:val="16"/>
                <w:szCs w:val="16"/>
                <w:lang w:val="ro-MD" w:eastAsia="ru-RU"/>
              </w:rPr>
              <w:t>ers</w:t>
            </w:r>
            <w:r w:rsidRPr="009E5B39">
              <w:rPr>
                <w:rFonts w:asciiTheme="majorHAnsi" w:eastAsia="Times New Roman" w:hAnsiTheme="majorHAnsi" w:cstheme="majorHAnsi"/>
                <w:sz w:val="16"/>
                <w:szCs w:val="16"/>
                <w:lang w:val="ro-MD" w:eastAsia="ru-RU"/>
              </w:rPr>
              <w:t>.</w:t>
            </w:r>
            <w:r w:rsidR="008107EA" w:rsidRPr="009E5B39">
              <w:rPr>
                <w:rFonts w:asciiTheme="majorHAnsi" w:eastAsia="Times New Roman" w:hAnsiTheme="majorHAnsi" w:cstheme="majorHAnsi"/>
                <w:sz w:val="16"/>
                <w:szCs w:val="16"/>
                <w:lang w:val="ro-MD" w:eastAsia="ru-RU"/>
              </w:rPr>
              <w:t xml:space="preserve"> fizică </w:t>
            </w:r>
          </w:p>
        </w:tc>
        <w:tc>
          <w:tcPr>
            <w:tcW w:w="1843" w:type="dxa"/>
            <w:tcBorders>
              <w:top w:val="nil"/>
              <w:left w:val="nil"/>
              <w:bottom w:val="single" w:sz="4" w:space="0" w:color="auto"/>
              <w:right w:val="single" w:sz="4" w:space="0" w:color="auto"/>
            </w:tcBorders>
            <w:shd w:val="clear" w:color="auto" w:fill="auto"/>
            <w:vAlign w:val="center"/>
            <w:hideMark/>
          </w:tcPr>
          <w:p w14:paraId="13DF009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Aferent (casei de locuit particulare)</w:t>
            </w:r>
          </w:p>
        </w:tc>
        <w:tc>
          <w:tcPr>
            <w:tcW w:w="1134" w:type="dxa"/>
            <w:tcBorders>
              <w:top w:val="nil"/>
              <w:left w:val="nil"/>
              <w:bottom w:val="single" w:sz="4" w:space="0" w:color="auto"/>
              <w:right w:val="single" w:sz="4" w:space="0" w:color="auto"/>
            </w:tcBorders>
            <w:shd w:val="clear" w:color="auto" w:fill="auto"/>
            <w:vAlign w:val="center"/>
            <w:hideMark/>
          </w:tcPr>
          <w:p w14:paraId="6D260F6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0100203201</w:t>
            </w:r>
          </w:p>
        </w:tc>
        <w:tc>
          <w:tcPr>
            <w:tcW w:w="851" w:type="dxa"/>
            <w:tcBorders>
              <w:top w:val="nil"/>
              <w:left w:val="nil"/>
              <w:bottom w:val="single" w:sz="4" w:space="0" w:color="auto"/>
              <w:right w:val="single" w:sz="4" w:space="0" w:color="auto"/>
            </w:tcBorders>
            <w:shd w:val="clear" w:color="auto" w:fill="auto"/>
            <w:vAlign w:val="center"/>
            <w:hideMark/>
          </w:tcPr>
          <w:p w14:paraId="68298987"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0,68</w:t>
            </w:r>
          </w:p>
        </w:tc>
        <w:tc>
          <w:tcPr>
            <w:tcW w:w="1134" w:type="dxa"/>
            <w:tcBorders>
              <w:top w:val="nil"/>
              <w:left w:val="nil"/>
              <w:bottom w:val="single" w:sz="4" w:space="0" w:color="auto"/>
              <w:right w:val="single" w:sz="4" w:space="0" w:color="auto"/>
            </w:tcBorders>
            <w:shd w:val="clear" w:color="auto" w:fill="auto"/>
            <w:vAlign w:val="center"/>
            <w:hideMark/>
          </w:tcPr>
          <w:p w14:paraId="1C8DF95B"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0,0579</w:t>
            </w:r>
          </w:p>
        </w:tc>
        <w:tc>
          <w:tcPr>
            <w:tcW w:w="1701" w:type="dxa"/>
            <w:tcBorders>
              <w:top w:val="nil"/>
              <w:left w:val="nil"/>
              <w:bottom w:val="single" w:sz="4" w:space="0" w:color="auto"/>
              <w:right w:val="single" w:sz="4" w:space="0" w:color="auto"/>
            </w:tcBorders>
            <w:shd w:val="clear" w:color="auto" w:fill="auto"/>
            <w:vAlign w:val="center"/>
            <w:hideMark/>
          </w:tcPr>
          <w:p w14:paraId="0DA3CE76"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Chișinău,str. Universității,4</w:t>
            </w:r>
          </w:p>
        </w:tc>
        <w:tc>
          <w:tcPr>
            <w:tcW w:w="1134" w:type="dxa"/>
            <w:tcBorders>
              <w:top w:val="nil"/>
              <w:left w:val="nil"/>
              <w:bottom w:val="single" w:sz="4" w:space="0" w:color="auto"/>
              <w:right w:val="single" w:sz="4" w:space="0" w:color="auto"/>
            </w:tcBorders>
            <w:shd w:val="clear" w:color="auto" w:fill="auto"/>
            <w:vAlign w:val="center"/>
            <w:hideMark/>
          </w:tcPr>
          <w:p w14:paraId="6034336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11,7</w:t>
            </w:r>
          </w:p>
        </w:tc>
        <w:tc>
          <w:tcPr>
            <w:tcW w:w="1134" w:type="dxa"/>
            <w:tcBorders>
              <w:top w:val="nil"/>
              <w:left w:val="nil"/>
              <w:bottom w:val="single" w:sz="4" w:space="0" w:color="auto"/>
              <w:right w:val="single" w:sz="4" w:space="0" w:color="auto"/>
            </w:tcBorders>
            <w:shd w:val="clear" w:color="auto" w:fill="auto"/>
            <w:vAlign w:val="center"/>
            <w:hideMark/>
          </w:tcPr>
          <w:p w14:paraId="4DA4A22D" w14:textId="47B47FDE"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FEE752F" w14:textId="729A4635"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3DD2050A"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F2A302F"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15</w:t>
            </w:r>
          </w:p>
        </w:tc>
        <w:tc>
          <w:tcPr>
            <w:tcW w:w="958" w:type="dxa"/>
            <w:tcBorders>
              <w:top w:val="nil"/>
              <w:left w:val="nil"/>
              <w:bottom w:val="single" w:sz="4" w:space="0" w:color="auto"/>
              <w:right w:val="single" w:sz="4" w:space="0" w:color="auto"/>
            </w:tcBorders>
            <w:shd w:val="clear" w:color="auto" w:fill="auto"/>
            <w:vAlign w:val="center"/>
            <w:hideMark/>
          </w:tcPr>
          <w:p w14:paraId="40877EA6"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12/12-17</w:t>
            </w:r>
          </w:p>
        </w:tc>
        <w:tc>
          <w:tcPr>
            <w:tcW w:w="993" w:type="dxa"/>
            <w:tcBorders>
              <w:top w:val="nil"/>
              <w:left w:val="nil"/>
              <w:bottom w:val="single" w:sz="4" w:space="0" w:color="auto"/>
              <w:right w:val="single" w:sz="4" w:space="0" w:color="auto"/>
            </w:tcBorders>
            <w:shd w:val="clear" w:color="auto" w:fill="auto"/>
            <w:vAlign w:val="center"/>
            <w:hideMark/>
          </w:tcPr>
          <w:p w14:paraId="29127EA6"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15.07.2008</w:t>
            </w:r>
          </w:p>
        </w:tc>
        <w:tc>
          <w:tcPr>
            <w:tcW w:w="1275" w:type="dxa"/>
            <w:tcBorders>
              <w:top w:val="nil"/>
              <w:left w:val="nil"/>
              <w:bottom w:val="single" w:sz="4" w:space="0" w:color="auto"/>
              <w:right w:val="single" w:sz="4" w:space="0" w:color="auto"/>
            </w:tcBorders>
            <w:shd w:val="clear" w:color="auto" w:fill="auto"/>
            <w:vAlign w:val="center"/>
            <w:hideMark/>
          </w:tcPr>
          <w:p w14:paraId="45915FB3" w14:textId="170AA872" w:rsidR="008107EA" w:rsidRPr="009E5B39" w:rsidRDefault="005C6936"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P</w:t>
            </w:r>
            <w:r w:rsidR="008107EA" w:rsidRPr="009E5B39">
              <w:rPr>
                <w:rFonts w:asciiTheme="majorHAnsi" w:eastAsia="Times New Roman" w:hAnsiTheme="majorHAnsi" w:cstheme="majorHAnsi"/>
                <w:sz w:val="16"/>
                <w:szCs w:val="16"/>
                <w:lang w:val="ro-MD" w:eastAsia="ru-RU"/>
              </w:rPr>
              <w:t xml:space="preserve">ers. fizică </w:t>
            </w:r>
          </w:p>
        </w:tc>
        <w:tc>
          <w:tcPr>
            <w:tcW w:w="1843" w:type="dxa"/>
            <w:tcBorders>
              <w:top w:val="nil"/>
              <w:left w:val="nil"/>
              <w:bottom w:val="single" w:sz="4" w:space="0" w:color="auto"/>
              <w:right w:val="single" w:sz="4" w:space="0" w:color="auto"/>
            </w:tcBorders>
            <w:shd w:val="clear" w:color="auto" w:fill="auto"/>
            <w:vAlign w:val="center"/>
            <w:hideMark/>
          </w:tcPr>
          <w:p w14:paraId="7511351C"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Aferent (casei de locuit particulare)</w:t>
            </w:r>
          </w:p>
        </w:tc>
        <w:tc>
          <w:tcPr>
            <w:tcW w:w="1134" w:type="dxa"/>
            <w:tcBorders>
              <w:top w:val="nil"/>
              <w:left w:val="nil"/>
              <w:bottom w:val="single" w:sz="4" w:space="0" w:color="auto"/>
              <w:right w:val="single" w:sz="4" w:space="0" w:color="auto"/>
            </w:tcBorders>
            <w:shd w:val="clear" w:color="auto" w:fill="auto"/>
            <w:vAlign w:val="center"/>
            <w:hideMark/>
          </w:tcPr>
          <w:p w14:paraId="302F604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0100209081</w:t>
            </w:r>
          </w:p>
        </w:tc>
        <w:tc>
          <w:tcPr>
            <w:tcW w:w="851" w:type="dxa"/>
            <w:tcBorders>
              <w:top w:val="nil"/>
              <w:left w:val="nil"/>
              <w:bottom w:val="single" w:sz="4" w:space="0" w:color="auto"/>
              <w:right w:val="single" w:sz="4" w:space="0" w:color="auto"/>
            </w:tcBorders>
            <w:shd w:val="clear" w:color="auto" w:fill="auto"/>
            <w:vAlign w:val="center"/>
            <w:hideMark/>
          </w:tcPr>
          <w:p w14:paraId="248CFC87"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120,00</w:t>
            </w:r>
          </w:p>
        </w:tc>
        <w:tc>
          <w:tcPr>
            <w:tcW w:w="1134" w:type="dxa"/>
            <w:tcBorders>
              <w:top w:val="nil"/>
              <w:left w:val="nil"/>
              <w:bottom w:val="single" w:sz="4" w:space="0" w:color="auto"/>
              <w:right w:val="single" w:sz="4" w:space="0" w:color="auto"/>
            </w:tcBorders>
            <w:shd w:val="clear" w:color="auto" w:fill="auto"/>
            <w:vAlign w:val="center"/>
            <w:hideMark/>
          </w:tcPr>
          <w:p w14:paraId="4FC08921"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0,0380</w:t>
            </w:r>
          </w:p>
        </w:tc>
        <w:tc>
          <w:tcPr>
            <w:tcW w:w="1701" w:type="dxa"/>
            <w:tcBorders>
              <w:top w:val="nil"/>
              <w:left w:val="nil"/>
              <w:bottom w:val="single" w:sz="4" w:space="0" w:color="auto"/>
              <w:right w:val="single" w:sz="4" w:space="0" w:color="auto"/>
            </w:tcBorders>
            <w:shd w:val="clear" w:color="auto" w:fill="auto"/>
            <w:vAlign w:val="center"/>
            <w:hideMark/>
          </w:tcPr>
          <w:p w14:paraId="285998C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Mircea Eliade, 34„G”</w:t>
            </w:r>
          </w:p>
        </w:tc>
        <w:tc>
          <w:tcPr>
            <w:tcW w:w="1134" w:type="dxa"/>
            <w:tcBorders>
              <w:top w:val="nil"/>
              <w:left w:val="nil"/>
              <w:bottom w:val="single" w:sz="4" w:space="0" w:color="auto"/>
              <w:right w:val="single" w:sz="4" w:space="0" w:color="auto"/>
            </w:tcBorders>
            <w:shd w:val="clear" w:color="auto" w:fill="auto"/>
            <w:vAlign w:val="center"/>
            <w:hideMark/>
          </w:tcPr>
          <w:p w14:paraId="104698FB"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3157,9</w:t>
            </w:r>
          </w:p>
        </w:tc>
        <w:tc>
          <w:tcPr>
            <w:tcW w:w="1134" w:type="dxa"/>
            <w:tcBorders>
              <w:top w:val="nil"/>
              <w:left w:val="nil"/>
              <w:bottom w:val="single" w:sz="4" w:space="0" w:color="auto"/>
              <w:right w:val="single" w:sz="4" w:space="0" w:color="auto"/>
            </w:tcBorders>
            <w:shd w:val="clear" w:color="auto" w:fill="auto"/>
            <w:vAlign w:val="center"/>
            <w:hideMark/>
          </w:tcPr>
          <w:p w14:paraId="7F679FBC" w14:textId="238441F0"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4567E53C" w14:textId="23E25035"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40195763"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D182D18"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16</w:t>
            </w:r>
          </w:p>
        </w:tc>
        <w:tc>
          <w:tcPr>
            <w:tcW w:w="958" w:type="dxa"/>
            <w:tcBorders>
              <w:top w:val="nil"/>
              <w:left w:val="nil"/>
              <w:bottom w:val="single" w:sz="4" w:space="0" w:color="auto"/>
              <w:right w:val="single" w:sz="4" w:space="0" w:color="auto"/>
            </w:tcBorders>
            <w:shd w:val="clear" w:color="auto" w:fill="auto"/>
            <w:vAlign w:val="center"/>
            <w:hideMark/>
          </w:tcPr>
          <w:p w14:paraId="6386D11A"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5/18-6</w:t>
            </w:r>
          </w:p>
        </w:tc>
        <w:tc>
          <w:tcPr>
            <w:tcW w:w="993" w:type="dxa"/>
            <w:tcBorders>
              <w:top w:val="nil"/>
              <w:left w:val="nil"/>
              <w:bottom w:val="single" w:sz="4" w:space="0" w:color="auto"/>
              <w:right w:val="single" w:sz="4" w:space="0" w:color="auto"/>
            </w:tcBorders>
            <w:shd w:val="clear" w:color="auto" w:fill="auto"/>
            <w:vAlign w:val="center"/>
            <w:hideMark/>
          </w:tcPr>
          <w:p w14:paraId="4610B50D"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11.05.2017</w:t>
            </w:r>
          </w:p>
        </w:tc>
        <w:tc>
          <w:tcPr>
            <w:tcW w:w="1275" w:type="dxa"/>
            <w:tcBorders>
              <w:top w:val="nil"/>
              <w:left w:val="nil"/>
              <w:bottom w:val="single" w:sz="4" w:space="0" w:color="auto"/>
              <w:right w:val="single" w:sz="4" w:space="0" w:color="auto"/>
            </w:tcBorders>
            <w:shd w:val="clear" w:color="auto" w:fill="auto"/>
            <w:vAlign w:val="center"/>
            <w:hideMark/>
          </w:tcPr>
          <w:p w14:paraId="09FE8F10" w14:textId="0EECE952" w:rsidR="008107EA" w:rsidRPr="009E5B39" w:rsidRDefault="005C6936"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P</w:t>
            </w:r>
            <w:r w:rsidR="008107EA" w:rsidRPr="009E5B39">
              <w:rPr>
                <w:rFonts w:asciiTheme="majorHAnsi" w:eastAsia="Times New Roman" w:hAnsiTheme="majorHAnsi" w:cstheme="majorHAnsi"/>
                <w:sz w:val="16"/>
                <w:szCs w:val="16"/>
                <w:lang w:val="ro-MD" w:eastAsia="ru-RU"/>
              </w:rPr>
              <w:t xml:space="preserve">ers. fizică </w:t>
            </w:r>
          </w:p>
        </w:tc>
        <w:tc>
          <w:tcPr>
            <w:tcW w:w="1843" w:type="dxa"/>
            <w:tcBorders>
              <w:top w:val="nil"/>
              <w:left w:val="nil"/>
              <w:bottom w:val="single" w:sz="4" w:space="0" w:color="auto"/>
              <w:right w:val="single" w:sz="4" w:space="0" w:color="auto"/>
            </w:tcBorders>
            <w:shd w:val="clear" w:color="auto" w:fill="auto"/>
            <w:vAlign w:val="center"/>
            <w:hideMark/>
          </w:tcPr>
          <w:p w14:paraId="05C31C67"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Aferent (casei de locuit particulare)</w:t>
            </w:r>
          </w:p>
        </w:tc>
        <w:tc>
          <w:tcPr>
            <w:tcW w:w="1134" w:type="dxa"/>
            <w:tcBorders>
              <w:top w:val="nil"/>
              <w:left w:val="nil"/>
              <w:bottom w:val="single" w:sz="4" w:space="0" w:color="auto"/>
              <w:right w:val="single" w:sz="4" w:space="0" w:color="auto"/>
            </w:tcBorders>
            <w:shd w:val="clear" w:color="auto" w:fill="auto"/>
            <w:vAlign w:val="center"/>
            <w:hideMark/>
          </w:tcPr>
          <w:p w14:paraId="292548C0"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0100405209</w:t>
            </w:r>
          </w:p>
        </w:tc>
        <w:tc>
          <w:tcPr>
            <w:tcW w:w="851" w:type="dxa"/>
            <w:tcBorders>
              <w:top w:val="nil"/>
              <w:left w:val="nil"/>
              <w:bottom w:val="single" w:sz="4" w:space="0" w:color="auto"/>
              <w:right w:val="single" w:sz="4" w:space="0" w:color="auto"/>
            </w:tcBorders>
            <w:shd w:val="clear" w:color="auto" w:fill="auto"/>
            <w:vAlign w:val="center"/>
            <w:hideMark/>
          </w:tcPr>
          <w:p w14:paraId="1664C379"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0,82</w:t>
            </w:r>
          </w:p>
        </w:tc>
        <w:tc>
          <w:tcPr>
            <w:tcW w:w="1134" w:type="dxa"/>
            <w:tcBorders>
              <w:top w:val="nil"/>
              <w:left w:val="nil"/>
              <w:bottom w:val="single" w:sz="4" w:space="0" w:color="auto"/>
              <w:right w:val="single" w:sz="4" w:space="0" w:color="auto"/>
            </w:tcBorders>
            <w:shd w:val="clear" w:color="auto" w:fill="auto"/>
            <w:vAlign w:val="center"/>
            <w:hideMark/>
          </w:tcPr>
          <w:p w14:paraId="32ABA4A4"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0,07</w:t>
            </w:r>
          </w:p>
        </w:tc>
        <w:tc>
          <w:tcPr>
            <w:tcW w:w="1701" w:type="dxa"/>
            <w:tcBorders>
              <w:top w:val="nil"/>
              <w:left w:val="nil"/>
              <w:bottom w:val="single" w:sz="4" w:space="0" w:color="auto"/>
              <w:right w:val="single" w:sz="4" w:space="0" w:color="auto"/>
            </w:tcBorders>
            <w:shd w:val="clear" w:color="auto" w:fill="auto"/>
            <w:vAlign w:val="center"/>
            <w:hideMark/>
          </w:tcPr>
          <w:p w14:paraId="7DD7FD71"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Iazului 20</w:t>
            </w:r>
          </w:p>
        </w:tc>
        <w:tc>
          <w:tcPr>
            <w:tcW w:w="1134" w:type="dxa"/>
            <w:tcBorders>
              <w:top w:val="nil"/>
              <w:left w:val="nil"/>
              <w:bottom w:val="single" w:sz="4" w:space="0" w:color="auto"/>
              <w:right w:val="single" w:sz="4" w:space="0" w:color="auto"/>
            </w:tcBorders>
            <w:shd w:val="clear" w:color="auto" w:fill="auto"/>
            <w:vAlign w:val="center"/>
            <w:hideMark/>
          </w:tcPr>
          <w:p w14:paraId="6222DE6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11,8</w:t>
            </w:r>
          </w:p>
        </w:tc>
        <w:tc>
          <w:tcPr>
            <w:tcW w:w="1134" w:type="dxa"/>
            <w:tcBorders>
              <w:top w:val="nil"/>
              <w:left w:val="nil"/>
              <w:bottom w:val="single" w:sz="4" w:space="0" w:color="auto"/>
              <w:right w:val="single" w:sz="4" w:space="0" w:color="auto"/>
            </w:tcBorders>
            <w:shd w:val="clear" w:color="auto" w:fill="auto"/>
            <w:vAlign w:val="center"/>
            <w:hideMark/>
          </w:tcPr>
          <w:p w14:paraId="6EBABCC1" w14:textId="3C2BC7B0"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0CE81FD1" w14:textId="76987AE2"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07EA" w:rsidRPr="009E5B39" w14:paraId="6BC8951C"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73A4F3A"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17</w:t>
            </w:r>
          </w:p>
        </w:tc>
        <w:tc>
          <w:tcPr>
            <w:tcW w:w="958" w:type="dxa"/>
            <w:tcBorders>
              <w:top w:val="nil"/>
              <w:left w:val="nil"/>
              <w:bottom w:val="single" w:sz="4" w:space="0" w:color="auto"/>
              <w:right w:val="single" w:sz="4" w:space="0" w:color="auto"/>
            </w:tcBorders>
            <w:shd w:val="clear" w:color="auto" w:fill="auto"/>
            <w:vAlign w:val="center"/>
            <w:hideMark/>
          </w:tcPr>
          <w:p w14:paraId="02FE2AE2"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16/9-22</w:t>
            </w:r>
          </w:p>
        </w:tc>
        <w:tc>
          <w:tcPr>
            <w:tcW w:w="993" w:type="dxa"/>
            <w:tcBorders>
              <w:top w:val="nil"/>
              <w:left w:val="nil"/>
              <w:bottom w:val="single" w:sz="4" w:space="0" w:color="auto"/>
              <w:right w:val="single" w:sz="4" w:space="0" w:color="auto"/>
            </w:tcBorders>
            <w:shd w:val="clear" w:color="auto" w:fill="auto"/>
            <w:vAlign w:val="center"/>
            <w:hideMark/>
          </w:tcPr>
          <w:p w14:paraId="6BBFC62A"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24.09.2020</w:t>
            </w:r>
          </w:p>
        </w:tc>
        <w:tc>
          <w:tcPr>
            <w:tcW w:w="1275" w:type="dxa"/>
            <w:tcBorders>
              <w:top w:val="nil"/>
              <w:left w:val="nil"/>
              <w:bottom w:val="single" w:sz="4" w:space="0" w:color="auto"/>
              <w:right w:val="single" w:sz="4" w:space="0" w:color="auto"/>
            </w:tcBorders>
            <w:shd w:val="clear" w:color="auto" w:fill="auto"/>
            <w:vAlign w:val="center"/>
            <w:hideMark/>
          </w:tcPr>
          <w:p w14:paraId="37221D97" w14:textId="31BFA257" w:rsidR="008107EA" w:rsidRPr="009E5B39" w:rsidRDefault="005C6936"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P</w:t>
            </w:r>
            <w:r w:rsidR="008107EA" w:rsidRPr="009E5B39">
              <w:rPr>
                <w:rFonts w:asciiTheme="majorHAnsi" w:eastAsia="Times New Roman" w:hAnsiTheme="majorHAnsi" w:cstheme="majorHAnsi"/>
                <w:sz w:val="16"/>
                <w:szCs w:val="16"/>
                <w:lang w:val="ro-MD" w:eastAsia="ru-RU"/>
              </w:rPr>
              <w:t xml:space="preserve">ers. fizică </w:t>
            </w:r>
          </w:p>
        </w:tc>
        <w:tc>
          <w:tcPr>
            <w:tcW w:w="1843" w:type="dxa"/>
            <w:tcBorders>
              <w:top w:val="nil"/>
              <w:left w:val="nil"/>
              <w:bottom w:val="single" w:sz="4" w:space="0" w:color="auto"/>
              <w:right w:val="single" w:sz="4" w:space="0" w:color="auto"/>
            </w:tcBorders>
            <w:shd w:val="clear" w:color="auto" w:fill="auto"/>
            <w:vAlign w:val="center"/>
            <w:hideMark/>
          </w:tcPr>
          <w:p w14:paraId="32D5FCA7"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Aferent (casei de locuit particulare)</w:t>
            </w:r>
          </w:p>
        </w:tc>
        <w:tc>
          <w:tcPr>
            <w:tcW w:w="1134" w:type="dxa"/>
            <w:tcBorders>
              <w:top w:val="nil"/>
              <w:left w:val="nil"/>
              <w:bottom w:val="single" w:sz="4" w:space="0" w:color="auto"/>
              <w:right w:val="single" w:sz="4" w:space="0" w:color="auto"/>
            </w:tcBorders>
            <w:shd w:val="clear" w:color="auto" w:fill="auto"/>
            <w:vAlign w:val="center"/>
            <w:hideMark/>
          </w:tcPr>
          <w:p w14:paraId="564A617E"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0100406126</w:t>
            </w:r>
          </w:p>
        </w:tc>
        <w:tc>
          <w:tcPr>
            <w:tcW w:w="851" w:type="dxa"/>
            <w:tcBorders>
              <w:top w:val="nil"/>
              <w:left w:val="nil"/>
              <w:bottom w:val="single" w:sz="4" w:space="0" w:color="auto"/>
              <w:right w:val="single" w:sz="4" w:space="0" w:color="auto"/>
            </w:tcBorders>
            <w:shd w:val="clear" w:color="auto" w:fill="auto"/>
            <w:vAlign w:val="center"/>
            <w:hideMark/>
          </w:tcPr>
          <w:p w14:paraId="7E8AFBE8"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0,34</w:t>
            </w:r>
          </w:p>
        </w:tc>
        <w:tc>
          <w:tcPr>
            <w:tcW w:w="1134" w:type="dxa"/>
            <w:tcBorders>
              <w:top w:val="nil"/>
              <w:left w:val="nil"/>
              <w:bottom w:val="single" w:sz="4" w:space="0" w:color="auto"/>
              <w:right w:val="single" w:sz="4" w:space="0" w:color="auto"/>
            </w:tcBorders>
            <w:shd w:val="clear" w:color="auto" w:fill="auto"/>
            <w:vAlign w:val="center"/>
            <w:hideMark/>
          </w:tcPr>
          <w:p w14:paraId="34EEEB0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0,0287</w:t>
            </w:r>
          </w:p>
        </w:tc>
        <w:tc>
          <w:tcPr>
            <w:tcW w:w="1701" w:type="dxa"/>
            <w:tcBorders>
              <w:top w:val="nil"/>
              <w:left w:val="nil"/>
              <w:bottom w:val="single" w:sz="4" w:space="0" w:color="auto"/>
              <w:right w:val="single" w:sz="4" w:space="0" w:color="auto"/>
            </w:tcBorders>
            <w:shd w:val="clear" w:color="auto" w:fill="auto"/>
            <w:vAlign w:val="center"/>
            <w:hideMark/>
          </w:tcPr>
          <w:p w14:paraId="4CBADC7B"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Pitulicii 19/1</w:t>
            </w:r>
          </w:p>
        </w:tc>
        <w:tc>
          <w:tcPr>
            <w:tcW w:w="1134" w:type="dxa"/>
            <w:tcBorders>
              <w:top w:val="nil"/>
              <w:left w:val="nil"/>
              <w:bottom w:val="single" w:sz="4" w:space="0" w:color="auto"/>
              <w:right w:val="single" w:sz="4" w:space="0" w:color="auto"/>
            </w:tcBorders>
            <w:shd w:val="clear" w:color="auto" w:fill="auto"/>
            <w:vAlign w:val="center"/>
            <w:hideMark/>
          </w:tcPr>
          <w:p w14:paraId="37A94755" w14:textId="77777777"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11,7</w:t>
            </w:r>
          </w:p>
        </w:tc>
        <w:tc>
          <w:tcPr>
            <w:tcW w:w="1134" w:type="dxa"/>
            <w:tcBorders>
              <w:top w:val="nil"/>
              <w:left w:val="nil"/>
              <w:bottom w:val="single" w:sz="4" w:space="0" w:color="auto"/>
              <w:right w:val="single" w:sz="4" w:space="0" w:color="auto"/>
            </w:tcBorders>
            <w:shd w:val="clear" w:color="auto" w:fill="auto"/>
            <w:vAlign w:val="center"/>
            <w:hideMark/>
          </w:tcPr>
          <w:p w14:paraId="742249E3" w14:textId="52AF2909"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62798AA4" w14:textId="24C61EB4" w:rsidR="008107EA" w:rsidRPr="009E5B39" w:rsidRDefault="008107EA">
            <w:pPr>
              <w:spacing w:after="0" w:line="240" w:lineRule="auto"/>
              <w:jc w:val="center"/>
              <w:rPr>
                <w:rFonts w:asciiTheme="majorHAnsi" w:eastAsia="Times New Roman" w:hAnsiTheme="majorHAnsi" w:cstheme="majorHAnsi"/>
                <w:sz w:val="16"/>
                <w:szCs w:val="16"/>
                <w:lang w:val="ro-MD" w:eastAsia="ru-RU"/>
              </w:rPr>
            </w:pPr>
          </w:p>
        </w:tc>
      </w:tr>
      <w:tr w:rsidR="008110AC" w:rsidRPr="009E5B39" w14:paraId="533A9248" w14:textId="7777777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90D43B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18</w:t>
            </w:r>
          </w:p>
        </w:tc>
        <w:tc>
          <w:tcPr>
            <w:tcW w:w="958" w:type="dxa"/>
            <w:tcBorders>
              <w:top w:val="nil"/>
              <w:left w:val="nil"/>
              <w:bottom w:val="single" w:sz="4" w:space="0" w:color="auto"/>
              <w:right w:val="single" w:sz="4" w:space="0" w:color="auto"/>
            </w:tcBorders>
            <w:shd w:val="clear" w:color="auto" w:fill="auto"/>
            <w:vAlign w:val="center"/>
            <w:hideMark/>
          </w:tcPr>
          <w:p w14:paraId="5CEB96B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5/18-4</w:t>
            </w:r>
          </w:p>
        </w:tc>
        <w:tc>
          <w:tcPr>
            <w:tcW w:w="993" w:type="dxa"/>
            <w:tcBorders>
              <w:top w:val="nil"/>
              <w:left w:val="nil"/>
              <w:bottom w:val="single" w:sz="4" w:space="0" w:color="auto"/>
              <w:right w:val="single" w:sz="4" w:space="0" w:color="auto"/>
            </w:tcBorders>
            <w:shd w:val="clear" w:color="auto" w:fill="auto"/>
            <w:vAlign w:val="center"/>
            <w:hideMark/>
          </w:tcPr>
          <w:p w14:paraId="55022FD7"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11.05.2017</w:t>
            </w:r>
          </w:p>
        </w:tc>
        <w:tc>
          <w:tcPr>
            <w:tcW w:w="1275" w:type="dxa"/>
            <w:tcBorders>
              <w:top w:val="nil"/>
              <w:left w:val="nil"/>
              <w:bottom w:val="single" w:sz="4" w:space="0" w:color="auto"/>
              <w:right w:val="single" w:sz="4" w:space="0" w:color="auto"/>
            </w:tcBorders>
            <w:shd w:val="clear" w:color="auto" w:fill="auto"/>
            <w:vAlign w:val="center"/>
            <w:hideMark/>
          </w:tcPr>
          <w:p w14:paraId="4FF235E1" w14:textId="1FC3BC3F" w:rsidR="008110AC" w:rsidRPr="009E5B39" w:rsidRDefault="005C6936"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P</w:t>
            </w:r>
            <w:r w:rsidR="008110AC" w:rsidRPr="009E5B39">
              <w:rPr>
                <w:rFonts w:asciiTheme="majorHAnsi" w:eastAsia="Times New Roman" w:hAnsiTheme="majorHAnsi" w:cstheme="majorHAnsi"/>
                <w:sz w:val="16"/>
                <w:szCs w:val="16"/>
                <w:lang w:val="ro-MD" w:eastAsia="ru-RU"/>
              </w:rPr>
              <w:t xml:space="preserve">ers. fizică </w:t>
            </w:r>
          </w:p>
        </w:tc>
        <w:tc>
          <w:tcPr>
            <w:tcW w:w="1843" w:type="dxa"/>
            <w:tcBorders>
              <w:top w:val="nil"/>
              <w:left w:val="nil"/>
              <w:bottom w:val="single" w:sz="4" w:space="0" w:color="auto"/>
              <w:right w:val="single" w:sz="4" w:space="0" w:color="auto"/>
            </w:tcBorders>
            <w:shd w:val="clear" w:color="auto" w:fill="auto"/>
            <w:vAlign w:val="center"/>
            <w:hideMark/>
          </w:tcPr>
          <w:p w14:paraId="1A09CC5C"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Aferent (casei de locuit particulare)</w:t>
            </w:r>
          </w:p>
        </w:tc>
        <w:tc>
          <w:tcPr>
            <w:tcW w:w="1134" w:type="dxa"/>
            <w:tcBorders>
              <w:top w:val="nil"/>
              <w:left w:val="nil"/>
              <w:bottom w:val="single" w:sz="4" w:space="0" w:color="auto"/>
              <w:right w:val="single" w:sz="4" w:space="0" w:color="auto"/>
            </w:tcBorders>
            <w:shd w:val="clear" w:color="auto" w:fill="auto"/>
            <w:vAlign w:val="center"/>
            <w:hideMark/>
          </w:tcPr>
          <w:p w14:paraId="04F1B42D"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0100410265</w:t>
            </w:r>
          </w:p>
        </w:tc>
        <w:tc>
          <w:tcPr>
            <w:tcW w:w="851" w:type="dxa"/>
            <w:tcBorders>
              <w:top w:val="nil"/>
              <w:left w:val="nil"/>
              <w:bottom w:val="single" w:sz="4" w:space="0" w:color="auto"/>
              <w:right w:val="single" w:sz="4" w:space="0" w:color="auto"/>
            </w:tcBorders>
            <w:shd w:val="clear" w:color="auto" w:fill="auto"/>
            <w:vAlign w:val="center"/>
            <w:hideMark/>
          </w:tcPr>
          <w:p w14:paraId="4799D227"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0,66</w:t>
            </w:r>
          </w:p>
        </w:tc>
        <w:tc>
          <w:tcPr>
            <w:tcW w:w="1134" w:type="dxa"/>
            <w:tcBorders>
              <w:top w:val="nil"/>
              <w:left w:val="nil"/>
              <w:bottom w:val="single" w:sz="4" w:space="0" w:color="auto"/>
              <w:right w:val="single" w:sz="4" w:space="0" w:color="auto"/>
            </w:tcBorders>
            <w:shd w:val="clear" w:color="auto" w:fill="auto"/>
            <w:vAlign w:val="center"/>
            <w:hideMark/>
          </w:tcPr>
          <w:p w14:paraId="731FF7A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0,0563</w:t>
            </w:r>
          </w:p>
        </w:tc>
        <w:tc>
          <w:tcPr>
            <w:tcW w:w="1701" w:type="dxa"/>
            <w:tcBorders>
              <w:top w:val="nil"/>
              <w:left w:val="nil"/>
              <w:bottom w:val="single" w:sz="4" w:space="0" w:color="auto"/>
              <w:right w:val="single" w:sz="4" w:space="0" w:color="auto"/>
            </w:tcBorders>
            <w:shd w:val="clear" w:color="auto" w:fill="auto"/>
            <w:vAlign w:val="center"/>
            <w:hideMark/>
          </w:tcPr>
          <w:p w14:paraId="2C6CF1E7"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Constructorilor,153</w:t>
            </w:r>
          </w:p>
        </w:tc>
        <w:tc>
          <w:tcPr>
            <w:tcW w:w="1134" w:type="dxa"/>
            <w:tcBorders>
              <w:top w:val="nil"/>
              <w:left w:val="nil"/>
              <w:bottom w:val="single" w:sz="4" w:space="0" w:color="auto"/>
              <w:right w:val="single" w:sz="4" w:space="0" w:color="auto"/>
            </w:tcBorders>
            <w:shd w:val="clear" w:color="auto" w:fill="auto"/>
            <w:vAlign w:val="center"/>
            <w:hideMark/>
          </w:tcPr>
          <w:p w14:paraId="6A88E6C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11,7</w:t>
            </w:r>
          </w:p>
        </w:tc>
        <w:tc>
          <w:tcPr>
            <w:tcW w:w="1134" w:type="dxa"/>
            <w:tcBorders>
              <w:top w:val="nil"/>
              <w:left w:val="nil"/>
              <w:bottom w:val="single" w:sz="4" w:space="0" w:color="auto"/>
              <w:right w:val="single" w:sz="4" w:space="0" w:color="auto"/>
            </w:tcBorders>
            <w:shd w:val="clear" w:color="auto" w:fill="auto"/>
            <w:vAlign w:val="center"/>
            <w:hideMark/>
          </w:tcPr>
          <w:p w14:paraId="210A8BE2"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2CA50EEE"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 </w:t>
            </w:r>
          </w:p>
        </w:tc>
      </w:tr>
      <w:tr w:rsidR="008110AC" w:rsidRPr="009E5B39" w14:paraId="0687F360" w14:textId="03FBFEF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90ABB7C"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19</w:t>
            </w:r>
          </w:p>
        </w:tc>
        <w:tc>
          <w:tcPr>
            <w:tcW w:w="958" w:type="dxa"/>
            <w:tcBorders>
              <w:top w:val="nil"/>
              <w:left w:val="nil"/>
              <w:bottom w:val="single" w:sz="4" w:space="0" w:color="auto"/>
              <w:right w:val="single" w:sz="4" w:space="0" w:color="auto"/>
            </w:tcBorders>
            <w:shd w:val="clear" w:color="auto" w:fill="auto"/>
            <w:vAlign w:val="center"/>
            <w:hideMark/>
          </w:tcPr>
          <w:p w14:paraId="7BC74A07"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11/6-4</w:t>
            </w:r>
          </w:p>
        </w:tc>
        <w:tc>
          <w:tcPr>
            <w:tcW w:w="993" w:type="dxa"/>
            <w:tcBorders>
              <w:top w:val="nil"/>
              <w:left w:val="nil"/>
              <w:bottom w:val="single" w:sz="4" w:space="0" w:color="auto"/>
              <w:right w:val="single" w:sz="4" w:space="0" w:color="auto"/>
            </w:tcBorders>
            <w:shd w:val="clear" w:color="auto" w:fill="auto"/>
            <w:vAlign w:val="center"/>
            <w:hideMark/>
          </w:tcPr>
          <w:p w14:paraId="276FE16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14.07.2020</w:t>
            </w:r>
          </w:p>
        </w:tc>
        <w:tc>
          <w:tcPr>
            <w:tcW w:w="1275" w:type="dxa"/>
            <w:tcBorders>
              <w:top w:val="nil"/>
              <w:left w:val="nil"/>
              <w:bottom w:val="single" w:sz="4" w:space="0" w:color="auto"/>
              <w:right w:val="single" w:sz="4" w:space="0" w:color="auto"/>
            </w:tcBorders>
            <w:shd w:val="clear" w:color="auto" w:fill="auto"/>
            <w:vAlign w:val="center"/>
            <w:hideMark/>
          </w:tcPr>
          <w:p w14:paraId="0A273E28" w14:textId="33199228" w:rsidR="008110AC" w:rsidRPr="009E5B39" w:rsidRDefault="005C6936"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P</w:t>
            </w:r>
            <w:r w:rsidR="008110AC" w:rsidRPr="009E5B39">
              <w:rPr>
                <w:rFonts w:asciiTheme="majorHAnsi" w:eastAsia="Times New Roman" w:hAnsiTheme="majorHAnsi" w:cstheme="majorHAnsi"/>
                <w:sz w:val="16"/>
                <w:szCs w:val="16"/>
                <w:lang w:val="ro-MD" w:eastAsia="ru-RU"/>
              </w:rPr>
              <w:t xml:space="preserve">ers. fizică </w:t>
            </w:r>
          </w:p>
        </w:tc>
        <w:tc>
          <w:tcPr>
            <w:tcW w:w="1843" w:type="dxa"/>
            <w:tcBorders>
              <w:top w:val="nil"/>
              <w:left w:val="nil"/>
              <w:bottom w:val="single" w:sz="4" w:space="0" w:color="auto"/>
              <w:right w:val="single" w:sz="4" w:space="0" w:color="auto"/>
            </w:tcBorders>
            <w:shd w:val="clear" w:color="auto" w:fill="auto"/>
            <w:vAlign w:val="center"/>
            <w:hideMark/>
          </w:tcPr>
          <w:p w14:paraId="1E88432C"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6C85C320"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0100120731</w:t>
            </w:r>
          </w:p>
        </w:tc>
        <w:tc>
          <w:tcPr>
            <w:tcW w:w="851" w:type="dxa"/>
            <w:tcBorders>
              <w:top w:val="nil"/>
              <w:left w:val="nil"/>
              <w:bottom w:val="single" w:sz="4" w:space="0" w:color="auto"/>
              <w:right w:val="single" w:sz="4" w:space="0" w:color="auto"/>
            </w:tcBorders>
            <w:shd w:val="clear" w:color="auto" w:fill="auto"/>
            <w:vAlign w:val="center"/>
            <w:hideMark/>
          </w:tcPr>
          <w:p w14:paraId="629BA227"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300,00</w:t>
            </w:r>
          </w:p>
        </w:tc>
        <w:tc>
          <w:tcPr>
            <w:tcW w:w="1134" w:type="dxa"/>
            <w:tcBorders>
              <w:top w:val="nil"/>
              <w:left w:val="nil"/>
              <w:bottom w:val="single" w:sz="4" w:space="0" w:color="auto"/>
              <w:right w:val="single" w:sz="4" w:space="0" w:color="auto"/>
            </w:tcBorders>
            <w:shd w:val="clear" w:color="auto" w:fill="auto"/>
            <w:vAlign w:val="center"/>
            <w:hideMark/>
          </w:tcPr>
          <w:p w14:paraId="07A8920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0,0342</w:t>
            </w:r>
          </w:p>
        </w:tc>
        <w:tc>
          <w:tcPr>
            <w:tcW w:w="1701" w:type="dxa"/>
            <w:tcBorders>
              <w:top w:val="nil"/>
              <w:left w:val="nil"/>
              <w:bottom w:val="single" w:sz="4" w:space="0" w:color="auto"/>
              <w:right w:val="single" w:sz="4" w:space="0" w:color="auto"/>
            </w:tcBorders>
            <w:shd w:val="clear" w:color="auto" w:fill="auto"/>
            <w:vAlign w:val="center"/>
            <w:hideMark/>
          </w:tcPr>
          <w:p w14:paraId="68F5F00D"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Vitalie Tulnic</w:t>
            </w:r>
          </w:p>
        </w:tc>
        <w:tc>
          <w:tcPr>
            <w:tcW w:w="1134" w:type="dxa"/>
            <w:tcBorders>
              <w:top w:val="nil"/>
              <w:left w:val="nil"/>
              <w:bottom w:val="single" w:sz="4" w:space="0" w:color="auto"/>
              <w:right w:val="single" w:sz="4" w:space="0" w:color="auto"/>
            </w:tcBorders>
            <w:shd w:val="clear" w:color="auto" w:fill="auto"/>
            <w:vAlign w:val="center"/>
            <w:hideMark/>
          </w:tcPr>
          <w:p w14:paraId="3E070BB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8771,9</w:t>
            </w:r>
          </w:p>
        </w:tc>
        <w:tc>
          <w:tcPr>
            <w:tcW w:w="1134" w:type="dxa"/>
            <w:tcBorders>
              <w:top w:val="nil"/>
              <w:left w:val="nil"/>
              <w:bottom w:val="single" w:sz="4" w:space="0" w:color="auto"/>
              <w:right w:val="single" w:sz="4" w:space="0" w:color="auto"/>
            </w:tcBorders>
            <w:shd w:val="clear" w:color="auto" w:fill="auto"/>
            <w:vAlign w:val="center"/>
            <w:hideMark/>
          </w:tcPr>
          <w:p w14:paraId="2F5897DD"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250</w:t>
            </w:r>
          </w:p>
        </w:tc>
        <w:tc>
          <w:tcPr>
            <w:tcW w:w="1417" w:type="dxa"/>
            <w:tcBorders>
              <w:top w:val="nil"/>
              <w:left w:val="nil"/>
              <w:bottom w:val="single" w:sz="4" w:space="0" w:color="auto"/>
              <w:right w:val="single" w:sz="4" w:space="0" w:color="auto"/>
            </w:tcBorders>
            <w:shd w:val="clear" w:color="auto" w:fill="auto"/>
            <w:vAlign w:val="center"/>
            <w:hideMark/>
          </w:tcPr>
          <w:p w14:paraId="74C6B7D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7309,94</w:t>
            </w:r>
          </w:p>
        </w:tc>
      </w:tr>
      <w:tr w:rsidR="008110AC" w:rsidRPr="009E5B39" w14:paraId="0FC6A84B" w14:textId="24C8CDE7"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89060F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20</w:t>
            </w:r>
          </w:p>
        </w:tc>
        <w:tc>
          <w:tcPr>
            <w:tcW w:w="958" w:type="dxa"/>
            <w:tcBorders>
              <w:top w:val="nil"/>
              <w:left w:val="nil"/>
              <w:bottom w:val="single" w:sz="4" w:space="0" w:color="auto"/>
              <w:right w:val="single" w:sz="4" w:space="0" w:color="auto"/>
            </w:tcBorders>
            <w:shd w:val="clear" w:color="auto" w:fill="auto"/>
            <w:vAlign w:val="center"/>
            <w:hideMark/>
          </w:tcPr>
          <w:p w14:paraId="45E4112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11/6-7</w:t>
            </w:r>
          </w:p>
        </w:tc>
        <w:tc>
          <w:tcPr>
            <w:tcW w:w="993" w:type="dxa"/>
            <w:tcBorders>
              <w:top w:val="nil"/>
              <w:left w:val="nil"/>
              <w:bottom w:val="single" w:sz="4" w:space="0" w:color="auto"/>
              <w:right w:val="single" w:sz="4" w:space="0" w:color="auto"/>
            </w:tcBorders>
            <w:shd w:val="clear" w:color="auto" w:fill="auto"/>
            <w:vAlign w:val="center"/>
            <w:hideMark/>
          </w:tcPr>
          <w:p w14:paraId="5973254A"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14.07.2020</w:t>
            </w:r>
          </w:p>
        </w:tc>
        <w:tc>
          <w:tcPr>
            <w:tcW w:w="1275" w:type="dxa"/>
            <w:tcBorders>
              <w:top w:val="nil"/>
              <w:left w:val="nil"/>
              <w:bottom w:val="single" w:sz="4" w:space="0" w:color="auto"/>
              <w:right w:val="single" w:sz="4" w:space="0" w:color="auto"/>
            </w:tcBorders>
            <w:shd w:val="clear" w:color="auto" w:fill="auto"/>
            <w:vAlign w:val="center"/>
            <w:hideMark/>
          </w:tcPr>
          <w:p w14:paraId="316A6818" w14:textId="2931FB96" w:rsidR="008110AC" w:rsidRPr="009E5B39" w:rsidRDefault="008110AC"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w:t>
            </w:r>
            <w:r w:rsidR="008E6C14" w:rsidRPr="009E5B39">
              <w:rPr>
                <w:rFonts w:asciiTheme="majorHAnsi" w:eastAsia="Times New Roman" w:hAnsiTheme="majorHAnsi" w:cstheme="majorHAnsi"/>
                <w:sz w:val="16"/>
                <w:szCs w:val="16"/>
                <w:lang w:val="ro-MD" w:eastAsia="ru-RU"/>
              </w:rPr>
              <w:t xml:space="preserve"> </w:t>
            </w:r>
            <w:r w:rsidRPr="009E5B39">
              <w:rPr>
                <w:rFonts w:asciiTheme="majorHAnsi" w:eastAsia="Times New Roman" w:hAnsiTheme="majorHAnsi" w:cstheme="majorHAnsi"/>
                <w:sz w:val="16"/>
                <w:szCs w:val="16"/>
                <w:lang w:val="ro-MD" w:eastAsia="ru-RU"/>
              </w:rPr>
              <w:t>Genevis-Invest</w:t>
            </w:r>
          </w:p>
        </w:tc>
        <w:tc>
          <w:tcPr>
            <w:tcW w:w="1843" w:type="dxa"/>
            <w:tcBorders>
              <w:top w:val="nil"/>
              <w:left w:val="nil"/>
              <w:bottom w:val="single" w:sz="4" w:space="0" w:color="auto"/>
              <w:right w:val="single" w:sz="4" w:space="0" w:color="auto"/>
            </w:tcBorders>
            <w:shd w:val="clear" w:color="auto" w:fill="auto"/>
            <w:vAlign w:val="center"/>
            <w:hideMark/>
          </w:tcPr>
          <w:p w14:paraId="5A281CE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4FE904D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0100120735</w:t>
            </w:r>
          </w:p>
        </w:tc>
        <w:tc>
          <w:tcPr>
            <w:tcW w:w="851" w:type="dxa"/>
            <w:tcBorders>
              <w:top w:val="nil"/>
              <w:left w:val="nil"/>
              <w:bottom w:val="single" w:sz="4" w:space="0" w:color="auto"/>
              <w:right w:val="single" w:sz="4" w:space="0" w:color="auto"/>
            </w:tcBorders>
            <w:shd w:val="clear" w:color="auto" w:fill="auto"/>
            <w:vAlign w:val="center"/>
            <w:hideMark/>
          </w:tcPr>
          <w:p w14:paraId="396B4D7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930,00</w:t>
            </w:r>
          </w:p>
        </w:tc>
        <w:tc>
          <w:tcPr>
            <w:tcW w:w="1134" w:type="dxa"/>
            <w:tcBorders>
              <w:top w:val="nil"/>
              <w:left w:val="nil"/>
              <w:bottom w:val="single" w:sz="4" w:space="0" w:color="auto"/>
              <w:right w:val="single" w:sz="4" w:space="0" w:color="auto"/>
            </w:tcBorders>
            <w:shd w:val="clear" w:color="auto" w:fill="auto"/>
            <w:vAlign w:val="center"/>
            <w:hideMark/>
          </w:tcPr>
          <w:p w14:paraId="6487081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0,0599</w:t>
            </w:r>
          </w:p>
        </w:tc>
        <w:tc>
          <w:tcPr>
            <w:tcW w:w="1701" w:type="dxa"/>
            <w:tcBorders>
              <w:top w:val="nil"/>
              <w:left w:val="nil"/>
              <w:bottom w:val="single" w:sz="4" w:space="0" w:color="auto"/>
              <w:right w:val="single" w:sz="4" w:space="0" w:color="auto"/>
            </w:tcBorders>
            <w:shd w:val="clear" w:color="auto" w:fill="auto"/>
            <w:vAlign w:val="center"/>
            <w:hideMark/>
          </w:tcPr>
          <w:p w14:paraId="2B4E805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Băcioii Noi</w:t>
            </w:r>
          </w:p>
        </w:tc>
        <w:tc>
          <w:tcPr>
            <w:tcW w:w="1134" w:type="dxa"/>
            <w:tcBorders>
              <w:top w:val="nil"/>
              <w:left w:val="nil"/>
              <w:bottom w:val="single" w:sz="4" w:space="0" w:color="auto"/>
              <w:right w:val="single" w:sz="4" w:space="0" w:color="auto"/>
            </w:tcBorders>
            <w:shd w:val="clear" w:color="auto" w:fill="auto"/>
            <w:vAlign w:val="center"/>
            <w:hideMark/>
          </w:tcPr>
          <w:p w14:paraId="7D9DB070"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15525,9</w:t>
            </w:r>
          </w:p>
        </w:tc>
        <w:tc>
          <w:tcPr>
            <w:tcW w:w="1134" w:type="dxa"/>
            <w:tcBorders>
              <w:top w:val="nil"/>
              <w:left w:val="nil"/>
              <w:bottom w:val="single" w:sz="4" w:space="0" w:color="auto"/>
              <w:right w:val="single" w:sz="4" w:space="0" w:color="auto"/>
            </w:tcBorders>
            <w:shd w:val="clear" w:color="auto" w:fill="auto"/>
            <w:vAlign w:val="center"/>
            <w:hideMark/>
          </w:tcPr>
          <w:p w14:paraId="2586B30C"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300</w:t>
            </w:r>
          </w:p>
        </w:tc>
        <w:tc>
          <w:tcPr>
            <w:tcW w:w="1417" w:type="dxa"/>
            <w:tcBorders>
              <w:top w:val="nil"/>
              <w:left w:val="nil"/>
              <w:bottom w:val="single" w:sz="4" w:space="0" w:color="auto"/>
              <w:right w:val="single" w:sz="4" w:space="0" w:color="auto"/>
            </w:tcBorders>
            <w:shd w:val="clear" w:color="auto" w:fill="auto"/>
            <w:vAlign w:val="center"/>
            <w:hideMark/>
          </w:tcPr>
          <w:p w14:paraId="3B8F9EAA"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5008,35</w:t>
            </w:r>
          </w:p>
        </w:tc>
      </w:tr>
      <w:tr w:rsidR="008110AC" w:rsidRPr="009E5B39" w14:paraId="0F7584DB" w14:textId="33D7B92B"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332F22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21</w:t>
            </w:r>
          </w:p>
        </w:tc>
        <w:tc>
          <w:tcPr>
            <w:tcW w:w="958" w:type="dxa"/>
            <w:tcBorders>
              <w:top w:val="nil"/>
              <w:left w:val="nil"/>
              <w:bottom w:val="single" w:sz="4" w:space="0" w:color="auto"/>
              <w:right w:val="single" w:sz="4" w:space="0" w:color="auto"/>
            </w:tcBorders>
            <w:shd w:val="clear" w:color="auto" w:fill="auto"/>
            <w:vAlign w:val="center"/>
            <w:hideMark/>
          </w:tcPr>
          <w:p w14:paraId="647FAE42"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10/2-12</w:t>
            </w:r>
          </w:p>
        </w:tc>
        <w:tc>
          <w:tcPr>
            <w:tcW w:w="993" w:type="dxa"/>
            <w:tcBorders>
              <w:top w:val="nil"/>
              <w:left w:val="nil"/>
              <w:bottom w:val="single" w:sz="4" w:space="0" w:color="auto"/>
              <w:right w:val="single" w:sz="4" w:space="0" w:color="auto"/>
            </w:tcBorders>
            <w:shd w:val="clear" w:color="auto" w:fill="auto"/>
            <w:vAlign w:val="center"/>
            <w:hideMark/>
          </w:tcPr>
          <w:p w14:paraId="114D04C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02.07.2020</w:t>
            </w:r>
          </w:p>
        </w:tc>
        <w:tc>
          <w:tcPr>
            <w:tcW w:w="1275" w:type="dxa"/>
            <w:tcBorders>
              <w:top w:val="nil"/>
              <w:left w:val="nil"/>
              <w:bottom w:val="single" w:sz="4" w:space="0" w:color="auto"/>
              <w:right w:val="single" w:sz="4" w:space="0" w:color="auto"/>
            </w:tcBorders>
            <w:shd w:val="clear" w:color="auto" w:fill="auto"/>
            <w:vAlign w:val="center"/>
            <w:hideMark/>
          </w:tcPr>
          <w:p w14:paraId="52BC0D5F"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SRL„Fercer-Lux”</w:t>
            </w:r>
          </w:p>
        </w:tc>
        <w:tc>
          <w:tcPr>
            <w:tcW w:w="1843" w:type="dxa"/>
            <w:tcBorders>
              <w:top w:val="nil"/>
              <w:left w:val="nil"/>
              <w:bottom w:val="single" w:sz="4" w:space="0" w:color="auto"/>
              <w:right w:val="single" w:sz="4" w:space="0" w:color="auto"/>
            </w:tcBorders>
            <w:shd w:val="clear" w:color="auto" w:fill="auto"/>
            <w:vAlign w:val="center"/>
            <w:hideMark/>
          </w:tcPr>
          <w:p w14:paraId="1359C444"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75CB148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0100302952</w:t>
            </w:r>
          </w:p>
        </w:tc>
        <w:tc>
          <w:tcPr>
            <w:tcW w:w="851" w:type="dxa"/>
            <w:tcBorders>
              <w:top w:val="nil"/>
              <w:left w:val="nil"/>
              <w:bottom w:val="single" w:sz="4" w:space="0" w:color="auto"/>
              <w:right w:val="single" w:sz="4" w:space="0" w:color="auto"/>
            </w:tcBorders>
            <w:shd w:val="clear" w:color="auto" w:fill="auto"/>
            <w:vAlign w:val="center"/>
            <w:hideMark/>
          </w:tcPr>
          <w:p w14:paraId="0ADE94B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3 200,00</w:t>
            </w:r>
          </w:p>
        </w:tc>
        <w:tc>
          <w:tcPr>
            <w:tcW w:w="1134" w:type="dxa"/>
            <w:tcBorders>
              <w:top w:val="nil"/>
              <w:left w:val="nil"/>
              <w:bottom w:val="single" w:sz="4" w:space="0" w:color="auto"/>
              <w:right w:val="single" w:sz="4" w:space="0" w:color="auto"/>
            </w:tcBorders>
            <w:shd w:val="clear" w:color="auto" w:fill="auto"/>
            <w:vAlign w:val="center"/>
            <w:hideMark/>
          </w:tcPr>
          <w:p w14:paraId="17FC3A6D"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0,0619</w:t>
            </w:r>
          </w:p>
        </w:tc>
        <w:tc>
          <w:tcPr>
            <w:tcW w:w="1701" w:type="dxa"/>
            <w:tcBorders>
              <w:top w:val="nil"/>
              <w:left w:val="nil"/>
              <w:bottom w:val="single" w:sz="4" w:space="0" w:color="auto"/>
              <w:right w:val="single" w:sz="4" w:space="0" w:color="auto"/>
            </w:tcBorders>
            <w:shd w:val="clear" w:color="auto" w:fill="auto"/>
            <w:vAlign w:val="center"/>
            <w:hideMark/>
          </w:tcPr>
          <w:p w14:paraId="425A2A6F"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Varnița</w:t>
            </w:r>
          </w:p>
        </w:tc>
        <w:tc>
          <w:tcPr>
            <w:tcW w:w="1134" w:type="dxa"/>
            <w:tcBorders>
              <w:top w:val="nil"/>
              <w:left w:val="nil"/>
              <w:bottom w:val="single" w:sz="4" w:space="0" w:color="auto"/>
              <w:right w:val="single" w:sz="4" w:space="0" w:color="auto"/>
            </w:tcBorders>
            <w:shd w:val="clear" w:color="auto" w:fill="auto"/>
            <w:vAlign w:val="center"/>
            <w:hideMark/>
          </w:tcPr>
          <w:p w14:paraId="181ABF1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51696,3</w:t>
            </w:r>
          </w:p>
        </w:tc>
        <w:tc>
          <w:tcPr>
            <w:tcW w:w="1134" w:type="dxa"/>
            <w:tcBorders>
              <w:top w:val="nil"/>
              <w:left w:val="nil"/>
              <w:bottom w:val="single" w:sz="4" w:space="0" w:color="auto"/>
              <w:right w:val="single" w:sz="4" w:space="0" w:color="auto"/>
            </w:tcBorders>
            <w:shd w:val="clear" w:color="auto" w:fill="auto"/>
            <w:vAlign w:val="center"/>
            <w:hideMark/>
          </w:tcPr>
          <w:p w14:paraId="5520A160"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600</w:t>
            </w:r>
          </w:p>
        </w:tc>
        <w:tc>
          <w:tcPr>
            <w:tcW w:w="1417" w:type="dxa"/>
            <w:tcBorders>
              <w:top w:val="nil"/>
              <w:left w:val="nil"/>
              <w:bottom w:val="single" w:sz="4" w:space="0" w:color="auto"/>
              <w:right w:val="single" w:sz="4" w:space="0" w:color="auto"/>
            </w:tcBorders>
            <w:shd w:val="clear" w:color="auto" w:fill="auto"/>
            <w:vAlign w:val="center"/>
            <w:hideMark/>
          </w:tcPr>
          <w:p w14:paraId="5FDBD48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9693,05</w:t>
            </w:r>
          </w:p>
        </w:tc>
      </w:tr>
      <w:tr w:rsidR="008110AC" w:rsidRPr="009E5B39" w14:paraId="0D927F3C" w14:textId="3FDC548A"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A768D6B"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22</w:t>
            </w:r>
          </w:p>
        </w:tc>
        <w:tc>
          <w:tcPr>
            <w:tcW w:w="958" w:type="dxa"/>
            <w:tcBorders>
              <w:top w:val="nil"/>
              <w:left w:val="nil"/>
              <w:bottom w:val="single" w:sz="4" w:space="0" w:color="auto"/>
              <w:right w:val="single" w:sz="4" w:space="0" w:color="auto"/>
            </w:tcBorders>
            <w:shd w:val="clear" w:color="auto" w:fill="auto"/>
            <w:vAlign w:val="center"/>
            <w:hideMark/>
          </w:tcPr>
          <w:p w14:paraId="211BFCC4"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10/2-11</w:t>
            </w:r>
          </w:p>
        </w:tc>
        <w:tc>
          <w:tcPr>
            <w:tcW w:w="993" w:type="dxa"/>
            <w:tcBorders>
              <w:top w:val="nil"/>
              <w:left w:val="nil"/>
              <w:bottom w:val="single" w:sz="4" w:space="0" w:color="auto"/>
              <w:right w:val="single" w:sz="4" w:space="0" w:color="auto"/>
            </w:tcBorders>
            <w:shd w:val="clear" w:color="auto" w:fill="auto"/>
            <w:vAlign w:val="center"/>
            <w:hideMark/>
          </w:tcPr>
          <w:p w14:paraId="49BCBC3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02.07.2020</w:t>
            </w:r>
          </w:p>
        </w:tc>
        <w:tc>
          <w:tcPr>
            <w:tcW w:w="1275" w:type="dxa"/>
            <w:tcBorders>
              <w:top w:val="nil"/>
              <w:left w:val="nil"/>
              <w:bottom w:val="single" w:sz="4" w:space="0" w:color="auto"/>
              <w:right w:val="single" w:sz="4" w:space="0" w:color="auto"/>
            </w:tcBorders>
            <w:shd w:val="clear" w:color="auto" w:fill="auto"/>
            <w:vAlign w:val="center"/>
            <w:hideMark/>
          </w:tcPr>
          <w:p w14:paraId="688CD7ED"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SRL„Fercer-Lux”</w:t>
            </w:r>
          </w:p>
        </w:tc>
        <w:tc>
          <w:tcPr>
            <w:tcW w:w="1843" w:type="dxa"/>
            <w:tcBorders>
              <w:top w:val="nil"/>
              <w:left w:val="nil"/>
              <w:bottom w:val="single" w:sz="4" w:space="0" w:color="auto"/>
              <w:right w:val="single" w:sz="4" w:space="0" w:color="auto"/>
            </w:tcBorders>
            <w:shd w:val="clear" w:color="auto" w:fill="auto"/>
            <w:vAlign w:val="center"/>
            <w:hideMark/>
          </w:tcPr>
          <w:p w14:paraId="7E44926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27B1B4E4"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0100302953</w:t>
            </w:r>
          </w:p>
        </w:tc>
        <w:tc>
          <w:tcPr>
            <w:tcW w:w="851" w:type="dxa"/>
            <w:tcBorders>
              <w:top w:val="nil"/>
              <w:left w:val="nil"/>
              <w:bottom w:val="single" w:sz="4" w:space="0" w:color="auto"/>
              <w:right w:val="single" w:sz="4" w:space="0" w:color="auto"/>
            </w:tcBorders>
            <w:shd w:val="clear" w:color="auto" w:fill="auto"/>
            <w:vAlign w:val="center"/>
            <w:hideMark/>
          </w:tcPr>
          <w:p w14:paraId="6775544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3 400,00</w:t>
            </w:r>
          </w:p>
        </w:tc>
        <w:tc>
          <w:tcPr>
            <w:tcW w:w="1134" w:type="dxa"/>
            <w:tcBorders>
              <w:top w:val="nil"/>
              <w:left w:val="nil"/>
              <w:bottom w:val="single" w:sz="4" w:space="0" w:color="auto"/>
              <w:right w:val="single" w:sz="4" w:space="0" w:color="auto"/>
            </w:tcBorders>
            <w:shd w:val="clear" w:color="auto" w:fill="auto"/>
            <w:vAlign w:val="center"/>
            <w:hideMark/>
          </w:tcPr>
          <w:p w14:paraId="1B2F5CF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0,0811</w:t>
            </w:r>
          </w:p>
        </w:tc>
        <w:tc>
          <w:tcPr>
            <w:tcW w:w="1701" w:type="dxa"/>
            <w:tcBorders>
              <w:top w:val="nil"/>
              <w:left w:val="nil"/>
              <w:bottom w:val="single" w:sz="4" w:space="0" w:color="auto"/>
              <w:right w:val="single" w:sz="4" w:space="0" w:color="auto"/>
            </w:tcBorders>
            <w:shd w:val="clear" w:color="auto" w:fill="auto"/>
            <w:vAlign w:val="center"/>
            <w:hideMark/>
          </w:tcPr>
          <w:p w14:paraId="030E77E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Varnița</w:t>
            </w:r>
          </w:p>
        </w:tc>
        <w:tc>
          <w:tcPr>
            <w:tcW w:w="1134" w:type="dxa"/>
            <w:tcBorders>
              <w:top w:val="nil"/>
              <w:left w:val="nil"/>
              <w:bottom w:val="single" w:sz="4" w:space="0" w:color="auto"/>
              <w:right w:val="single" w:sz="4" w:space="0" w:color="auto"/>
            </w:tcBorders>
            <w:shd w:val="clear" w:color="auto" w:fill="auto"/>
            <w:vAlign w:val="center"/>
            <w:hideMark/>
          </w:tcPr>
          <w:p w14:paraId="5D19A7C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41923,6</w:t>
            </w:r>
          </w:p>
        </w:tc>
        <w:tc>
          <w:tcPr>
            <w:tcW w:w="1134" w:type="dxa"/>
            <w:tcBorders>
              <w:top w:val="nil"/>
              <w:left w:val="nil"/>
              <w:bottom w:val="single" w:sz="4" w:space="0" w:color="auto"/>
              <w:right w:val="single" w:sz="4" w:space="0" w:color="auto"/>
            </w:tcBorders>
            <w:shd w:val="clear" w:color="auto" w:fill="auto"/>
            <w:vAlign w:val="center"/>
            <w:hideMark/>
          </w:tcPr>
          <w:p w14:paraId="3C46BAF0"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800</w:t>
            </w:r>
          </w:p>
        </w:tc>
        <w:tc>
          <w:tcPr>
            <w:tcW w:w="1417" w:type="dxa"/>
            <w:tcBorders>
              <w:top w:val="nil"/>
              <w:left w:val="nil"/>
              <w:bottom w:val="single" w:sz="4" w:space="0" w:color="auto"/>
              <w:right w:val="single" w:sz="4" w:space="0" w:color="auto"/>
            </w:tcBorders>
            <w:shd w:val="clear" w:color="auto" w:fill="auto"/>
            <w:vAlign w:val="center"/>
            <w:hideMark/>
          </w:tcPr>
          <w:p w14:paraId="007E6FC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9864,36</w:t>
            </w:r>
          </w:p>
        </w:tc>
      </w:tr>
      <w:tr w:rsidR="008110AC" w:rsidRPr="009E5B39" w14:paraId="6FF5A64F" w14:textId="2A5C2B5B"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827C9C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23</w:t>
            </w:r>
          </w:p>
        </w:tc>
        <w:tc>
          <w:tcPr>
            <w:tcW w:w="958" w:type="dxa"/>
            <w:tcBorders>
              <w:top w:val="nil"/>
              <w:left w:val="nil"/>
              <w:bottom w:val="single" w:sz="4" w:space="0" w:color="auto"/>
              <w:right w:val="single" w:sz="4" w:space="0" w:color="auto"/>
            </w:tcBorders>
            <w:shd w:val="clear" w:color="auto" w:fill="auto"/>
            <w:vAlign w:val="center"/>
            <w:hideMark/>
          </w:tcPr>
          <w:p w14:paraId="3974F0B6"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11/6-8</w:t>
            </w:r>
          </w:p>
        </w:tc>
        <w:tc>
          <w:tcPr>
            <w:tcW w:w="993" w:type="dxa"/>
            <w:tcBorders>
              <w:top w:val="nil"/>
              <w:left w:val="nil"/>
              <w:bottom w:val="single" w:sz="4" w:space="0" w:color="auto"/>
              <w:right w:val="single" w:sz="4" w:space="0" w:color="auto"/>
            </w:tcBorders>
            <w:shd w:val="clear" w:color="auto" w:fill="auto"/>
            <w:vAlign w:val="center"/>
            <w:hideMark/>
          </w:tcPr>
          <w:p w14:paraId="56433940"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14.07.2020</w:t>
            </w:r>
          </w:p>
        </w:tc>
        <w:tc>
          <w:tcPr>
            <w:tcW w:w="1275" w:type="dxa"/>
            <w:tcBorders>
              <w:top w:val="nil"/>
              <w:left w:val="nil"/>
              <w:bottom w:val="single" w:sz="4" w:space="0" w:color="auto"/>
              <w:right w:val="single" w:sz="4" w:space="0" w:color="auto"/>
            </w:tcBorders>
            <w:shd w:val="clear" w:color="auto" w:fill="auto"/>
            <w:vAlign w:val="center"/>
            <w:hideMark/>
          </w:tcPr>
          <w:p w14:paraId="6BF842DC"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SRL„Olmosdon”</w:t>
            </w:r>
          </w:p>
        </w:tc>
        <w:tc>
          <w:tcPr>
            <w:tcW w:w="1843" w:type="dxa"/>
            <w:tcBorders>
              <w:top w:val="nil"/>
              <w:left w:val="nil"/>
              <w:bottom w:val="single" w:sz="4" w:space="0" w:color="auto"/>
              <w:right w:val="single" w:sz="4" w:space="0" w:color="auto"/>
            </w:tcBorders>
            <w:shd w:val="clear" w:color="auto" w:fill="auto"/>
            <w:vAlign w:val="center"/>
            <w:hideMark/>
          </w:tcPr>
          <w:p w14:paraId="2E29E05E"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1791461A"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0100302954</w:t>
            </w:r>
          </w:p>
        </w:tc>
        <w:tc>
          <w:tcPr>
            <w:tcW w:w="851" w:type="dxa"/>
            <w:tcBorders>
              <w:top w:val="nil"/>
              <w:left w:val="nil"/>
              <w:bottom w:val="single" w:sz="4" w:space="0" w:color="auto"/>
              <w:right w:val="single" w:sz="4" w:space="0" w:color="auto"/>
            </w:tcBorders>
            <w:shd w:val="clear" w:color="auto" w:fill="auto"/>
            <w:vAlign w:val="center"/>
            <w:hideMark/>
          </w:tcPr>
          <w:p w14:paraId="3B3AFFA7"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4 200,00</w:t>
            </w:r>
          </w:p>
        </w:tc>
        <w:tc>
          <w:tcPr>
            <w:tcW w:w="1134" w:type="dxa"/>
            <w:tcBorders>
              <w:top w:val="nil"/>
              <w:left w:val="nil"/>
              <w:bottom w:val="single" w:sz="4" w:space="0" w:color="auto"/>
              <w:right w:val="single" w:sz="4" w:space="0" w:color="auto"/>
            </w:tcBorders>
            <w:shd w:val="clear" w:color="auto" w:fill="auto"/>
            <w:vAlign w:val="center"/>
            <w:hideMark/>
          </w:tcPr>
          <w:p w14:paraId="616E89F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0,1865</w:t>
            </w:r>
          </w:p>
        </w:tc>
        <w:tc>
          <w:tcPr>
            <w:tcW w:w="1701" w:type="dxa"/>
            <w:tcBorders>
              <w:top w:val="nil"/>
              <w:left w:val="nil"/>
              <w:bottom w:val="single" w:sz="4" w:space="0" w:color="auto"/>
              <w:right w:val="single" w:sz="4" w:space="0" w:color="auto"/>
            </w:tcBorders>
            <w:shd w:val="clear" w:color="auto" w:fill="auto"/>
            <w:vAlign w:val="center"/>
            <w:hideMark/>
          </w:tcPr>
          <w:p w14:paraId="68AF18C6"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Varnița</w:t>
            </w:r>
          </w:p>
        </w:tc>
        <w:tc>
          <w:tcPr>
            <w:tcW w:w="1134" w:type="dxa"/>
            <w:tcBorders>
              <w:top w:val="nil"/>
              <w:left w:val="nil"/>
              <w:bottom w:val="single" w:sz="4" w:space="0" w:color="auto"/>
              <w:right w:val="single" w:sz="4" w:space="0" w:color="auto"/>
            </w:tcBorders>
            <w:shd w:val="clear" w:color="auto" w:fill="auto"/>
            <w:vAlign w:val="center"/>
            <w:hideMark/>
          </w:tcPr>
          <w:p w14:paraId="20565A8B"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22520,1</w:t>
            </w:r>
          </w:p>
        </w:tc>
        <w:tc>
          <w:tcPr>
            <w:tcW w:w="1134" w:type="dxa"/>
            <w:tcBorders>
              <w:top w:val="nil"/>
              <w:left w:val="nil"/>
              <w:bottom w:val="single" w:sz="4" w:space="0" w:color="auto"/>
              <w:right w:val="single" w:sz="4" w:space="0" w:color="auto"/>
            </w:tcBorders>
            <w:shd w:val="clear" w:color="auto" w:fill="auto"/>
            <w:vAlign w:val="center"/>
            <w:hideMark/>
          </w:tcPr>
          <w:p w14:paraId="2BDC4E94"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3000</w:t>
            </w:r>
          </w:p>
        </w:tc>
        <w:tc>
          <w:tcPr>
            <w:tcW w:w="1417" w:type="dxa"/>
            <w:tcBorders>
              <w:top w:val="nil"/>
              <w:left w:val="nil"/>
              <w:bottom w:val="single" w:sz="4" w:space="0" w:color="auto"/>
              <w:right w:val="single" w:sz="4" w:space="0" w:color="auto"/>
            </w:tcBorders>
            <w:shd w:val="clear" w:color="auto" w:fill="auto"/>
            <w:vAlign w:val="center"/>
            <w:hideMark/>
          </w:tcPr>
          <w:p w14:paraId="3DBF5391" w14:textId="1C4E80B4"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Calibri Light" w:hAnsi="Calibri Light" w:cs="Calibri Light"/>
                <w:color w:val="000000"/>
                <w:sz w:val="16"/>
                <w:szCs w:val="16"/>
                <w:lang w:val="ro-MD"/>
              </w:rPr>
              <w:t>16085,79</w:t>
            </w:r>
          </w:p>
        </w:tc>
      </w:tr>
      <w:tr w:rsidR="008110AC" w:rsidRPr="009E5B39" w14:paraId="34E01B30" w14:textId="70D9A0C0"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DFA0D3A"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24</w:t>
            </w:r>
          </w:p>
        </w:tc>
        <w:tc>
          <w:tcPr>
            <w:tcW w:w="958" w:type="dxa"/>
            <w:tcBorders>
              <w:top w:val="nil"/>
              <w:left w:val="nil"/>
              <w:bottom w:val="single" w:sz="4" w:space="0" w:color="auto"/>
              <w:right w:val="single" w:sz="4" w:space="0" w:color="auto"/>
            </w:tcBorders>
            <w:shd w:val="clear" w:color="auto" w:fill="auto"/>
            <w:vAlign w:val="center"/>
            <w:hideMark/>
          </w:tcPr>
          <w:p w14:paraId="3CDA2C8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10/2-9</w:t>
            </w:r>
          </w:p>
        </w:tc>
        <w:tc>
          <w:tcPr>
            <w:tcW w:w="993" w:type="dxa"/>
            <w:tcBorders>
              <w:top w:val="nil"/>
              <w:left w:val="nil"/>
              <w:bottom w:val="single" w:sz="4" w:space="0" w:color="auto"/>
              <w:right w:val="single" w:sz="4" w:space="0" w:color="auto"/>
            </w:tcBorders>
            <w:shd w:val="clear" w:color="auto" w:fill="auto"/>
            <w:vAlign w:val="center"/>
            <w:hideMark/>
          </w:tcPr>
          <w:p w14:paraId="18EB3BAB"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02.07.2020</w:t>
            </w:r>
          </w:p>
        </w:tc>
        <w:tc>
          <w:tcPr>
            <w:tcW w:w="1275" w:type="dxa"/>
            <w:tcBorders>
              <w:top w:val="nil"/>
              <w:left w:val="nil"/>
              <w:bottom w:val="single" w:sz="4" w:space="0" w:color="auto"/>
              <w:right w:val="single" w:sz="4" w:space="0" w:color="auto"/>
            </w:tcBorders>
            <w:shd w:val="clear" w:color="auto" w:fill="auto"/>
            <w:vAlign w:val="center"/>
            <w:hideMark/>
          </w:tcPr>
          <w:p w14:paraId="135CD5EE"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SRL„Carpeni Imobiliare”</w:t>
            </w:r>
          </w:p>
        </w:tc>
        <w:tc>
          <w:tcPr>
            <w:tcW w:w="1843" w:type="dxa"/>
            <w:tcBorders>
              <w:top w:val="nil"/>
              <w:left w:val="nil"/>
              <w:bottom w:val="single" w:sz="4" w:space="0" w:color="auto"/>
              <w:right w:val="single" w:sz="4" w:space="0" w:color="auto"/>
            </w:tcBorders>
            <w:shd w:val="clear" w:color="auto" w:fill="auto"/>
            <w:vAlign w:val="center"/>
            <w:hideMark/>
          </w:tcPr>
          <w:p w14:paraId="6B87D7E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557203CB"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01003091014</w:t>
            </w:r>
          </w:p>
        </w:tc>
        <w:tc>
          <w:tcPr>
            <w:tcW w:w="851" w:type="dxa"/>
            <w:tcBorders>
              <w:top w:val="nil"/>
              <w:left w:val="nil"/>
              <w:bottom w:val="single" w:sz="4" w:space="0" w:color="auto"/>
              <w:right w:val="single" w:sz="4" w:space="0" w:color="auto"/>
            </w:tcBorders>
            <w:shd w:val="clear" w:color="auto" w:fill="auto"/>
            <w:vAlign w:val="center"/>
            <w:hideMark/>
          </w:tcPr>
          <w:p w14:paraId="120864FB"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2 400,00</w:t>
            </w:r>
          </w:p>
        </w:tc>
        <w:tc>
          <w:tcPr>
            <w:tcW w:w="1134" w:type="dxa"/>
            <w:tcBorders>
              <w:top w:val="nil"/>
              <w:left w:val="nil"/>
              <w:bottom w:val="single" w:sz="4" w:space="0" w:color="auto"/>
              <w:right w:val="single" w:sz="4" w:space="0" w:color="auto"/>
            </w:tcBorders>
            <w:shd w:val="clear" w:color="auto" w:fill="auto"/>
            <w:vAlign w:val="center"/>
            <w:hideMark/>
          </w:tcPr>
          <w:p w14:paraId="6716A9AD"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0,3367</w:t>
            </w:r>
          </w:p>
        </w:tc>
        <w:tc>
          <w:tcPr>
            <w:tcW w:w="1701" w:type="dxa"/>
            <w:tcBorders>
              <w:top w:val="nil"/>
              <w:left w:val="nil"/>
              <w:bottom w:val="single" w:sz="4" w:space="0" w:color="auto"/>
              <w:right w:val="single" w:sz="4" w:space="0" w:color="auto"/>
            </w:tcBorders>
            <w:shd w:val="clear" w:color="auto" w:fill="auto"/>
            <w:vAlign w:val="center"/>
            <w:hideMark/>
          </w:tcPr>
          <w:p w14:paraId="6B785066"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Uzinelor</w:t>
            </w:r>
          </w:p>
        </w:tc>
        <w:tc>
          <w:tcPr>
            <w:tcW w:w="1134" w:type="dxa"/>
            <w:tcBorders>
              <w:top w:val="nil"/>
              <w:left w:val="nil"/>
              <w:bottom w:val="single" w:sz="4" w:space="0" w:color="auto"/>
              <w:right w:val="single" w:sz="4" w:space="0" w:color="auto"/>
            </w:tcBorders>
            <w:shd w:val="clear" w:color="auto" w:fill="auto"/>
            <w:vAlign w:val="center"/>
            <w:hideMark/>
          </w:tcPr>
          <w:p w14:paraId="01B1513E"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7128,0</w:t>
            </w:r>
          </w:p>
        </w:tc>
        <w:tc>
          <w:tcPr>
            <w:tcW w:w="1134" w:type="dxa"/>
            <w:tcBorders>
              <w:top w:val="nil"/>
              <w:left w:val="nil"/>
              <w:bottom w:val="single" w:sz="4" w:space="0" w:color="auto"/>
              <w:right w:val="single" w:sz="4" w:space="0" w:color="auto"/>
            </w:tcBorders>
            <w:shd w:val="clear" w:color="auto" w:fill="auto"/>
            <w:vAlign w:val="center"/>
            <w:hideMark/>
          </w:tcPr>
          <w:p w14:paraId="0A86787D"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1500</w:t>
            </w:r>
          </w:p>
        </w:tc>
        <w:tc>
          <w:tcPr>
            <w:tcW w:w="1417" w:type="dxa"/>
            <w:tcBorders>
              <w:top w:val="nil"/>
              <w:left w:val="nil"/>
              <w:bottom w:val="single" w:sz="4" w:space="0" w:color="auto"/>
              <w:right w:val="single" w:sz="4" w:space="0" w:color="auto"/>
            </w:tcBorders>
            <w:shd w:val="clear" w:color="auto" w:fill="auto"/>
            <w:vAlign w:val="center"/>
            <w:hideMark/>
          </w:tcPr>
          <w:p w14:paraId="63C9196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4455,00</w:t>
            </w:r>
          </w:p>
        </w:tc>
      </w:tr>
      <w:tr w:rsidR="008110AC" w:rsidRPr="009E5B39" w14:paraId="19DE871A" w14:textId="6C5C9FBE"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47FD36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25</w:t>
            </w:r>
          </w:p>
        </w:tc>
        <w:tc>
          <w:tcPr>
            <w:tcW w:w="958" w:type="dxa"/>
            <w:tcBorders>
              <w:top w:val="nil"/>
              <w:left w:val="nil"/>
              <w:bottom w:val="single" w:sz="4" w:space="0" w:color="auto"/>
              <w:right w:val="single" w:sz="4" w:space="0" w:color="auto"/>
            </w:tcBorders>
            <w:shd w:val="clear" w:color="auto" w:fill="auto"/>
            <w:vAlign w:val="center"/>
            <w:hideMark/>
          </w:tcPr>
          <w:p w14:paraId="06DD335E"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14/14-9</w:t>
            </w:r>
          </w:p>
        </w:tc>
        <w:tc>
          <w:tcPr>
            <w:tcW w:w="993" w:type="dxa"/>
            <w:tcBorders>
              <w:top w:val="nil"/>
              <w:left w:val="nil"/>
              <w:bottom w:val="single" w:sz="4" w:space="0" w:color="auto"/>
              <w:right w:val="single" w:sz="4" w:space="0" w:color="auto"/>
            </w:tcBorders>
            <w:shd w:val="clear" w:color="auto" w:fill="auto"/>
            <w:vAlign w:val="center"/>
            <w:hideMark/>
          </w:tcPr>
          <w:p w14:paraId="6F084BAD"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11.08.2020</w:t>
            </w:r>
          </w:p>
        </w:tc>
        <w:tc>
          <w:tcPr>
            <w:tcW w:w="1275" w:type="dxa"/>
            <w:tcBorders>
              <w:top w:val="nil"/>
              <w:left w:val="nil"/>
              <w:bottom w:val="single" w:sz="4" w:space="0" w:color="auto"/>
              <w:right w:val="single" w:sz="4" w:space="0" w:color="auto"/>
            </w:tcBorders>
            <w:shd w:val="clear" w:color="auto" w:fill="auto"/>
            <w:vAlign w:val="center"/>
            <w:hideMark/>
          </w:tcPr>
          <w:p w14:paraId="2C4C245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SRL„Memilit”</w:t>
            </w:r>
          </w:p>
        </w:tc>
        <w:tc>
          <w:tcPr>
            <w:tcW w:w="1843" w:type="dxa"/>
            <w:tcBorders>
              <w:top w:val="nil"/>
              <w:left w:val="nil"/>
              <w:bottom w:val="single" w:sz="4" w:space="0" w:color="auto"/>
              <w:right w:val="single" w:sz="4" w:space="0" w:color="auto"/>
            </w:tcBorders>
            <w:shd w:val="clear" w:color="auto" w:fill="auto"/>
            <w:vAlign w:val="center"/>
            <w:hideMark/>
          </w:tcPr>
          <w:p w14:paraId="001AADB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1A87215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0100309177</w:t>
            </w:r>
          </w:p>
        </w:tc>
        <w:tc>
          <w:tcPr>
            <w:tcW w:w="851" w:type="dxa"/>
            <w:tcBorders>
              <w:top w:val="nil"/>
              <w:left w:val="nil"/>
              <w:bottom w:val="single" w:sz="4" w:space="0" w:color="auto"/>
              <w:right w:val="single" w:sz="4" w:space="0" w:color="auto"/>
            </w:tcBorders>
            <w:shd w:val="clear" w:color="auto" w:fill="auto"/>
            <w:vAlign w:val="center"/>
            <w:hideMark/>
          </w:tcPr>
          <w:p w14:paraId="4D16FAF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5 900,00</w:t>
            </w:r>
          </w:p>
        </w:tc>
        <w:tc>
          <w:tcPr>
            <w:tcW w:w="1134" w:type="dxa"/>
            <w:tcBorders>
              <w:top w:val="nil"/>
              <w:left w:val="nil"/>
              <w:bottom w:val="single" w:sz="4" w:space="0" w:color="auto"/>
              <w:right w:val="single" w:sz="4" w:space="0" w:color="auto"/>
            </w:tcBorders>
            <w:shd w:val="clear" w:color="auto" w:fill="auto"/>
            <w:vAlign w:val="center"/>
            <w:hideMark/>
          </w:tcPr>
          <w:p w14:paraId="05A6E7AD"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1,16</w:t>
            </w:r>
          </w:p>
        </w:tc>
        <w:tc>
          <w:tcPr>
            <w:tcW w:w="1701" w:type="dxa"/>
            <w:tcBorders>
              <w:top w:val="nil"/>
              <w:left w:val="nil"/>
              <w:bottom w:val="single" w:sz="4" w:space="0" w:color="auto"/>
              <w:right w:val="single" w:sz="4" w:space="0" w:color="auto"/>
            </w:tcBorders>
            <w:shd w:val="clear" w:color="auto" w:fill="auto"/>
            <w:vAlign w:val="center"/>
            <w:hideMark/>
          </w:tcPr>
          <w:p w14:paraId="6F128CE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Academician Ilie Untilă, 13</w:t>
            </w:r>
          </w:p>
        </w:tc>
        <w:tc>
          <w:tcPr>
            <w:tcW w:w="1134" w:type="dxa"/>
            <w:tcBorders>
              <w:top w:val="nil"/>
              <w:left w:val="nil"/>
              <w:bottom w:val="single" w:sz="4" w:space="0" w:color="auto"/>
              <w:right w:val="single" w:sz="4" w:space="0" w:color="auto"/>
            </w:tcBorders>
            <w:shd w:val="clear" w:color="auto" w:fill="auto"/>
            <w:vAlign w:val="center"/>
            <w:hideMark/>
          </w:tcPr>
          <w:p w14:paraId="35B41E1C"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5089,7</w:t>
            </w:r>
          </w:p>
        </w:tc>
        <w:tc>
          <w:tcPr>
            <w:tcW w:w="1134" w:type="dxa"/>
            <w:tcBorders>
              <w:top w:val="nil"/>
              <w:left w:val="nil"/>
              <w:bottom w:val="single" w:sz="4" w:space="0" w:color="auto"/>
              <w:right w:val="single" w:sz="4" w:space="0" w:color="auto"/>
            </w:tcBorders>
            <w:shd w:val="clear" w:color="auto" w:fill="auto"/>
            <w:vAlign w:val="center"/>
            <w:hideMark/>
          </w:tcPr>
          <w:p w14:paraId="59F3E7D2"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3100</w:t>
            </w:r>
          </w:p>
        </w:tc>
        <w:tc>
          <w:tcPr>
            <w:tcW w:w="1417" w:type="dxa"/>
            <w:tcBorders>
              <w:top w:val="nil"/>
              <w:left w:val="nil"/>
              <w:bottom w:val="single" w:sz="4" w:space="0" w:color="auto"/>
              <w:right w:val="single" w:sz="4" w:space="0" w:color="auto"/>
            </w:tcBorders>
            <w:shd w:val="clear" w:color="auto" w:fill="auto"/>
            <w:vAlign w:val="center"/>
            <w:hideMark/>
          </w:tcPr>
          <w:p w14:paraId="7D11405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2674,26</w:t>
            </w:r>
          </w:p>
        </w:tc>
      </w:tr>
      <w:tr w:rsidR="008110AC" w:rsidRPr="009E5B39" w14:paraId="01F7D864" w14:textId="7326576F"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8F1B22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26</w:t>
            </w:r>
          </w:p>
        </w:tc>
        <w:tc>
          <w:tcPr>
            <w:tcW w:w="958" w:type="dxa"/>
            <w:tcBorders>
              <w:top w:val="nil"/>
              <w:left w:val="nil"/>
              <w:bottom w:val="single" w:sz="4" w:space="0" w:color="auto"/>
              <w:right w:val="single" w:sz="4" w:space="0" w:color="auto"/>
            </w:tcBorders>
            <w:shd w:val="clear" w:color="auto" w:fill="auto"/>
            <w:vAlign w:val="center"/>
            <w:hideMark/>
          </w:tcPr>
          <w:p w14:paraId="3B4C8DD6"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14/14-11</w:t>
            </w:r>
          </w:p>
        </w:tc>
        <w:tc>
          <w:tcPr>
            <w:tcW w:w="993" w:type="dxa"/>
            <w:tcBorders>
              <w:top w:val="nil"/>
              <w:left w:val="nil"/>
              <w:bottom w:val="single" w:sz="4" w:space="0" w:color="auto"/>
              <w:right w:val="single" w:sz="4" w:space="0" w:color="auto"/>
            </w:tcBorders>
            <w:shd w:val="clear" w:color="auto" w:fill="auto"/>
            <w:vAlign w:val="center"/>
            <w:hideMark/>
          </w:tcPr>
          <w:p w14:paraId="02EA1467"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11.08.2020</w:t>
            </w:r>
          </w:p>
        </w:tc>
        <w:tc>
          <w:tcPr>
            <w:tcW w:w="1275" w:type="dxa"/>
            <w:tcBorders>
              <w:top w:val="nil"/>
              <w:left w:val="nil"/>
              <w:bottom w:val="single" w:sz="4" w:space="0" w:color="auto"/>
              <w:right w:val="single" w:sz="4" w:space="0" w:color="auto"/>
            </w:tcBorders>
            <w:shd w:val="clear" w:color="auto" w:fill="auto"/>
            <w:vAlign w:val="center"/>
            <w:hideMark/>
          </w:tcPr>
          <w:p w14:paraId="691D55BC" w14:textId="7D8D60DC" w:rsidR="008110AC" w:rsidRPr="009E5B39" w:rsidRDefault="005C6936"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P</w:t>
            </w:r>
            <w:r w:rsidR="008110AC" w:rsidRPr="009E5B39">
              <w:rPr>
                <w:rFonts w:asciiTheme="majorHAnsi" w:eastAsia="Times New Roman" w:hAnsiTheme="majorHAnsi" w:cstheme="majorHAnsi"/>
                <w:sz w:val="16"/>
                <w:szCs w:val="16"/>
                <w:lang w:val="ro-MD" w:eastAsia="ru-RU"/>
              </w:rPr>
              <w:t xml:space="preserve">ers. fizică </w:t>
            </w:r>
          </w:p>
        </w:tc>
        <w:tc>
          <w:tcPr>
            <w:tcW w:w="1843" w:type="dxa"/>
            <w:tcBorders>
              <w:top w:val="nil"/>
              <w:left w:val="nil"/>
              <w:bottom w:val="single" w:sz="4" w:space="0" w:color="auto"/>
              <w:right w:val="single" w:sz="4" w:space="0" w:color="auto"/>
            </w:tcBorders>
            <w:shd w:val="clear" w:color="auto" w:fill="auto"/>
            <w:vAlign w:val="center"/>
            <w:hideMark/>
          </w:tcPr>
          <w:p w14:paraId="256EEE7C"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2BBFC5B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0100310028</w:t>
            </w:r>
          </w:p>
        </w:tc>
        <w:tc>
          <w:tcPr>
            <w:tcW w:w="851" w:type="dxa"/>
            <w:tcBorders>
              <w:top w:val="nil"/>
              <w:left w:val="nil"/>
              <w:bottom w:val="single" w:sz="4" w:space="0" w:color="auto"/>
              <w:right w:val="single" w:sz="4" w:space="0" w:color="auto"/>
            </w:tcBorders>
            <w:shd w:val="clear" w:color="auto" w:fill="auto"/>
            <w:vAlign w:val="center"/>
            <w:hideMark/>
          </w:tcPr>
          <w:p w14:paraId="7710DFEF"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770,00</w:t>
            </w:r>
          </w:p>
        </w:tc>
        <w:tc>
          <w:tcPr>
            <w:tcW w:w="1134" w:type="dxa"/>
            <w:tcBorders>
              <w:top w:val="nil"/>
              <w:left w:val="nil"/>
              <w:bottom w:val="single" w:sz="4" w:space="0" w:color="auto"/>
              <w:right w:val="single" w:sz="4" w:space="0" w:color="auto"/>
            </w:tcBorders>
            <w:shd w:val="clear" w:color="auto" w:fill="auto"/>
            <w:vAlign w:val="center"/>
            <w:hideMark/>
          </w:tcPr>
          <w:p w14:paraId="5D6BC796"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0,0294</w:t>
            </w:r>
          </w:p>
        </w:tc>
        <w:tc>
          <w:tcPr>
            <w:tcW w:w="1701" w:type="dxa"/>
            <w:tcBorders>
              <w:top w:val="nil"/>
              <w:left w:val="nil"/>
              <w:bottom w:val="single" w:sz="4" w:space="0" w:color="auto"/>
              <w:right w:val="single" w:sz="4" w:space="0" w:color="auto"/>
            </w:tcBorders>
            <w:shd w:val="clear" w:color="auto" w:fill="auto"/>
            <w:vAlign w:val="center"/>
            <w:hideMark/>
          </w:tcPr>
          <w:p w14:paraId="0AD4B7C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Nicolae Milescu Spătaru</w:t>
            </w:r>
          </w:p>
        </w:tc>
        <w:tc>
          <w:tcPr>
            <w:tcW w:w="1134" w:type="dxa"/>
            <w:tcBorders>
              <w:top w:val="nil"/>
              <w:left w:val="nil"/>
              <w:bottom w:val="single" w:sz="4" w:space="0" w:color="auto"/>
              <w:right w:val="single" w:sz="4" w:space="0" w:color="auto"/>
            </w:tcBorders>
            <w:shd w:val="clear" w:color="auto" w:fill="auto"/>
            <w:vAlign w:val="center"/>
            <w:hideMark/>
          </w:tcPr>
          <w:p w14:paraId="1D9A676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26190,5</w:t>
            </w:r>
          </w:p>
        </w:tc>
        <w:tc>
          <w:tcPr>
            <w:tcW w:w="1134" w:type="dxa"/>
            <w:tcBorders>
              <w:top w:val="nil"/>
              <w:left w:val="nil"/>
              <w:bottom w:val="single" w:sz="4" w:space="0" w:color="auto"/>
              <w:right w:val="single" w:sz="4" w:space="0" w:color="auto"/>
            </w:tcBorders>
            <w:shd w:val="clear" w:color="auto" w:fill="auto"/>
            <w:vAlign w:val="center"/>
            <w:hideMark/>
          </w:tcPr>
          <w:p w14:paraId="477D3FF8"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700</w:t>
            </w:r>
          </w:p>
        </w:tc>
        <w:tc>
          <w:tcPr>
            <w:tcW w:w="1417" w:type="dxa"/>
            <w:tcBorders>
              <w:top w:val="nil"/>
              <w:left w:val="nil"/>
              <w:bottom w:val="single" w:sz="4" w:space="0" w:color="auto"/>
              <w:right w:val="single" w:sz="4" w:space="0" w:color="auto"/>
            </w:tcBorders>
            <w:shd w:val="clear" w:color="auto" w:fill="auto"/>
            <w:vAlign w:val="center"/>
            <w:hideMark/>
          </w:tcPr>
          <w:p w14:paraId="2B0BE25D" w14:textId="0AAC2D52"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Calibri Light" w:hAnsi="Calibri Light" w:cs="Calibri Light"/>
                <w:color w:val="000000"/>
                <w:sz w:val="16"/>
                <w:szCs w:val="16"/>
                <w:lang w:val="ro-MD"/>
              </w:rPr>
              <w:t>23809,52</w:t>
            </w:r>
          </w:p>
        </w:tc>
      </w:tr>
      <w:tr w:rsidR="008110AC" w:rsidRPr="009E5B39" w14:paraId="141585E2" w14:textId="36545D7C"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C35163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27</w:t>
            </w:r>
          </w:p>
        </w:tc>
        <w:tc>
          <w:tcPr>
            <w:tcW w:w="958" w:type="dxa"/>
            <w:tcBorders>
              <w:top w:val="nil"/>
              <w:left w:val="nil"/>
              <w:bottom w:val="single" w:sz="4" w:space="0" w:color="auto"/>
              <w:right w:val="single" w:sz="4" w:space="0" w:color="auto"/>
            </w:tcBorders>
            <w:shd w:val="clear" w:color="auto" w:fill="auto"/>
            <w:vAlign w:val="center"/>
            <w:hideMark/>
          </w:tcPr>
          <w:p w14:paraId="3BA159E7"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11/19</w:t>
            </w:r>
          </w:p>
        </w:tc>
        <w:tc>
          <w:tcPr>
            <w:tcW w:w="993" w:type="dxa"/>
            <w:tcBorders>
              <w:top w:val="nil"/>
              <w:left w:val="nil"/>
              <w:bottom w:val="single" w:sz="4" w:space="0" w:color="auto"/>
              <w:right w:val="single" w:sz="4" w:space="0" w:color="auto"/>
            </w:tcBorders>
            <w:shd w:val="clear" w:color="auto" w:fill="auto"/>
            <w:vAlign w:val="center"/>
            <w:hideMark/>
          </w:tcPr>
          <w:p w14:paraId="3802C650"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28.09.2010</w:t>
            </w:r>
          </w:p>
        </w:tc>
        <w:tc>
          <w:tcPr>
            <w:tcW w:w="1275" w:type="dxa"/>
            <w:tcBorders>
              <w:top w:val="nil"/>
              <w:left w:val="nil"/>
              <w:bottom w:val="single" w:sz="4" w:space="0" w:color="auto"/>
              <w:right w:val="single" w:sz="4" w:space="0" w:color="auto"/>
            </w:tcBorders>
            <w:shd w:val="clear" w:color="auto" w:fill="auto"/>
            <w:vAlign w:val="center"/>
            <w:hideMark/>
          </w:tcPr>
          <w:p w14:paraId="5D7ECB45" w14:textId="33C9E10B" w:rsidR="008110AC" w:rsidRPr="009E5B39" w:rsidRDefault="005C6936"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P</w:t>
            </w:r>
            <w:r w:rsidR="008110AC" w:rsidRPr="009E5B39">
              <w:rPr>
                <w:rFonts w:asciiTheme="majorHAnsi" w:eastAsia="Times New Roman" w:hAnsiTheme="majorHAnsi" w:cstheme="majorHAnsi"/>
                <w:sz w:val="16"/>
                <w:szCs w:val="16"/>
                <w:lang w:val="ro-MD" w:eastAsia="ru-RU"/>
              </w:rPr>
              <w:t xml:space="preserve">ers. fizică </w:t>
            </w:r>
          </w:p>
        </w:tc>
        <w:tc>
          <w:tcPr>
            <w:tcW w:w="1843" w:type="dxa"/>
            <w:tcBorders>
              <w:top w:val="nil"/>
              <w:left w:val="nil"/>
              <w:bottom w:val="single" w:sz="4" w:space="0" w:color="auto"/>
              <w:right w:val="single" w:sz="4" w:space="0" w:color="auto"/>
            </w:tcBorders>
            <w:shd w:val="clear" w:color="auto" w:fill="auto"/>
            <w:vAlign w:val="center"/>
            <w:hideMark/>
          </w:tcPr>
          <w:p w14:paraId="6448F89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5E75D9F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0100310465</w:t>
            </w:r>
          </w:p>
        </w:tc>
        <w:tc>
          <w:tcPr>
            <w:tcW w:w="851" w:type="dxa"/>
            <w:tcBorders>
              <w:top w:val="nil"/>
              <w:left w:val="nil"/>
              <w:bottom w:val="single" w:sz="4" w:space="0" w:color="auto"/>
              <w:right w:val="single" w:sz="4" w:space="0" w:color="auto"/>
            </w:tcBorders>
            <w:shd w:val="clear" w:color="auto" w:fill="auto"/>
            <w:vAlign w:val="center"/>
            <w:hideMark/>
          </w:tcPr>
          <w:p w14:paraId="6A372D5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120,00</w:t>
            </w:r>
          </w:p>
        </w:tc>
        <w:tc>
          <w:tcPr>
            <w:tcW w:w="1134" w:type="dxa"/>
            <w:tcBorders>
              <w:top w:val="nil"/>
              <w:left w:val="nil"/>
              <w:bottom w:val="single" w:sz="4" w:space="0" w:color="auto"/>
              <w:right w:val="single" w:sz="4" w:space="0" w:color="auto"/>
            </w:tcBorders>
            <w:shd w:val="clear" w:color="auto" w:fill="auto"/>
            <w:vAlign w:val="center"/>
            <w:hideMark/>
          </w:tcPr>
          <w:p w14:paraId="61D382A7"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0,0328</w:t>
            </w:r>
          </w:p>
        </w:tc>
        <w:tc>
          <w:tcPr>
            <w:tcW w:w="1701" w:type="dxa"/>
            <w:tcBorders>
              <w:top w:val="nil"/>
              <w:left w:val="nil"/>
              <w:bottom w:val="single" w:sz="4" w:space="0" w:color="auto"/>
              <w:right w:val="single" w:sz="4" w:space="0" w:color="auto"/>
            </w:tcBorders>
            <w:shd w:val="clear" w:color="auto" w:fill="auto"/>
            <w:vAlign w:val="center"/>
            <w:hideMark/>
          </w:tcPr>
          <w:p w14:paraId="0A4819E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Chișuinău, str. Haiducul Bujor</w:t>
            </w:r>
          </w:p>
        </w:tc>
        <w:tc>
          <w:tcPr>
            <w:tcW w:w="1134" w:type="dxa"/>
            <w:tcBorders>
              <w:top w:val="nil"/>
              <w:left w:val="nil"/>
              <w:bottom w:val="single" w:sz="4" w:space="0" w:color="auto"/>
              <w:right w:val="single" w:sz="4" w:space="0" w:color="auto"/>
            </w:tcBorders>
            <w:shd w:val="clear" w:color="auto" w:fill="auto"/>
            <w:vAlign w:val="center"/>
            <w:hideMark/>
          </w:tcPr>
          <w:p w14:paraId="0B16BFF0"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3658,5</w:t>
            </w:r>
          </w:p>
        </w:tc>
        <w:tc>
          <w:tcPr>
            <w:tcW w:w="1134" w:type="dxa"/>
            <w:tcBorders>
              <w:top w:val="nil"/>
              <w:left w:val="nil"/>
              <w:bottom w:val="single" w:sz="4" w:space="0" w:color="auto"/>
              <w:right w:val="single" w:sz="4" w:space="0" w:color="auto"/>
            </w:tcBorders>
            <w:shd w:val="clear" w:color="auto" w:fill="auto"/>
            <w:vAlign w:val="center"/>
            <w:hideMark/>
          </w:tcPr>
          <w:p w14:paraId="02CE07D3"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100</w:t>
            </w:r>
          </w:p>
        </w:tc>
        <w:tc>
          <w:tcPr>
            <w:tcW w:w="1417" w:type="dxa"/>
            <w:tcBorders>
              <w:top w:val="nil"/>
              <w:left w:val="nil"/>
              <w:bottom w:val="single" w:sz="4" w:space="0" w:color="auto"/>
              <w:right w:val="single" w:sz="4" w:space="0" w:color="auto"/>
            </w:tcBorders>
            <w:shd w:val="clear" w:color="auto" w:fill="auto"/>
            <w:vAlign w:val="center"/>
            <w:hideMark/>
          </w:tcPr>
          <w:p w14:paraId="350ECE8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3048,78</w:t>
            </w:r>
          </w:p>
        </w:tc>
      </w:tr>
      <w:tr w:rsidR="008110AC" w:rsidRPr="009E5B39" w14:paraId="7095905B" w14:textId="226E5D99"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8BDF71C"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28</w:t>
            </w:r>
          </w:p>
        </w:tc>
        <w:tc>
          <w:tcPr>
            <w:tcW w:w="958" w:type="dxa"/>
            <w:tcBorders>
              <w:top w:val="nil"/>
              <w:left w:val="nil"/>
              <w:bottom w:val="single" w:sz="4" w:space="0" w:color="auto"/>
              <w:right w:val="single" w:sz="4" w:space="0" w:color="auto"/>
            </w:tcBorders>
            <w:shd w:val="clear" w:color="auto" w:fill="auto"/>
            <w:vAlign w:val="center"/>
            <w:hideMark/>
          </w:tcPr>
          <w:p w14:paraId="4ABDB600"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4/22</w:t>
            </w:r>
          </w:p>
        </w:tc>
        <w:tc>
          <w:tcPr>
            <w:tcW w:w="993" w:type="dxa"/>
            <w:tcBorders>
              <w:top w:val="nil"/>
              <w:left w:val="nil"/>
              <w:bottom w:val="single" w:sz="4" w:space="0" w:color="auto"/>
              <w:right w:val="single" w:sz="4" w:space="0" w:color="auto"/>
            </w:tcBorders>
            <w:shd w:val="clear" w:color="auto" w:fill="auto"/>
            <w:vAlign w:val="center"/>
            <w:hideMark/>
          </w:tcPr>
          <w:p w14:paraId="6AFC0D1E"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30.04.2013</w:t>
            </w:r>
          </w:p>
        </w:tc>
        <w:tc>
          <w:tcPr>
            <w:tcW w:w="1275" w:type="dxa"/>
            <w:tcBorders>
              <w:top w:val="nil"/>
              <w:left w:val="nil"/>
              <w:bottom w:val="single" w:sz="4" w:space="0" w:color="auto"/>
              <w:right w:val="single" w:sz="4" w:space="0" w:color="auto"/>
            </w:tcBorders>
            <w:shd w:val="clear" w:color="auto" w:fill="auto"/>
            <w:vAlign w:val="center"/>
            <w:hideMark/>
          </w:tcPr>
          <w:p w14:paraId="6290200C" w14:textId="62CB260E" w:rsidR="008110AC" w:rsidRPr="009E5B39" w:rsidRDefault="005C6936"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P</w:t>
            </w:r>
            <w:r w:rsidR="008110AC" w:rsidRPr="009E5B39">
              <w:rPr>
                <w:rFonts w:asciiTheme="majorHAnsi" w:eastAsia="Times New Roman" w:hAnsiTheme="majorHAnsi" w:cstheme="majorHAnsi"/>
                <w:sz w:val="16"/>
                <w:szCs w:val="16"/>
                <w:lang w:val="ro-MD" w:eastAsia="ru-RU"/>
              </w:rPr>
              <w:t xml:space="preserve">ers. fizică </w:t>
            </w:r>
          </w:p>
        </w:tc>
        <w:tc>
          <w:tcPr>
            <w:tcW w:w="1843" w:type="dxa"/>
            <w:tcBorders>
              <w:top w:val="nil"/>
              <w:left w:val="nil"/>
              <w:bottom w:val="single" w:sz="4" w:space="0" w:color="auto"/>
              <w:right w:val="single" w:sz="4" w:space="0" w:color="auto"/>
            </w:tcBorders>
            <w:shd w:val="clear" w:color="auto" w:fill="auto"/>
            <w:vAlign w:val="center"/>
            <w:hideMark/>
          </w:tcPr>
          <w:p w14:paraId="4E2A58C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499CC420"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0100402560</w:t>
            </w:r>
          </w:p>
        </w:tc>
        <w:tc>
          <w:tcPr>
            <w:tcW w:w="851" w:type="dxa"/>
            <w:tcBorders>
              <w:top w:val="nil"/>
              <w:left w:val="nil"/>
              <w:bottom w:val="single" w:sz="4" w:space="0" w:color="auto"/>
              <w:right w:val="single" w:sz="4" w:space="0" w:color="auto"/>
            </w:tcBorders>
            <w:shd w:val="clear" w:color="auto" w:fill="auto"/>
            <w:vAlign w:val="center"/>
            <w:hideMark/>
          </w:tcPr>
          <w:p w14:paraId="1E1CE6CE"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460,00</w:t>
            </w:r>
          </w:p>
        </w:tc>
        <w:tc>
          <w:tcPr>
            <w:tcW w:w="1134" w:type="dxa"/>
            <w:tcBorders>
              <w:top w:val="nil"/>
              <w:left w:val="nil"/>
              <w:bottom w:val="single" w:sz="4" w:space="0" w:color="auto"/>
              <w:right w:val="single" w:sz="4" w:space="0" w:color="auto"/>
            </w:tcBorders>
            <w:shd w:val="clear" w:color="auto" w:fill="auto"/>
            <w:vAlign w:val="center"/>
            <w:hideMark/>
          </w:tcPr>
          <w:p w14:paraId="55CF24E2"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0,0387</w:t>
            </w:r>
          </w:p>
        </w:tc>
        <w:tc>
          <w:tcPr>
            <w:tcW w:w="1701" w:type="dxa"/>
            <w:tcBorders>
              <w:top w:val="nil"/>
              <w:left w:val="nil"/>
              <w:bottom w:val="single" w:sz="4" w:space="0" w:color="auto"/>
              <w:right w:val="single" w:sz="4" w:space="0" w:color="auto"/>
            </w:tcBorders>
            <w:shd w:val="clear" w:color="auto" w:fill="auto"/>
            <w:vAlign w:val="center"/>
            <w:hideMark/>
          </w:tcPr>
          <w:p w14:paraId="06C6C6D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Calea Ieșilor, 63/1</w:t>
            </w:r>
          </w:p>
        </w:tc>
        <w:tc>
          <w:tcPr>
            <w:tcW w:w="1134" w:type="dxa"/>
            <w:tcBorders>
              <w:top w:val="nil"/>
              <w:left w:val="nil"/>
              <w:bottom w:val="single" w:sz="4" w:space="0" w:color="auto"/>
              <w:right w:val="single" w:sz="4" w:space="0" w:color="auto"/>
            </w:tcBorders>
            <w:shd w:val="clear" w:color="auto" w:fill="auto"/>
            <w:vAlign w:val="center"/>
            <w:hideMark/>
          </w:tcPr>
          <w:p w14:paraId="12C7370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11886,3</w:t>
            </w:r>
          </w:p>
        </w:tc>
        <w:tc>
          <w:tcPr>
            <w:tcW w:w="1134" w:type="dxa"/>
            <w:tcBorders>
              <w:top w:val="nil"/>
              <w:left w:val="nil"/>
              <w:bottom w:val="single" w:sz="4" w:space="0" w:color="auto"/>
              <w:right w:val="single" w:sz="4" w:space="0" w:color="auto"/>
            </w:tcBorders>
            <w:shd w:val="clear" w:color="auto" w:fill="auto"/>
            <w:vAlign w:val="center"/>
            <w:hideMark/>
          </w:tcPr>
          <w:p w14:paraId="7F967987"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400</w:t>
            </w:r>
          </w:p>
        </w:tc>
        <w:tc>
          <w:tcPr>
            <w:tcW w:w="1417" w:type="dxa"/>
            <w:tcBorders>
              <w:top w:val="nil"/>
              <w:left w:val="nil"/>
              <w:bottom w:val="single" w:sz="4" w:space="0" w:color="auto"/>
              <w:right w:val="single" w:sz="4" w:space="0" w:color="auto"/>
            </w:tcBorders>
            <w:shd w:val="clear" w:color="auto" w:fill="auto"/>
            <w:vAlign w:val="center"/>
          </w:tcPr>
          <w:p w14:paraId="4AC13185" w14:textId="0A53518C"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Calibri Light" w:hAnsi="Calibri Light" w:cs="Calibri Light"/>
                <w:color w:val="000000"/>
                <w:sz w:val="16"/>
                <w:szCs w:val="16"/>
                <w:lang w:val="ro-MD"/>
              </w:rPr>
              <w:t>10335,92</w:t>
            </w:r>
          </w:p>
        </w:tc>
      </w:tr>
      <w:tr w:rsidR="008110AC" w:rsidRPr="009E5B39" w14:paraId="6C8A3024" w14:textId="4FC74501"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4CFF97B"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29</w:t>
            </w:r>
          </w:p>
        </w:tc>
        <w:tc>
          <w:tcPr>
            <w:tcW w:w="958" w:type="dxa"/>
            <w:tcBorders>
              <w:top w:val="nil"/>
              <w:left w:val="nil"/>
              <w:bottom w:val="single" w:sz="4" w:space="0" w:color="auto"/>
              <w:right w:val="single" w:sz="4" w:space="0" w:color="auto"/>
            </w:tcBorders>
            <w:shd w:val="clear" w:color="auto" w:fill="auto"/>
            <w:vAlign w:val="center"/>
            <w:hideMark/>
          </w:tcPr>
          <w:p w14:paraId="29A2B86E"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13/14-2</w:t>
            </w:r>
          </w:p>
        </w:tc>
        <w:tc>
          <w:tcPr>
            <w:tcW w:w="993" w:type="dxa"/>
            <w:tcBorders>
              <w:top w:val="nil"/>
              <w:left w:val="nil"/>
              <w:bottom w:val="single" w:sz="4" w:space="0" w:color="auto"/>
              <w:right w:val="single" w:sz="4" w:space="0" w:color="auto"/>
            </w:tcBorders>
            <w:shd w:val="clear" w:color="auto" w:fill="auto"/>
            <w:vAlign w:val="center"/>
            <w:hideMark/>
          </w:tcPr>
          <w:p w14:paraId="628A182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04.08.2020</w:t>
            </w:r>
          </w:p>
        </w:tc>
        <w:tc>
          <w:tcPr>
            <w:tcW w:w="1275" w:type="dxa"/>
            <w:tcBorders>
              <w:top w:val="nil"/>
              <w:left w:val="nil"/>
              <w:bottom w:val="single" w:sz="4" w:space="0" w:color="auto"/>
              <w:right w:val="single" w:sz="4" w:space="0" w:color="auto"/>
            </w:tcBorders>
            <w:shd w:val="clear" w:color="auto" w:fill="auto"/>
            <w:vAlign w:val="center"/>
            <w:hideMark/>
          </w:tcPr>
          <w:p w14:paraId="66CD288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SRL„Ave-Pro”</w:t>
            </w:r>
          </w:p>
        </w:tc>
        <w:tc>
          <w:tcPr>
            <w:tcW w:w="1843" w:type="dxa"/>
            <w:tcBorders>
              <w:top w:val="nil"/>
              <w:left w:val="nil"/>
              <w:bottom w:val="single" w:sz="4" w:space="0" w:color="auto"/>
              <w:right w:val="single" w:sz="4" w:space="0" w:color="auto"/>
            </w:tcBorders>
            <w:shd w:val="clear" w:color="auto" w:fill="auto"/>
            <w:vAlign w:val="center"/>
            <w:hideMark/>
          </w:tcPr>
          <w:p w14:paraId="6798516D"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5978BE0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0100402572</w:t>
            </w:r>
          </w:p>
        </w:tc>
        <w:tc>
          <w:tcPr>
            <w:tcW w:w="851" w:type="dxa"/>
            <w:tcBorders>
              <w:top w:val="nil"/>
              <w:left w:val="nil"/>
              <w:bottom w:val="single" w:sz="4" w:space="0" w:color="auto"/>
              <w:right w:val="single" w:sz="4" w:space="0" w:color="auto"/>
            </w:tcBorders>
            <w:shd w:val="clear" w:color="auto" w:fill="auto"/>
            <w:vAlign w:val="center"/>
            <w:hideMark/>
          </w:tcPr>
          <w:p w14:paraId="081E0C6D"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3 300,00</w:t>
            </w:r>
          </w:p>
        </w:tc>
        <w:tc>
          <w:tcPr>
            <w:tcW w:w="1134" w:type="dxa"/>
            <w:tcBorders>
              <w:top w:val="nil"/>
              <w:left w:val="nil"/>
              <w:bottom w:val="single" w:sz="4" w:space="0" w:color="auto"/>
              <w:right w:val="single" w:sz="4" w:space="0" w:color="auto"/>
            </w:tcBorders>
            <w:shd w:val="clear" w:color="auto" w:fill="auto"/>
            <w:vAlign w:val="center"/>
            <w:hideMark/>
          </w:tcPr>
          <w:p w14:paraId="03CF5FD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0,1150</w:t>
            </w:r>
          </w:p>
        </w:tc>
        <w:tc>
          <w:tcPr>
            <w:tcW w:w="1701" w:type="dxa"/>
            <w:tcBorders>
              <w:top w:val="nil"/>
              <w:left w:val="nil"/>
              <w:bottom w:val="single" w:sz="4" w:space="0" w:color="auto"/>
              <w:right w:val="single" w:sz="4" w:space="0" w:color="auto"/>
            </w:tcBorders>
            <w:shd w:val="clear" w:color="auto" w:fill="auto"/>
            <w:vAlign w:val="center"/>
            <w:hideMark/>
          </w:tcPr>
          <w:p w14:paraId="459C24A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Pietricani</w:t>
            </w:r>
          </w:p>
        </w:tc>
        <w:tc>
          <w:tcPr>
            <w:tcW w:w="1134" w:type="dxa"/>
            <w:tcBorders>
              <w:top w:val="nil"/>
              <w:left w:val="nil"/>
              <w:bottom w:val="single" w:sz="4" w:space="0" w:color="auto"/>
              <w:right w:val="single" w:sz="4" w:space="0" w:color="auto"/>
            </w:tcBorders>
            <w:shd w:val="clear" w:color="auto" w:fill="auto"/>
            <w:vAlign w:val="center"/>
            <w:hideMark/>
          </w:tcPr>
          <w:p w14:paraId="1235FB7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28695,7</w:t>
            </w:r>
          </w:p>
        </w:tc>
        <w:tc>
          <w:tcPr>
            <w:tcW w:w="1134" w:type="dxa"/>
            <w:tcBorders>
              <w:top w:val="nil"/>
              <w:left w:val="nil"/>
              <w:bottom w:val="single" w:sz="4" w:space="0" w:color="auto"/>
              <w:right w:val="single" w:sz="4" w:space="0" w:color="auto"/>
            </w:tcBorders>
            <w:shd w:val="clear" w:color="auto" w:fill="auto"/>
            <w:vAlign w:val="center"/>
            <w:hideMark/>
          </w:tcPr>
          <w:p w14:paraId="3BFC1EC7"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1500</w:t>
            </w:r>
          </w:p>
        </w:tc>
        <w:tc>
          <w:tcPr>
            <w:tcW w:w="1417" w:type="dxa"/>
            <w:tcBorders>
              <w:top w:val="nil"/>
              <w:left w:val="nil"/>
              <w:bottom w:val="single" w:sz="4" w:space="0" w:color="auto"/>
              <w:right w:val="single" w:sz="4" w:space="0" w:color="auto"/>
            </w:tcBorders>
            <w:shd w:val="clear" w:color="auto" w:fill="auto"/>
            <w:vAlign w:val="center"/>
          </w:tcPr>
          <w:p w14:paraId="52359461" w14:textId="396C2886"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Calibri Light" w:hAnsi="Calibri Light" w:cs="Calibri Light"/>
                <w:color w:val="000000"/>
                <w:sz w:val="16"/>
                <w:szCs w:val="16"/>
                <w:lang w:val="ro-MD"/>
              </w:rPr>
              <w:t>13043,48</w:t>
            </w:r>
          </w:p>
        </w:tc>
      </w:tr>
      <w:tr w:rsidR="008110AC" w:rsidRPr="009E5B39" w14:paraId="61C22121" w14:textId="60D0A261"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C65CC4B"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30</w:t>
            </w:r>
          </w:p>
        </w:tc>
        <w:tc>
          <w:tcPr>
            <w:tcW w:w="958" w:type="dxa"/>
            <w:tcBorders>
              <w:top w:val="nil"/>
              <w:left w:val="nil"/>
              <w:bottom w:val="single" w:sz="4" w:space="0" w:color="auto"/>
              <w:right w:val="single" w:sz="4" w:space="0" w:color="auto"/>
            </w:tcBorders>
            <w:shd w:val="clear" w:color="auto" w:fill="auto"/>
            <w:vAlign w:val="center"/>
            <w:hideMark/>
          </w:tcPr>
          <w:p w14:paraId="385B0C6C"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13/14-2</w:t>
            </w:r>
          </w:p>
        </w:tc>
        <w:tc>
          <w:tcPr>
            <w:tcW w:w="993" w:type="dxa"/>
            <w:tcBorders>
              <w:top w:val="nil"/>
              <w:left w:val="nil"/>
              <w:bottom w:val="single" w:sz="4" w:space="0" w:color="auto"/>
              <w:right w:val="single" w:sz="4" w:space="0" w:color="auto"/>
            </w:tcBorders>
            <w:shd w:val="clear" w:color="auto" w:fill="auto"/>
            <w:vAlign w:val="center"/>
            <w:hideMark/>
          </w:tcPr>
          <w:p w14:paraId="17F86766"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04.08.2020</w:t>
            </w:r>
          </w:p>
        </w:tc>
        <w:tc>
          <w:tcPr>
            <w:tcW w:w="1275" w:type="dxa"/>
            <w:tcBorders>
              <w:top w:val="nil"/>
              <w:left w:val="nil"/>
              <w:bottom w:val="single" w:sz="4" w:space="0" w:color="auto"/>
              <w:right w:val="single" w:sz="4" w:space="0" w:color="auto"/>
            </w:tcBorders>
            <w:shd w:val="clear" w:color="auto" w:fill="auto"/>
            <w:vAlign w:val="center"/>
            <w:hideMark/>
          </w:tcPr>
          <w:p w14:paraId="2FA3779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SRL„Ave-Pro”</w:t>
            </w:r>
          </w:p>
        </w:tc>
        <w:tc>
          <w:tcPr>
            <w:tcW w:w="1843" w:type="dxa"/>
            <w:tcBorders>
              <w:top w:val="nil"/>
              <w:left w:val="nil"/>
              <w:bottom w:val="single" w:sz="4" w:space="0" w:color="auto"/>
              <w:right w:val="single" w:sz="4" w:space="0" w:color="auto"/>
            </w:tcBorders>
            <w:shd w:val="clear" w:color="auto" w:fill="auto"/>
            <w:vAlign w:val="center"/>
            <w:hideMark/>
          </w:tcPr>
          <w:p w14:paraId="2D2EC267"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75E4C34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0100402574</w:t>
            </w:r>
          </w:p>
        </w:tc>
        <w:tc>
          <w:tcPr>
            <w:tcW w:w="851" w:type="dxa"/>
            <w:tcBorders>
              <w:top w:val="nil"/>
              <w:left w:val="nil"/>
              <w:bottom w:val="single" w:sz="4" w:space="0" w:color="auto"/>
              <w:right w:val="single" w:sz="4" w:space="0" w:color="auto"/>
            </w:tcBorders>
            <w:shd w:val="clear" w:color="auto" w:fill="auto"/>
            <w:vAlign w:val="center"/>
            <w:hideMark/>
          </w:tcPr>
          <w:p w14:paraId="64238CA6"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4 250,00</w:t>
            </w:r>
          </w:p>
        </w:tc>
        <w:tc>
          <w:tcPr>
            <w:tcW w:w="1134" w:type="dxa"/>
            <w:tcBorders>
              <w:top w:val="nil"/>
              <w:left w:val="nil"/>
              <w:bottom w:val="single" w:sz="4" w:space="0" w:color="auto"/>
              <w:right w:val="single" w:sz="4" w:space="0" w:color="auto"/>
            </w:tcBorders>
            <w:shd w:val="clear" w:color="auto" w:fill="auto"/>
            <w:vAlign w:val="center"/>
            <w:hideMark/>
          </w:tcPr>
          <w:p w14:paraId="42D795D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0,1739</w:t>
            </w:r>
          </w:p>
        </w:tc>
        <w:tc>
          <w:tcPr>
            <w:tcW w:w="1701" w:type="dxa"/>
            <w:tcBorders>
              <w:top w:val="nil"/>
              <w:left w:val="nil"/>
              <w:bottom w:val="single" w:sz="4" w:space="0" w:color="auto"/>
              <w:right w:val="single" w:sz="4" w:space="0" w:color="auto"/>
            </w:tcBorders>
            <w:shd w:val="clear" w:color="auto" w:fill="auto"/>
            <w:vAlign w:val="center"/>
            <w:hideMark/>
          </w:tcPr>
          <w:p w14:paraId="639C5BA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Pietricani</w:t>
            </w:r>
          </w:p>
        </w:tc>
        <w:tc>
          <w:tcPr>
            <w:tcW w:w="1134" w:type="dxa"/>
            <w:tcBorders>
              <w:top w:val="nil"/>
              <w:left w:val="nil"/>
              <w:bottom w:val="single" w:sz="4" w:space="0" w:color="auto"/>
              <w:right w:val="single" w:sz="4" w:space="0" w:color="auto"/>
            </w:tcBorders>
            <w:shd w:val="clear" w:color="auto" w:fill="auto"/>
            <w:vAlign w:val="center"/>
            <w:hideMark/>
          </w:tcPr>
          <w:p w14:paraId="0074195E"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24439,3</w:t>
            </w:r>
          </w:p>
        </w:tc>
        <w:tc>
          <w:tcPr>
            <w:tcW w:w="1134" w:type="dxa"/>
            <w:tcBorders>
              <w:top w:val="nil"/>
              <w:left w:val="nil"/>
              <w:bottom w:val="single" w:sz="4" w:space="0" w:color="auto"/>
              <w:right w:val="single" w:sz="4" w:space="0" w:color="auto"/>
            </w:tcBorders>
            <w:shd w:val="clear" w:color="auto" w:fill="auto"/>
            <w:vAlign w:val="center"/>
            <w:hideMark/>
          </w:tcPr>
          <w:p w14:paraId="00FDD184"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2500</w:t>
            </w:r>
          </w:p>
        </w:tc>
        <w:tc>
          <w:tcPr>
            <w:tcW w:w="1417" w:type="dxa"/>
            <w:tcBorders>
              <w:top w:val="nil"/>
              <w:left w:val="nil"/>
              <w:bottom w:val="single" w:sz="4" w:space="0" w:color="auto"/>
              <w:right w:val="single" w:sz="4" w:space="0" w:color="auto"/>
            </w:tcBorders>
            <w:shd w:val="clear" w:color="auto" w:fill="auto"/>
            <w:vAlign w:val="center"/>
          </w:tcPr>
          <w:p w14:paraId="245B686F" w14:textId="055B6D28"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Calibri Light" w:hAnsi="Calibri Light" w:cs="Calibri Light"/>
                <w:color w:val="000000"/>
                <w:sz w:val="16"/>
                <w:szCs w:val="16"/>
                <w:lang w:val="ro-MD"/>
              </w:rPr>
              <w:t>14376,08</w:t>
            </w:r>
          </w:p>
        </w:tc>
      </w:tr>
      <w:tr w:rsidR="008110AC" w:rsidRPr="009E5B39" w14:paraId="497EB823" w14:textId="63BD4EE3"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F7DE662"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31</w:t>
            </w:r>
          </w:p>
        </w:tc>
        <w:tc>
          <w:tcPr>
            <w:tcW w:w="958" w:type="dxa"/>
            <w:tcBorders>
              <w:top w:val="nil"/>
              <w:left w:val="nil"/>
              <w:bottom w:val="single" w:sz="4" w:space="0" w:color="auto"/>
              <w:right w:val="single" w:sz="4" w:space="0" w:color="auto"/>
            </w:tcBorders>
            <w:shd w:val="clear" w:color="auto" w:fill="auto"/>
            <w:vAlign w:val="center"/>
            <w:hideMark/>
          </w:tcPr>
          <w:p w14:paraId="4BFC3BA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14/14-10</w:t>
            </w:r>
          </w:p>
        </w:tc>
        <w:tc>
          <w:tcPr>
            <w:tcW w:w="993" w:type="dxa"/>
            <w:tcBorders>
              <w:top w:val="nil"/>
              <w:left w:val="nil"/>
              <w:bottom w:val="single" w:sz="4" w:space="0" w:color="auto"/>
              <w:right w:val="single" w:sz="4" w:space="0" w:color="auto"/>
            </w:tcBorders>
            <w:shd w:val="clear" w:color="auto" w:fill="auto"/>
            <w:vAlign w:val="center"/>
            <w:hideMark/>
          </w:tcPr>
          <w:p w14:paraId="26887D6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11.08.2020</w:t>
            </w:r>
          </w:p>
        </w:tc>
        <w:tc>
          <w:tcPr>
            <w:tcW w:w="1275" w:type="dxa"/>
            <w:tcBorders>
              <w:top w:val="nil"/>
              <w:left w:val="nil"/>
              <w:bottom w:val="single" w:sz="4" w:space="0" w:color="auto"/>
              <w:right w:val="single" w:sz="4" w:space="0" w:color="auto"/>
            </w:tcBorders>
            <w:shd w:val="clear" w:color="auto" w:fill="auto"/>
            <w:vAlign w:val="center"/>
            <w:hideMark/>
          </w:tcPr>
          <w:p w14:paraId="5D3FEA87" w14:textId="267FD6BB" w:rsidR="008110AC" w:rsidRPr="009E5B39" w:rsidRDefault="005C6936"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P</w:t>
            </w:r>
            <w:r w:rsidR="008110AC" w:rsidRPr="009E5B39">
              <w:rPr>
                <w:rFonts w:asciiTheme="majorHAnsi" w:eastAsia="Times New Roman" w:hAnsiTheme="majorHAnsi" w:cstheme="majorHAnsi"/>
                <w:sz w:val="16"/>
                <w:szCs w:val="16"/>
                <w:lang w:val="ro-MD" w:eastAsia="ru-RU"/>
              </w:rPr>
              <w:t xml:space="preserve">ers. Fizică </w:t>
            </w:r>
          </w:p>
        </w:tc>
        <w:tc>
          <w:tcPr>
            <w:tcW w:w="1843" w:type="dxa"/>
            <w:tcBorders>
              <w:top w:val="nil"/>
              <w:left w:val="nil"/>
              <w:bottom w:val="single" w:sz="4" w:space="0" w:color="auto"/>
              <w:right w:val="single" w:sz="4" w:space="0" w:color="auto"/>
            </w:tcBorders>
            <w:shd w:val="clear" w:color="auto" w:fill="auto"/>
            <w:vAlign w:val="center"/>
            <w:hideMark/>
          </w:tcPr>
          <w:p w14:paraId="78151E86"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5D40E09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0100402625</w:t>
            </w:r>
          </w:p>
        </w:tc>
        <w:tc>
          <w:tcPr>
            <w:tcW w:w="851" w:type="dxa"/>
            <w:tcBorders>
              <w:top w:val="nil"/>
              <w:left w:val="nil"/>
              <w:bottom w:val="single" w:sz="4" w:space="0" w:color="auto"/>
              <w:right w:val="single" w:sz="4" w:space="0" w:color="auto"/>
            </w:tcBorders>
            <w:shd w:val="clear" w:color="auto" w:fill="auto"/>
            <w:vAlign w:val="center"/>
            <w:hideMark/>
          </w:tcPr>
          <w:p w14:paraId="1CF48F2B"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2 500,00</w:t>
            </w:r>
          </w:p>
        </w:tc>
        <w:tc>
          <w:tcPr>
            <w:tcW w:w="1134" w:type="dxa"/>
            <w:tcBorders>
              <w:top w:val="nil"/>
              <w:left w:val="nil"/>
              <w:bottom w:val="single" w:sz="4" w:space="0" w:color="auto"/>
              <w:right w:val="single" w:sz="4" w:space="0" w:color="auto"/>
            </w:tcBorders>
            <w:shd w:val="clear" w:color="auto" w:fill="auto"/>
            <w:vAlign w:val="center"/>
            <w:hideMark/>
          </w:tcPr>
          <w:p w14:paraId="6D2532B2"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0,0875</w:t>
            </w:r>
          </w:p>
        </w:tc>
        <w:tc>
          <w:tcPr>
            <w:tcW w:w="1701" w:type="dxa"/>
            <w:tcBorders>
              <w:top w:val="nil"/>
              <w:left w:val="nil"/>
              <w:bottom w:val="single" w:sz="4" w:space="0" w:color="auto"/>
              <w:right w:val="single" w:sz="4" w:space="0" w:color="auto"/>
            </w:tcBorders>
            <w:shd w:val="clear" w:color="auto" w:fill="auto"/>
            <w:vAlign w:val="center"/>
            <w:hideMark/>
          </w:tcPr>
          <w:p w14:paraId="4716BAD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Mircești</w:t>
            </w:r>
          </w:p>
        </w:tc>
        <w:tc>
          <w:tcPr>
            <w:tcW w:w="1134" w:type="dxa"/>
            <w:tcBorders>
              <w:top w:val="nil"/>
              <w:left w:val="nil"/>
              <w:bottom w:val="single" w:sz="4" w:space="0" w:color="auto"/>
              <w:right w:val="single" w:sz="4" w:space="0" w:color="auto"/>
            </w:tcBorders>
            <w:shd w:val="clear" w:color="auto" w:fill="auto"/>
            <w:vAlign w:val="center"/>
            <w:hideMark/>
          </w:tcPr>
          <w:p w14:paraId="4E0AC4C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28571,4</w:t>
            </w:r>
          </w:p>
        </w:tc>
        <w:tc>
          <w:tcPr>
            <w:tcW w:w="1134" w:type="dxa"/>
            <w:tcBorders>
              <w:top w:val="nil"/>
              <w:left w:val="nil"/>
              <w:bottom w:val="single" w:sz="4" w:space="0" w:color="auto"/>
              <w:right w:val="single" w:sz="4" w:space="0" w:color="auto"/>
            </w:tcBorders>
            <w:shd w:val="clear" w:color="auto" w:fill="auto"/>
            <w:vAlign w:val="center"/>
            <w:hideMark/>
          </w:tcPr>
          <w:p w14:paraId="0E2B53F2"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1000</w:t>
            </w:r>
          </w:p>
        </w:tc>
        <w:tc>
          <w:tcPr>
            <w:tcW w:w="1417" w:type="dxa"/>
            <w:tcBorders>
              <w:top w:val="nil"/>
              <w:left w:val="nil"/>
              <w:bottom w:val="single" w:sz="4" w:space="0" w:color="auto"/>
              <w:right w:val="single" w:sz="4" w:space="0" w:color="auto"/>
            </w:tcBorders>
            <w:shd w:val="clear" w:color="auto" w:fill="auto"/>
            <w:vAlign w:val="center"/>
          </w:tcPr>
          <w:p w14:paraId="2F401BFE" w14:textId="1F774E28"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Calibri Light" w:hAnsi="Calibri Light" w:cs="Calibri Light"/>
                <w:color w:val="000000"/>
                <w:sz w:val="16"/>
                <w:szCs w:val="16"/>
                <w:lang w:val="ro-MD"/>
              </w:rPr>
              <w:t>11428,57</w:t>
            </w:r>
          </w:p>
        </w:tc>
      </w:tr>
      <w:tr w:rsidR="008110AC" w:rsidRPr="009E5B39" w14:paraId="48D691FF" w14:textId="298C7789"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D6B00E4"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32</w:t>
            </w:r>
          </w:p>
        </w:tc>
        <w:tc>
          <w:tcPr>
            <w:tcW w:w="958" w:type="dxa"/>
            <w:tcBorders>
              <w:top w:val="nil"/>
              <w:left w:val="nil"/>
              <w:bottom w:val="single" w:sz="4" w:space="0" w:color="auto"/>
              <w:right w:val="single" w:sz="4" w:space="0" w:color="auto"/>
            </w:tcBorders>
            <w:shd w:val="clear" w:color="auto" w:fill="auto"/>
            <w:vAlign w:val="center"/>
            <w:hideMark/>
          </w:tcPr>
          <w:p w14:paraId="2D0DED1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2/8</w:t>
            </w:r>
          </w:p>
        </w:tc>
        <w:tc>
          <w:tcPr>
            <w:tcW w:w="993" w:type="dxa"/>
            <w:tcBorders>
              <w:top w:val="nil"/>
              <w:left w:val="nil"/>
              <w:bottom w:val="single" w:sz="4" w:space="0" w:color="auto"/>
              <w:right w:val="single" w:sz="4" w:space="0" w:color="auto"/>
            </w:tcBorders>
            <w:shd w:val="clear" w:color="auto" w:fill="auto"/>
            <w:vAlign w:val="center"/>
            <w:hideMark/>
          </w:tcPr>
          <w:p w14:paraId="0A4C6E8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27.02.2018</w:t>
            </w:r>
          </w:p>
        </w:tc>
        <w:tc>
          <w:tcPr>
            <w:tcW w:w="1275" w:type="dxa"/>
            <w:tcBorders>
              <w:top w:val="nil"/>
              <w:left w:val="nil"/>
              <w:bottom w:val="single" w:sz="4" w:space="0" w:color="auto"/>
              <w:right w:val="single" w:sz="4" w:space="0" w:color="auto"/>
            </w:tcBorders>
            <w:shd w:val="clear" w:color="auto" w:fill="auto"/>
            <w:vAlign w:val="center"/>
            <w:hideMark/>
          </w:tcPr>
          <w:p w14:paraId="31392A94"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SRL„Practic -Construct”</w:t>
            </w:r>
          </w:p>
        </w:tc>
        <w:tc>
          <w:tcPr>
            <w:tcW w:w="1843" w:type="dxa"/>
            <w:tcBorders>
              <w:top w:val="nil"/>
              <w:left w:val="nil"/>
              <w:bottom w:val="single" w:sz="4" w:space="0" w:color="auto"/>
              <w:right w:val="single" w:sz="4" w:space="0" w:color="auto"/>
            </w:tcBorders>
            <w:shd w:val="clear" w:color="auto" w:fill="auto"/>
            <w:vAlign w:val="center"/>
            <w:hideMark/>
          </w:tcPr>
          <w:p w14:paraId="79233B11"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579DEA12"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0100415336</w:t>
            </w:r>
          </w:p>
        </w:tc>
        <w:tc>
          <w:tcPr>
            <w:tcW w:w="851" w:type="dxa"/>
            <w:tcBorders>
              <w:top w:val="nil"/>
              <w:left w:val="nil"/>
              <w:bottom w:val="single" w:sz="4" w:space="0" w:color="auto"/>
              <w:right w:val="single" w:sz="4" w:space="0" w:color="auto"/>
            </w:tcBorders>
            <w:shd w:val="clear" w:color="auto" w:fill="auto"/>
            <w:vAlign w:val="center"/>
            <w:hideMark/>
          </w:tcPr>
          <w:p w14:paraId="602987C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1 750,00</w:t>
            </w:r>
          </w:p>
        </w:tc>
        <w:tc>
          <w:tcPr>
            <w:tcW w:w="1134" w:type="dxa"/>
            <w:tcBorders>
              <w:top w:val="nil"/>
              <w:left w:val="nil"/>
              <w:bottom w:val="single" w:sz="4" w:space="0" w:color="auto"/>
              <w:right w:val="single" w:sz="4" w:space="0" w:color="auto"/>
            </w:tcBorders>
            <w:shd w:val="clear" w:color="auto" w:fill="auto"/>
            <w:vAlign w:val="center"/>
            <w:hideMark/>
          </w:tcPr>
          <w:p w14:paraId="344AFC4B"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0,4370</w:t>
            </w:r>
          </w:p>
        </w:tc>
        <w:tc>
          <w:tcPr>
            <w:tcW w:w="1701" w:type="dxa"/>
            <w:tcBorders>
              <w:top w:val="nil"/>
              <w:left w:val="nil"/>
              <w:bottom w:val="single" w:sz="4" w:space="0" w:color="auto"/>
              <w:right w:val="single" w:sz="4" w:space="0" w:color="auto"/>
            </w:tcBorders>
            <w:shd w:val="clear" w:color="auto" w:fill="auto"/>
            <w:vAlign w:val="center"/>
            <w:hideMark/>
          </w:tcPr>
          <w:p w14:paraId="3BBD8DA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 xml:space="preserve">mun. Chișinău, str. Calea Moșilor, 38  </w:t>
            </w:r>
          </w:p>
        </w:tc>
        <w:tc>
          <w:tcPr>
            <w:tcW w:w="1134" w:type="dxa"/>
            <w:tcBorders>
              <w:top w:val="nil"/>
              <w:left w:val="nil"/>
              <w:bottom w:val="single" w:sz="4" w:space="0" w:color="auto"/>
              <w:right w:val="single" w:sz="4" w:space="0" w:color="auto"/>
            </w:tcBorders>
            <w:shd w:val="clear" w:color="auto" w:fill="auto"/>
            <w:vAlign w:val="center"/>
            <w:hideMark/>
          </w:tcPr>
          <w:p w14:paraId="71F039A6"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4004,6</w:t>
            </w:r>
          </w:p>
        </w:tc>
        <w:tc>
          <w:tcPr>
            <w:tcW w:w="1134" w:type="dxa"/>
            <w:tcBorders>
              <w:top w:val="nil"/>
              <w:left w:val="nil"/>
              <w:bottom w:val="single" w:sz="4" w:space="0" w:color="auto"/>
              <w:right w:val="single" w:sz="4" w:space="0" w:color="auto"/>
            </w:tcBorders>
            <w:shd w:val="clear" w:color="auto" w:fill="auto"/>
            <w:vAlign w:val="center"/>
            <w:hideMark/>
          </w:tcPr>
          <w:p w14:paraId="27E08A6B"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1300</w:t>
            </w:r>
          </w:p>
        </w:tc>
        <w:tc>
          <w:tcPr>
            <w:tcW w:w="1417" w:type="dxa"/>
            <w:tcBorders>
              <w:top w:val="nil"/>
              <w:left w:val="nil"/>
              <w:bottom w:val="single" w:sz="4" w:space="0" w:color="auto"/>
              <w:right w:val="single" w:sz="4" w:space="0" w:color="auto"/>
            </w:tcBorders>
            <w:shd w:val="clear" w:color="auto" w:fill="auto"/>
            <w:vAlign w:val="center"/>
            <w:hideMark/>
          </w:tcPr>
          <w:p w14:paraId="6C2B011C"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2974,83</w:t>
            </w:r>
          </w:p>
        </w:tc>
      </w:tr>
      <w:tr w:rsidR="008110AC" w:rsidRPr="009E5B39" w14:paraId="12856247" w14:textId="33EB8B56"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AABC32B"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33</w:t>
            </w:r>
          </w:p>
        </w:tc>
        <w:tc>
          <w:tcPr>
            <w:tcW w:w="958" w:type="dxa"/>
            <w:tcBorders>
              <w:top w:val="nil"/>
              <w:left w:val="nil"/>
              <w:bottom w:val="single" w:sz="4" w:space="0" w:color="auto"/>
              <w:right w:val="single" w:sz="4" w:space="0" w:color="auto"/>
            </w:tcBorders>
            <w:shd w:val="clear" w:color="auto" w:fill="auto"/>
            <w:vAlign w:val="center"/>
            <w:hideMark/>
          </w:tcPr>
          <w:p w14:paraId="5A6B392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4/32</w:t>
            </w:r>
          </w:p>
        </w:tc>
        <w:tc>
          <w:tcPr>
            <w:tcW w:w="993" w:type="dxa"/>
            <w:tcBorders>
              <w:top w:val="nil"/>
              <w:left w:val="nil"/>
              <w:bottom w:val="single" w:sz="4" w:space="0" w:color="auto"/>
              <w:right w:val="single" w:sz="4" w:space="0" w:color="auto"/>
            </w:tcBorders>
            <w:shd w:val="clear" w:color="auto" w:fill="auto"/>
            <w:vAlign w:val="center"/>
            <w:hideMark/>
          </w:tcPr>
          <w:p w14:paraId="5E7CD35A"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13.05.2014</w:t>
            </w:r>
          </w:p>
        </w:tc>
        <w:tc>
          <w:tcPr>
            <w:tcW w:w="1275" w:type="dxa"/>
            <w:tcBorders>
              <w:top w:val="nil"/>
              <w:left w:val="nil"/>
              <w:bottom w:val="single" w:sz="4" w:space="0" w:color="auto"/>
              <w:right w:val="single" w:sz="4" w:space="0" w:color="auto"/>
            </w:tcBorders>
            <w:shd w:val="clear" w:color="auto" w:fill="auto"/>
            <w:vAlign w:val="center"/>
            <w:hideMark/>
          </w:tcPr>
          <w:p w14:paraId="75C50E64" w14:textId="115D9024" w:rsidR="008110AC" w:rsidRPr="009E5B39" w:rsidRDefault="005C6936"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P</w:t>
            </w:r>
            <w:r w:rsidR="008110AC" w:rsidRPr="009E5B39">
              <w:rPr>
                <w:rFonts w:asciiTheme="majorHAnsi" w:eastAsia="Times New Roman" w:hAnsiTheme="majorHAnsi" w:cstheme="majorHAnsi"/>
                <w:sz w:val="16"/>
                <w:szCs w:val="16"/>
                <w:lang w:val="ro-MD" w:eastAsia="ru-RU"/>
              </w:rPr>
              <w:t xml:space="preserve">ers. fizică </w:t>
            </w:r>
          </w:p>
        </w:tc>
        <w:tc>
          <w:tcPr>
            <w:tcW w:w="1843" w:type="dxa"/>
            <w:tcBorders>
              <w:top w:val="nil"/>
              <w:left w:val="nil"/>
              <w:bottom w:val="single" w:sz="4" w:space="0" w:color="auto"/>
              <w:right w:val="single" w:sz="4" w:space="0" w:color="auto"/>
            </w:tcBorders>
            <w:shd w:val="clear" w:color="auto" w:fill="auto"/>
            <w:vAlign w:val="center"/>
            <w:hideMark/>
          </w:tcPr>
          <w:p w14:paraId="23C6055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7EC7D3E9"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0100423047</w:t>
            </w:r>
          </w:p>
        </w:tc>
        <w:tc>
          <w:tcPr>
            <w:tcW w:w="851" w:type="dxa"/>
            <w:tcBorders>
              <w:top w:val="nil"/>
              <w:left w:val="nil"/>
              <w:bottom w:val="single" w:sz="4" w:space="0" w:color="auto"/>
              <w:right w:val="single" w:sz="4" w:space="0" w:color="auto"/>
            </w:tcBorders>
            <w:shd w:val="clear" w:color="auto" w:fill="auto"/>
            <w:vAlign w:val="center"/>
            <w:hideMark/>
          </w:tcPr>
          <w:p w14:paraId="531994C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160,00</w:t>
            </w:r>
          </w:p>
        </w:tc>
        <w:tc>
          <w:tcPr>
            <w:tcW w:w="1134" w:type="dxa"/>
            <w:tcBorders>
              <w:top w:val="nil"/>
              <w:left w:val="nil"/>
              <w:bottom w:val="single" w:sz="4" w:space="0" w:color="auto"/>
              <w:right w:val="single" w:sz="4" w:space="0" w:color="auto"/>
            </w:tcBorders>
            <w:shd w:val="clear" w:color="auto" w:fill="auto"/>
            <w:vAlign w:val="center"/>
            <w:hideMark/>
          </w:tcPr>
          <w:p w14:paraId="176D1E9D"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0,0363</w:t>
            </w:r>
          </w:p>
        </w:tc>
        <w:tc>
          <w:tcPr>
            <w:tcW w:w="1701" w:type="dxa"/>
            <w:tcBorders>
              <w:top w:val="nil"/>
              <w:left w:val="nil"/>
              <w:bottom w:val="single" w:sz="4" w:space="0" w:color="auto"/>
              <w:right w:val="single" w:sz="4" w:space="0" w:color="auto"/>
            </w:tcBorders>
            <w:shd w:val="clear" w:color="auto" w:fill="auto"/>
            <w:vAlign w:val="center"/>
            <w:hideMark/>
          </w:tcPr>
          <w:p w14:paraId="503C26BB"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Chișuinău, str. Andrei Doga 13/6</w:t>
            </w:r>
          </w:p>
        </w:tc>
        <w:tc>
          <w:tcPr>
            <w:tcW w:w="1134" w:type="dxa"/>
            <w:tcBorders>
              <w:top w:val="nil"/>
              <w:left w:val="nil"/>
              <w:bottom w:val="single" w:sz="4" w:space="0" w:color="auto"/>
              <w:right w:val="single" w:sz="4" w:space="0" w:color="auto"/>
            </w:tcBorders>
            <w:shd w:val="clear" w:color="auto" w:fill="auto"/>
            <w:vAlign w:val="center"/>
            <w:hideMark/>
          </w:tcPr>
          <w:p w14:paraId="2EA6A887"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4407,7</w:t>
            </w:r>
          </w:p>
        </w:tc>
        <w:tc>
          <w:tcPr>
            <w:tcW w:w="1134" w:type="dxa"/>
            <w:tcBorders>
              <w:top w:val="nil"/>
              <w:left w:val="nil"/>
              <w:bottom w:val="single" w:sz="4" w:space="0" w:color="auto"/>
              <w:right w:val="single" w:sz="4" w:space="0" w:color="auto"/>
            </w:tcBorders>
            <w:shd w:val="clear" w:color="auto" w:fill="auto"/>
            <w:vAlign w:val="center"/>
            <w:hideMark/>
          </w:tcPr>
          <w:p w14:paraId="4A9C1FA7"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120</w:t>
            </w:r>
          </w:p>
        </w:tc>
        <w:tc>
          <w:tcPr>
            <w:tcW w:w="1417" w:type="dxa"/>
            <w:tcBorders>
              <w:top w:val="nil"/>
              <w:left w:val="nil"/>
              <w:bottom w:val="single" w:sz="4" w:space="0" w:color="auto"/>
              <w:right w:val="single" w:sz="4" w:space="0" w:color="auto"/>
            </w:tcBorders>
            <w:shd w:val="clear" w:color="auto" w:fill="auto"/>
            <w:vAlign w:val="center"/>
            <w:hideMark/>
          </w:tcPr>
          <w:p w14:paraId="627736FD"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3305,79</w:t>
            </w:r>
          </w:p>
        </w:tc>
      </w:tr>
      <w:tr w:rsidR="008110AC" w:rsidRPr="009E5B39" w14:paraId="0370408A" w14:textId="1D16F962"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217F38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34</w:t>
            </w:r>
          </w:p>
        </w:tc>
        <w:tc>
          <w:tcPr>
            <w:tcW w:w="958" w:type="dxa"/>
            <w:tcBorders>
              <w:top w:val="nil"/>
              <w:left w:val="nil"/>
              <w:bottom w:val="single" w:sz="4" w:space="0" w:color="auto"/>
              <w:right w:val="single" w:sz="4" w:space="0" w:color="auto"/>
            </w:tcBorders>
            <w:shd w:val="clear" w:color="auto" w:fill="auto"/>
            <w:vAlign w:val="center"/>
            <w:hideMark/>
          </w:tcPr>
          <w:p w14:paraId="0BE5F1DD"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10/2-6</w:t>
            </w:r>
          </w:p>
        </w:tc>
        <w:tc>
          <w:tcPr>
            <w:tcW w:w="993" w:type="dxa"/>
            <w:tcBorders>
              <w:top w:val="nil"/>
              <w:left w:val="nil"/>
              <w:bottom w:val="single" w:sz="4" w:space="0" w:color="auto"/>
              <w:right w:val="single" w:sz="4" w:space="0" w:color="auto"/>
            </w:tcBorders>
            <w:shd w:val="clear" w:color="auto" w:fill="auto"/>
            <w:vAlign w:val="center"/>
            <w:hideMark/>
          </w:tcPr>
          <w:p w14:paraId="0F7C55C6"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02.07.2020</w:t>
            </w:r>
          </w:p>
        </w:tc>
        <w:tc>
          <w:tcPr>
            <w:tcW w:w="1275" w:type="dxa"/>
            <w:tcBorders>
              <w:top w:val="nil"/>
              <w:left w:val="nil"/>
              <w:bottom w:val="single" w:sz="4" w:space="0" w:color="auto"/>
              <w:right w:val="single" w:sz="4" w:space="0" w:color="auto"/>
            </w:tcBorders>
            <w:shd w:val="clear" w:color="auto" w:fill="auto"/>
            <w:vAlign w:val="center"/>
            <w:hideMark/>
          </w:tcPr>
          <w:p w14:paraId="2FF34008" w14:textId="447B533C" w:rsidR="008110AC" w:rsidRPr="009E5B39" w:rsidRDefault="008110AC" w:rsidP="003C5073">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w:t>
            </w:r>
            <w:r w:rsidR="008E6C14" w:rsidRPr="009E5B39">
              <w:rPr>
                <w:rFonts w:asciiTheme="majorHAnsi" w:eastAsia="Times New Roman" w:hAnsiTheme="majorHAnsi" w:cstheme="majorHAnsi"/>
                <w:sz w:val="16"/>
                <w:szCs w:val="16"/>
                <w:lang w:val="ro-MD" w:eastAsia="ru-RU"/>
              </w:rPr>
              <w:t xml:space="preserve"> </w:t>
            </w:r>
            <w:r w:rsidRPr="009E5B39">
              <w:rPr>
                <w:rFonts w:asciiTheme="majorHAnsi" w:eastAsia="Times New Roman" w:hAnsiTheme="majorHAnsi" w:cstheme="majorHAnsi"/>
                <w:sz w:val="16"/>
                <w:szCs w:val="16"/>
                <w:lang w:val="ro-MD" w:eastAsia="ru-RU"/>
              </w:rPr>
              <w:t>Regiunea Exim</w:t>
            </w:r>
          </w:p>
        </w:tc>
        <w:tc>
          <w:tcPr>
            <w:tcW w:w="1843" w:type="dxa"/>
            <w:tcBorders>
              <w:top w:val="nil"/>
              <w:left w:val="nil"/>
              <w:bottom w:val="single" w:sz="4" w:space="0" w:color="auto"/>
              <w:right w:val="single" w:sz="4" w:space="0" w:color="auto"/>
            </w:tcBorders>
            <w:shd w:val="clear" w:color="auto" w:fill="auto"/>
            <w:vAlign w:val="center"/>
            <w:hideMark/>
          </w:tcPr>
          <w:p w14:paraId="21EC481A"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0096D51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0100505160</w:t>
            </w:r>
          </w:p>
        </w:tc>
        <w:tc>
          <w:tcPr>
            <w:tcW w:w="851" w:type="dxa"/>
            <w:tcBorders>
              <w:top w:val="nil"/>
              <w:left w:val="nil"/>
              <w:bottom w:val="single" w:sz="4" w:space="0" w:color="auto"/>
              <w:right w:val="single" w:sz="4" w:space="0" w:color="auto"/>
            </w:tcBorders>
            <w:shd w:val="clear" w:color="auto" w:fill="auto"/>
            <w:vAlign w:val="center"/>
            <w:hideMark/>
          </w:tcPr>
          <w:p w14:paraId="35792C9E"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3 900,00</w:t>
            </w:r>
          </w:p>
        </w:tc>
        <w:tc>
          <w:tcPr>
            <w:tcW w:w="1134" w:type="dxa"/>
            <w:tcBorders>
              <w:top w:val="nil"/>
              <w:left w:val="nil"/>
              <w:bottom w:val="single" w:sz="4" w:space="0" w:color="auto"/>
              <w:right w:val="single" w:sz="4" w:space="0" w:color="auto"/>
            </w:tcBorders>
            <w:shd w:val="clear" w:color="auto" w:fill="auto"/>
            <w:vAlign w:val="center"/>
            <w:hideMark/>
          </w:tcPr>
          <w:p w14:paraId="04B186C4"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1,071</w:t>
            </w:r>
          </w:p>
        </w:tc>
        <w:tc>
          <w:tcPr>
            <w:tcW w:w="1701" w:type="dxa"/>
            <w:tcBorders>
              <w:top w:val="nil"/>
              <w:left w:val="nil"/>
              <w:bottom w:val="single" w:sz="4" w:space="0" w:color="auto"/>
              <w:right w:val="single" w:sz="4" w:space="0" w:color="auto"/>
            </w:tcBorders>
            <w:shd w:val="clear" w:color="auto" w:fill="auto"/>
            <w:vAlign w:val="center"/>
            <w:hideMark/>
          </w:tcPr>
          <w:p w14:paraId="298BB238"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Constructorilor,</w:t>
            </w:r>
          </w:p>
        </w:tc>
        <w:tc>
          <w:tcPr>
            <w:tcW w:w="1134" w:type="dxa"/>
            <w:tcBorders>
              <w:top w:val="nil"/>
              <w:left w:val="nil"/>
              <w:bottom w:val="single" w:sz="4" w:space="0" w:color="auto"/>
              <w:right w:val="single" w:sz="4" w:space="0" w:color="auto"/>
            </w:tcBorders>
            <w:shd w:val="clear" w:color="auto" w:fill="auto"/>
            <w:vAlign w:val="center"/>
            <w:hideMark/>
          </w:tcPr>
          <w:p w14:paraId="6F40DDD7"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3641,5</w:t>
            </w:r>
          </w:p>
        </w:tc>
        <w:tc>
          <w:tcPr>
            <w:tcW w:w="1134" w:type="dxa"/>
            <w:tcBorders>
              <w:top w:val="nil"/>
              <w:left w:val="nil"/>
              <w:bottom w:val="single" w:sz="4" w:space="0" w:color="auto"/>
              <w:right w:val="single" w:sz="4" w:space="0" w:color="auto"/>
            </w:tcBorders>
            <w:shd w:val="clear" w:color="auto" w:fill="auto"/>
            <w:vAlign w:val="center"/>
            <w:hideMark/>
          </w:tcPr>
          <w:p w14:paraId="268B7698"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3000</w:t>
            </w:r>
          </w:p>
        </w:tc>
        <w:tc>
          <w:tcPr>
            <w:tcW w:w="1417" w:type="dxa"/>
            <w:tcBorders>
              <w:top w:val="nil"/>
              <w:left w:val="nil"/>
              <w:bottom w:val="single" w:sz="4" w:space="0" w:color="auto"/>
              <w:right w:val="single" w:sz="4" w:space="0" w:color="auto"/>
            </w:tcBorders>
            <w:shd w:val="clear" w:color="auto" w:fill="auto"/>
            <w:vAlign w:val="center"/>
            <w:hideMark/>
          </w:tcPr>
          <w:p w14:paraId="4F5177DD"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2801,12</w:t>
            </w:r>
          </w:p>
        </w:tc>
      </w:tr>
      <w:tr w:rsidR="008110AC" w:rsidRPr="009E5B39" w14:paraId="0F71BAB0" w14:textId="6E871593" w:rsidTr="001F48A2">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468AD27"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35</w:t>
            </w:r>
          </w:p>
        </w:tc>
        <w:tc>
          <w:tcPr>
            <w:tcW w:w="958" w:type="dxa"/>
            <w:tcBorders>
              <w:top w:val="nil"/>
              <w:left w:val="nil"/>
              <w:bottom w:val="single" w:sz="4" w:space="0" w:color="auto"/>
              <w:right w:val="single" w:sz="4" w:space="0" w:color="auto"/>
            </w:tcBorders>
            <w:shd w:val="clear" w:color="auto" w:fill="auto"/>
            <w:vAlign w:val="center"/>
            <w:hideMark/>
          </w:tcPr>
          <w:p w14:paraId="3EC75B6E"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10/2-13</w:t>
            </w:r>
          </w:p>
        </w:tc>
        <w:tc>
          <w:tcPr>
            <w:tcW w:w="993" w:type="dxa"/>
            <w:tcBorders>
              <w:top w:val="nil"/>
              <w:left w:val="nil"/>
              <w:bottom w:val="single" w:sz="4" w:space="0" w:color="auto"/>
              <w:right w:val="single" w:sz="4" w:space="0" w:color="auto"/>
            </w:tcBorders>
            <w:shd w:val="clear" w:color="auto" w:fill="auto"/>
            <w:vAlign w:val="center"/>
            <w:hideMark/>
          </w:tcPr>
          <w:p w14:paraId="010B4F86"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02.07.2020</w:t>
            </w:r>
          </w:p>
        </w:tc>
        <w:tc>
          <w:tcPr>
            <w:tcW w:w="1275" w:type="dxa"/>
            <w:tcBorders>
              <w:top w:val="nil"/>
              <w:left w:val="nil"/>
              <w:bottom w:val="single" w:sz="4" w:space="0" w:color="auto"/>
              <w:right w:val="single" w:sz="4" w:space="0" w:color="auto"/>
            </w:tcBorders>
            <w:shd w:val="clear" w:color="auto" w:fill="auto"/>
            <w:vAlign w:val="center"/>
            <w:hideMark/>
          </w:tcPr>
          <w:p w14:paraId="29F682E0" w14:textId="58286FC4"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SRL</w:t>
            </w:r>
            <w:r w:rsidR="008E6C14" w:rsidRPr="009E5B39">
              <w:rPr>
                <w:rFonts w:asciiTheme="majorHAnsi" w:eastAsia="Times New Roman" w:hAnsiTheme="majorHAnsi" w:cstheme="majorHAnsi"/>
                <w:sz w:val="16"/>
                <w:szCs w:val="16"/>
                <w:lang w:val="ro-MD" w:eastAsia="ru-RU"/>
              </w:rPr>
              <w:t xml:space="preserve"> </w:t>
            </w:r>
            <w:r w:rsidRPr="009E5B39">
              <w:rPr>
                <w:rFonts w:asciiTheme="majorHAnsi" w:eastAsia="Times New Roman" w:hAnsiTheme="majorHAnsi" w:cstheme="majorHAnsi"/>
                <w:sz w:val="16"/>
                <w:szCs w:val="16"/>
                <w:lang w:val="ro-MD" w:eastAsia="ru-RU"/>
              </w:rPr>
              <w:t>„Gonvaro Com”</w:t>
            </w:r>
          </w:p>
        </w:tc>
        <w:tc>
          <w:tcPr>
            <w:tcW w:w="1843" w:type="dxa"/>
            <w:tcBorders>
              <w:top w:val="nil"/>
              <w:left w:val="nil"/>
              <w:bottom w:val="single" w:sz="4" w:space="0" w:color="auto"/>
              <w:right w:val="single" w:sz="4" w:space="0" w:color="auto"/>
            </w:tcBorders>
            <w:shd w:val="clear" w:color="auto" w:fill="auto"/>
            <w:vAlign w:val="center"/>
            <w:hideMark/>
          </w:tcPr>
          <w:p w14:paraId="710791E2"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Licitație</w:t>
            </w:r>
          </w:p>
        </w:tc>
        <w:tc>
          <w:tcPr>
            <w:tcW w:w="1134" w:type="dxa"/>
            <w:tcBorders>
              <w:top w:val="nil"/>
              <w:left w:val="nil"/>
              <w:bottom w:val="single" w:sz="4" w:space="0" w:color="auto"/>
              <w:right w:val="single" w:sz="4" w:space="0" w:color="auto"/>
            </w:tcBorders>
            <w:shd w:val="clear" w:color="auto" w:fill="auto"/>
            <w:vAlign w:val="center"/>
            <w:hideMark/>
          </w:tcPr>
          <w:p w14:paraId="4A746D85"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0100522625</w:t>
            </w:r>
          </w:p>
        </w:tc>
        <w:tc>
          <w:tcPr>
            <w:tcW w:w="851" w:type="dxa"/>
            <w:tcBorders>
              <w:top w:val="nil"/>
              <w:left w:val="nil"/>
              <w:bottom w:val="single" w:sz="4" w:space="0" w:color="auto"/>
              <w:right w:val="single" w:sz="4" w:space="0" w:color="auto"/>
            </w:tcBorders>
            <w:shd w:val="clear" w:color="auto" w:fill="auto"/>
            <w:vAlign w:val="center"/>
            <w:hideMark/>
          </w:tcPr>
          <w:p w14:paraId="6F9A6473"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5 300,00</w:t>
            </w:r>
          </w:p>
        </w:tc>
        <w:tc>
          <w:tcPr>
            <w:tcW w:w="1134" w:type="dxa"/>
            <w:tcBorders>
              <w:top w:val="nil"/>
              <w:left w:val="nil"/>
              <w:bottom w:val="single" w:sz="4" w:space="0" w:color="auto"/>
              <w:right w:val="single" w:sz="4" w:space="0" w:color="auto"/>
            </w:tcBorders>
            <w:shd w:val="clear" w:color="auto" w:fill="auto"/>
            <w:vAlign w:val="center"/>
            <w:hideMark/>
          </w:tcPr>
          <w:p w14:paraId="110C8784"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0,1115</w:t>
            </w:r>
          </w:p>
        </w:tc>
        <w:tc>
          <w:tcPr>
            <w:tcW w:w="1701" w:type="dxa"/>
            <w:tcBorders>
              <w:top w:val="nil"/>
              <w:left w:val="nil"/>
              <w:bottom w:val="single" w:sz="4" w:space="0" w:color="auto"/>
              <w:right w:val="single" w:sz="4" w:space="0" w:color="auto"/>
            </w:tcBorders>
            <w:shd w:val="clear" w:color="auto" w:fill="auto"/>
            <w:vAlign w:val="center"/>
            <w:hideMark/>
          </w:tcPr>
          <w:p w14:paraId="28B7909F"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mun. Chișinău, str. Vovințeni</w:t>
            </w:r>
          </w:p>
        </w:tc>
        <w:tc>
          <w:tcPr>
            <w:tcW w:w="1134" w:type="dxa"/>
            <w:tcBorders>
              <w:top w:val="nil"/>
              <w:left w:val="nil"/>
              <w:bottom w:val="single" w:sz="4" w:space="0" w:color="auto"/>
              <w:right w:val="single" w:sz="4" w:space="0" w:color="auto"/>
            </w:tcBorders>
            <w:shd w:val="clear" w:color="auto" w:fill="auto"/>
            <w:vAlign w:val="center"/>
            <w:hideMark/>
          </w:tcPr>
          <w:p w14:paraId="2533EA0C" w14:textId="77777777"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47533,6</w:t>
            </w:r>
          </w:p>
        </w:tc>
        <w:tc>
          <w:tcPr>
            <w:tcW w:w="1134" w:type="dxa"/>
            <w:tcBorders>
              <w:top w:val="nil"/>
              <w:left w:val="nil"/>
              <w:bottom w:val="single" w:sz="4" w:space="0" w:color="auto"/>
              <w:right w:val="single" w:sz="4" w:space="0" w:color="auto"/>
            </w:tcBorders>
            <w:shd w:val="clear" w:color="auto" w:fill="auto"/>
            <w:vAlign w:val="center"/>
            <w:hideMark/>
          </w:tcPr>
          <w:p w14:paraId="53A6905F" w14:textId="77777777" w:rsidR="008110AC" w:rsidRPr="009E5B39" w:rsidRDefault="008110AC">
            <w:pPr>
              <w:spacing w:after="0" w:line="240" w:lineRule="auto"/>
              <w:jc w:val="right"/>
              <w:rPr>
                <w:rFonts w:asciiTheme="majorHAnsi" w:eastAsia="Times New Roman" w:hAnsiTheme="majorHAnsi" w:cstheme="majorHAnsi"/>
                <w:sz w:val="16"/>
                <w:szCs w:val="16"/>
                <w:lang w:val="ro-MD" w:eastAsia="ru-RU"/>
              </w:rPr>
            </w:pPr>
            <w:r w:rsidRPr="009E5B39">
              <w:rPr>
                <w:rFonts w:asciiTheme="majorHAnsi" w:eastAsia="Times New Roman" w:hAnsiTheme="majorHAnsi" w:cstheme="majorHAnsi"/>
                <w:sz w:val="16"/>
                <w:szCs w:val="16"/>
                <w:lang w:val="ro-MD" w:eastAsia="ru-RU"/>
              </w:rPr>
              <w:t>3800</w:t>
            </w:r>
          </w:p>
        </w:tc>
        <w:tc>
          <w:tcPr>
            <w:tcW w:w="1417" w:type="dxa"/>
            <w:tcBorders>
              <w:top w:val="nil"/>
              <w:left w:val="nil"/>
              <w:bottom w:val="single" w:sz="4" w:space="0" w:color="auto"/>
              <w:right w:val="single" w:sz="4" w:space="0" w:color="auto"/>
            </w:tcBorders>
            <w:shd w:val="clear" w:color="auto" w:fill="auto"/>
            <w:vAlign w:val="center"/>
            <w:hideMark/>
          </w:tcPr>
          <w:p w14:paraId="37FD6753" w14:textId="3EFE17F8" w:rsidR="008110AC" w:rsidRPr="009E5B39" w:rsidRDefault="008110AC">
            <w:pPr>
              <w:spacing w:after="0" w:line="240" w:lineRule="auto"/>
              <w:jc w:val="center"/>
              <w:rPr>
                <w:rFonts w:asciiTheme="majorHAnsi" w:eastAsia="Times New Roman" w:hAnsiTheme="majorHAnsi" w:cstheme="majorHAnsi"/>
                <w:sz w:val="16"/>
                <w:szCs w:val="16"/>
                <w:lang w:val="ro-MD" w:eastAsia="ru-RU"/>
              </w:rPr>
            </w:pPr>
            <w:r w:rsidRPr="009E5B39">
              <w:rPr>
                <w:rFonts w:ascii="Calibri Light" w:hAnsi="Calibri Light" w:cs="Calibri Light"/>
                <w:color w:val="000000"/>
                <w:sz w:val="16"/>
                <w:szCs w:val="16"/>
                <w:lang w:val="ro-MD"/>
              </w:rPr>
              <w:t>34080,72</w:t>
            </w:r>
          </w:p>
        </w:tc>
      </w:tr>
    </w:tbl>
    <w:p w14:paraId="75B19B9F" w14:textId="6F85C529" w:rsidR="003E291B" w:rsidRPr="009E5B39" w:rsidRDefault="003E291B" w:rsidP="008107EA">
      <w:pPr>
        <w:spacing w:after="0"/>
        <w:jc w:val="center"/>
        <w:rPr>
          <w:rFonts w:asciiTheme="majorHAnsi" w:hAnsiTheme="majorHAnsi" w:cstheme="majorHAnsi"/>
          <w:b/>
          <w:i/>
          <w:sz w:val="24"/>
          <w:szCs w:val="24"/>
          <w:lang w:val="ro-MD"/>
        </w:rPr>
        <w:sectPr w:rsidR="003E291B" w:rsidRPr="009E5B39" w:rsidSect="008107EA">
          <w:pgSz w:w="16840" w:h="11907" w:orient="landscape" w:code="9"/>
          <w:pgMar w:top="1701" w:right="1134" w:bottom="851" w:left="1134" w:header="709" w:footer="709" w:gutter="0"/>
          <w:cols w:space="708"/>
          <w:docGrid w:linePitch="360"/>
        </w:sectPr>
      </w:pPr>
    </w:p>
    <w:p w14:paraId="21FF09BB" w14:textId="4A34FB90" w:rsidR="00FB52F4" w:rsidRPr="009E5B39" w:rsidRDefault="00FB52F4" w:rsidP="00FB52F4">
      <w:pPr>
        <w:keepNext/>
        <w:keepLines/>
        <w:spacing w:after="0"/>
        <w:jc w:val="right"/>
        <w:outlineLvl w:val="0"/>
        <w:rPr>
          <w:rFonts w:asciiTheme="majorHAnsi" w:eastAsiaTheme="majorEastAsia" w:hAnsiTheme="majorHAnsi" w:cstheme="majorHAnsi"/>
          <w:b/>
          <w:sz w:val="32"/>
          <w:szCs w:val="32"/>
          <w:lang w:val="ro-MD"/>
        </w:rPr>
      </w:pPr>
      <w:bookmarkStart w:id="32" w:name="_Toc116026897"/>
      <w:r w:rsidRPr="009E5B39">
        <w:rPr>
          <w:rFonts w:asciiTheme="majorHAnsi" w:eastAsiaTheme="majorEastAsia" w:hAnsiTheme="majorHAnsi" w:cstheme="majorHAnsi"/>
          <w:b/>
          <w:sz w:val="32"/>
          <w:szCs w:val="32"/>
          <w:lang w:val="ro-MD"/>
        </w:rPr>
        <w:t>Anexa nr.15</w:t>
      </w:r>
      <w:bookmarkEnd w:id="32"/>
    </w:p>
    <w:p w14:paraId="50251171" w14:textId="77777777" w:rsidR="00FB52F4" w:rsidRPr="009E5B39" w:rsidRDefault="00FB52F4" w:rsidP="00FB52F4">
      <w:pPr>
        <w:spacing w:after="0"/>
        <w:rPr>
          <w:rFonts w:asciiTheme="majorHAnsi" w:hAnsiTheme="majorHAnsi" w:cstheme="majorHAnsi"/>
          <w:lang w:val="ro-MD"/>
        </w:rPr>
      </w:pPr>
    </w:p>
    <w:p w14:paraId="391AF2F8" w14:textId="77777777" w:rsidR="00FB52F4" w:rsidRPr="009E5B39" w:rsidRDefault="00FB52F4" w:rsidP="00FB52F4">
      <w:pPr>
        <w:spacing w:after="0" w:line="276" w:lineRule="auto"/>
        <w:contextualSpacing/>
        <w:jc w:val="center"/>
        <w:rPr>
          <w:rFonts w:asciiTheme="majorHAnsi" w:hAnsiTheme="majorHAnsi" w:cstheme="majorHAnsi"/>
          <w:b/>
          <w:i/>
          <w:sz w:val="28"/>
          <w:szCs w:val="28"/>
          <w:lang w:val="ro-MD"/>
        </w:rPr>
      </w:pPr>
      <w:r w:rsidRPr="009E5B39">
        <w:rPr>
          <w:rFonts w:asciiTheme="majorHAnsi" w:hAnsiTheme="majorHAnsi" w:cstheme="majorHAnsi"/>
          <w:b/>
          <w:i/>
          <w:sz w:val="28"/>
          <w:szCs w:val="28"/>
          <w:lang w:val="ro-MD"/>
        </w:rPr>
        <w:t>Litigiile aferente bunurilor imobile proprietate privată cu suprafața de 2879,09 m</w:t>
      </w:r>
      <w:r w:rsidRPr="009E5B39">
        <w:rPr>
          <w:rFonts w:asciiTheme="majorHAnsi" w:hAnsiTheme="majorHAnsi" w:cstheme="majorHAnsi"/>
          <w:b/>
          <w:i/>
          <w:sz w:val="28"/>
          <w:szCs w:val="28"/>
          <w:vertAlign w:val="superscript"/>
          <w:lang w:val="ro-MD"/>
        </w:rPr>
        <w:t>2</w:t>
      </w:r>
    </w:p>
    <w:p w14:paraId="59E7E28B" w14:textId="6DA3AA30" w:rsidR="00FB52F4" w:rsidRPr="009E5B39" w:rsidRDefault="00FB52F4" w:rsidP="00FB52F4">
      <w:pPr>
        <w:numPr>
          <w:ilvl w:val="0"/>
          <w:numId w:val="90"/>
        </w:numPr>
        <w:spacing w:after="0" w:line="276" w:lineRule="auto"/>
        <w:ind w:left="0" w:firstLine="360"/>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În RBI, dreptul de proprietate asupra bunului imobil din str. Columna 94, cod cadastral 0100419.460.01, este înregistrat după SRL „Ratmir”. De facto, acesta este în folosința Liceului Teoretic „Mircea Eliade”. La data de 30.03.2022, DGETS a înaintat sesizarea nr.0118/978 către Procuratura mun. Chișinău, prin care a solicitat intervenirea în soluționarea executării hotărârilor judecătorești</w:t>
      </w:r>
      <w:r w:rsidRPr="009E5B39">
        <w:rPr>
          <w:rFonts w:asciiTheme="majorHAnsi" w:hAnsiTheme="majorHAnsi" w:cstheme="majorHAnsi"/>
          <w:vertAlign w:val="superscript"/>
          <w:lang w:val="ro-MD"/>
        </w:rPr>
        <w:footnoteReference w:id="248"/>
      </w:r>
      <w:r w:rsidRPr="009E5B39">
        <w:rPr>
          <w:rFonts w:asciiTheme="majorHAnsi" w:hAnsiTheme="majorHAnsi" w:cstheme="majorHAnsi"/>
          <w:sz w:val="24"/>
          <w:szCs w:val="24"/>
          <w:lang w:val="ro-MD"/>
        </w:rPr>
        <w:t xml:space="preserve">. Totodată, conform </w:t>
      </w:r>
      <w:r w:rsidR="00427E49" w:rsidRPr="009E5B39">
        <w:rPr>
          <w:rFonts w:asciiTheme="majorHAnsi" w:hAnsiTheme="majorHAnsi" w:cstheme="majorHAnsi"/>
          <w:sz w:val="24"/>
          <w:szCs w:val="24"/>
          <w:lang w:val="ro-MD"/>
        </w:rPr>
        <w:t xml:space="preserve">informațiilor indicate în </w:t>
      </w:r>
      <w:r w:rsidRPr="009E5B39">
        <w:rPr>
          <w:rFonts w:asciiTheme="majorHAnsi" w:hAnsiTheme="majorHAnsi" w:cstheme="majorHAnsi"/>
          <w:sz w:val="24"/>
          <w:szCs w:val="24"/>
          <w:lang w:val="ro-MD"/>
        </w:rPr>
        <w:t>extrasul din RBI, DGETS a depus o cerere prealabilă privind contestarea Deciziei registratorului nr.11/07/390/2022 din 28.06.2022.</w:t>
      </w:r>
    </w:p>
    <w:p w14:paraId="2FEACF28" w14:textId="77777777" w:rsidR="00FB52F4" w:rsidRPr="009E5B39" w:rsidRDefault="00FB52F4" w:rsidP="00FB52F4">
      <w:pPr>
        <w:numPr>
          <w:ilvl w:val="0"/>
          <w:numId w:val="90"/>
        </w:numPr>
        <w:spacing w:after="0" w:line="276" w:lineRule="auto"/>
        <w:ind w:left="0" w:firstLine="284"/>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Hotărârea CA Chișinău nr.3-3351/06 din 25.12.2006, menținută de decizia CSJ nr.3r-487/2007 din 07.03.2007; Hotărârea CA Chișinău nr.3-2716/08 din 22.11.2008; Încheierea CA Chișinău nr.3-2716/08 din 20.02.2012 prevăd următoarele:</w:t>
      </w:r>
    </w:p>
    <w:p w14:paraId="5E19F125" w14:textId="77777777" w:rsidR="00FB52F4" w:rsidRPr="009E5B39" w:rsidRDefault="00FB52F4" w:rsidP="00FB52F4">
      <w:pPr>
        <w:numPr>
          <w:ilvl w:val="0"/>
          <w:numId w:val="40"/>
        </w:numPr>
        <w:spacing w:after="0" w:line="276" w:lineRule="auto"/>
        <w:ind w:left="0" w:firstLine="284"/>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Se obligă CMC să transmită dreptul de proprietate asupra unor bunuri imobile către:</w:t>
      </w:r>
    </w:p>
    <w:p w14:paraId="2444FA73" w14:textId="77777777" w:rsidR="00FB52F4" w:rsidRPr="009E5B39" w:rsidRDefault="00FB52F4" w:rsidP="00FB52F4">
      <w:pPr>
        <w:numPr>
          <w:ilvl w:val="1"/>
          <w:numId w:val="87"/>
        </w:numPr>
        <w:spacing w:after="0" w:line="276" w:lineRule="auto"/>
        <w:ind w:left="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Institutul Internațional de Management IMI-NOVA – imobilul din str. Hristo Botev, 9 (</w:t>
      </w:r>
      <w:r w:rsidRPr="009E5B39">
        <w:rPr>
          <w:rFonts w:asciiTheme="majorHAnsi" w:hAnsiTheme="majorHAnsi" w:cstheme="majorHAnsi"/>
          <w:b/>
          <w:bCs/>
          <w:sz w:val="24"/>
          <w:szCs w:val="24"/>
          <w:lang w:val="ro-MD"/>
        </w:rPr>
        <w:t>0100103.163.01</w:t>
      </w:r>
      <w:r w:rsidRPr="009E5B39">
        <w:rPr>
          <w:rFonts w:asciiTheme="majorHAnsi" w:hAnsiTheme="majorHAnsi" w:cstheme="majorHAnsi"/>
          <w:sz w:val="24"/>
          <w:szCs w:val="24"/>
          <w:lang w:val="ro-MD"/>
        </w:rPr>
        <w:t>, 2505,6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w:t>
      </w:r>
    </w:p>
    <w:p w14:paraId="0548D7BC" w14:textId="77777777" w:rsidR="00FB52F4" w:rsidRPr="009E5B39" w:rsidRDefault="00FB52F4" w:rsidP="00FB52F4">
      <w:pPr>
        <w:numPr>
          <w:ilvl w:val="1"/>
          <w:numId w:val="87"/>
        </w:numPr>
        <w:spacing w:after="0" w:line="276" w:lineRule="auto"/>
        <w:ind w:left="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Liceul de Limbi Moderne și Management – imobilul din str. Petru Rareș, 39 (</w:t>
      </w:r>
      <w:r w:rsidRPr="009E5B39">
        <w:rPr>
          <w:rFonts w:asciiTheme="majorHAnsi" w:hAnsiTheme="majorHAnsi" w:cstheme="majorHAnsi"/>
          <w:b/>
          <w:bCs/>
          <w:sz w:val="24"/>
          <w:szCs w:val="24"/>
          <w:lang w:val="ro-MD"/>
        </w:rPr>
        <w:t>0100417.107.01</w:t>
      </w:r>
      <w:r w:rsidRPr="009E5B39">
        <w:rPr>
          <w:rFonts w:asciiTheme="majorHAnsi" w:hAnsiTheme="majorHAnsi" w:cstheme="majorHAnsi"/>
          <w:sz w:val="24"/>
          <w:szCs w:val="24"/>
          <w:lang w:val="ro-MD"/>
        </w:rPr>
        <w:t>, 1750,1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w:t>
      </w:r>
    </w:p>
    <w:p w14:paraId="5689057C" w14:textId="77777777" w:rsidR="00FB52F4" w:rsidRPr="009E5B39" w:rsidRDefault="00FB52F4" w:rsidP="00FB52F4">
      <w:pPr>
        <w:numPr>
          <w:ilvl w:val="1"/>
          <w:numId w:val="87"/>
        </w:numPr>
        <w:spacing w:after="0" w:line="276" w:lineRule="auto"/>
        <w:ind w:left="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Liceul Elitex – imobilul din bd. Dacia, 53/2 (</w:t>
      </w:r>
      <w:r w:rsidRPr="009E5B39">
        <w:rPr>
          <w:rFonts w:asciiTheme="majorHAnsi" w:hAnsiTheme="majorHAnsi" w:cstheme="majorHAnsi"/>
          <w:b/>
          <w:bCs/>
          <w:sz w:val="24"/>
          <w:szCs w:val="24"/>
          <w:lang w:val="ro-MD"/>
        </w:rPr>
        <w:t>0100114.142.01</w:t>
      </w:r>
      <w:r w:rsidRPr="009E5B39">
        <w:rPr>
          <w:rFonts w:asciiTheme="majorHAnsi" w:hAnsiTheme="majorHAnsi" w:cstheme="majorHAnsi"/>
          <w:sz w:val="24"/>
          <w:szCs w:val="24"/>
          <w:lang w:val="ro-MD"/>
        </w:rPr>
        <w:t>, 1944,2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w:t>
      </w:r>
    </w:p>
    <w:p w14:paraId="61A45D1B" w14:textId="77777777" w:rsidR="00FB52F4" w:rsidRPr="009E5B39" w:rsidRDefault="00FB52F4" w:rsidP="00FB52F4">
      <w:pPr>
        <w:numPr>
          <w:ilvl w:val="1"/>
          <w:numId w:val="87"/>
        </w:numPr>
        <w:spacing w:after="0" w:line="276" w:lineRule="auto"/>
        <w:ind w:left="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Liceul Columna – imobilul din str. Alba Iulia, 5/2 (</w:t>
      </w:r>
      <w:r w:rsidRPr="009E5B39">
        <w:rPr>
          <w:rFonts w:asciiTheme="majorHAnsi" w:hAnsiTheme="majorHAnsi" w:cstheme="majorHAnsi"/>
          <w:b/>
          <w:bCs/>
          <w:sz w:val="24"/>
          <w:szCs w:val="24"/>
          <w:lang w:val="ro-MD"/>
        </w:rPr>
        <w:t>0100511.196.01</w:t>
      </w:r>
      <w:r w:rsidRPr="009E5B39">
        <w:rPr>
          <w:rFonts w:asciiTheme="majorHAnsi" w:hAnsiTheme="majorHAnsi" w:cstheme="majorHAnsi"/>
          <w:sz w:val="24"/>
          <w:szCs w:val="24"/>
          <w:lang w:val="ro-MD"/>
        </w:rPr>
        <w:t>, 2795,6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w:t>
      </w:r>
    </w:p>
    <w:p w14:paraId="7994C6B2" w14:textId="77777777" w:rsidR="00FB52F4" w:rsidRPr="009E5B39" w:rsidRDefault="00FB52F4" w:rsidP="00FB52F4">
      <w:pPr>
        <w:numPr>
          <w:ilvl w:val="0"/>
          <w:numId w:val="40"/>
        </w:numPr>
        <w:spacing w:after="0" w:line="276" w:lineRule="auto"/>
        <w:ind w:hanging="654"/>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Se încasează de la reclamanți, în beneficiul CMC:</w:t>
      </w:r>
    </w:p>
    <w:p w14:paraId="5B979E76" w14:textId="77777777" w:rsidR="00FB52F4" w:rsidRPr="009E5B39" w:rsidRDefault="00FB52F4" w:rsidP="00FB52F4">
      <w:pPr>
        <w:numPr>
          <w:ilvl w:val="1"/>
          <w:numId w:val="88"/>
        </w:numPr>
        <w:spacing w:after="0" w:line="276" w:lineRule="auto"/>
        <w:ind w:left="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Institutul Internațional de Management IMI-NOVA – </w:t>
      </w:r>
      <w:r w:rsidRPr="009E5B39">
        <w:rPr>
          <w:rFonts w:asciiTheme="majorHAnsi" w:hAnsiTheme="majorHAnsi" w:cstheme="majorHAnsi"/>
          <w:b/>
          <w:sz w:val="24"/>
          <w:szCs w:val="24"/>
          <w:lang w:val="ro-MD"/>
        </w:rPr>
        <w:t>5261,1 mii lei</w:t>
      </w:r>
      <w:r w:rsidRPr="009E5B39">
        <w:rPr>
          <w:rFonts w:asciiTheme="majorHAnsi" w:hAnsiTheme="majorHAnsi" w:cstheme="majorHAnsi"/>
          <w:sz w:val="24"/>
          <w:szCs w:val="24"/>
          <w:lang w:val="ro-MD"/>
        </w:rPr>
        <w:t>;</w:t>
      </w:r>
    </w:p>
    <w:p w14:paraId="62A70230" w14:textId="77777777" w:rsidR="00FB52F4" w:rsidRPr="009E5B39" w:rsidRDefault="00FB52F4" w:rsidP="00FB52F4">
      <w:pPr>
        <w:numPr>
          <w:ilvl w:val="1"/>
          <w:numId w:val="88"/>
        </w:numPr>
        <w:spacing w:after="0" w:line="276" w:lineRule="auto"/>
        <w:ind w:left="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Liceul de Limbi Moderne și Management – </w:t>
      </w:r>
      <w:r w:rsidRPr="009E5B39">
        <w:rPr>
          <w:rFonts w:asciiTheme="majorHAnsi" w:hAnsiTheme="majorHAnsi" w:cstheme="majorHAnsi"/>
          <w:b/>
          <w:sz w:val="24"/>
          <w:szCs w:val="24"/>
          <w:lang w:val="ro-MD"/>
        </w:rPr>
        <w:t>6905,8 mii lei</w:t>
      </w:r>
      <w:r w:rsidRPr="009E5B39">
        <w:rPr>
          <w:rFonts w:asciiTheme="majorHAnsi" w:hAnsiTheme="majorHAnsi" w:cstheme="majorHAnsi"/>
          <w:sz w:val="24"/>
          <w:szCs w:val="24"/>
          <w:lang w:val="ro-MD"/>
        </w:rPr>
        <w:t>;</w:t>
      </w:r>
    </w:p>
    <w:p w14:paraId="3C0BC5CD" w14:textId="77777777" w:rsidR="00FB52F4" w:rsidRPr="009E5B39" w:rsidRDefault="00FB52F4" w:rsidP="00FB52F4">
      <w:pPr>
        <w:numPr>
          <w:ilvl w:val="1"/>
          <w:numId w:val="88"/>
        </w:numPr>
        <w:spacing w:after="0" w:line="276" w:lineRule="auto"/>
        <w:ind w:left="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Liceul Elitex – </w:t>
      </w:r>
      <w:r w:rsidRPr="009E5B39">
        <w:rPr>
          <w:rFonts w:asciiTheme="majorHAnsi" w:hAnsiTheme="majorHAnsi" w:cstheme="majorHAnsi"/>
          <w:b/>
          <w:sz w:val="24"/>
          <w:szCs w:val="24"/>
          <w:lang w:val="ro-MD"/>
        </w:rPr>
        <w:t>1549,6 mii lei</w:t>
      </w:r>
      <w:r w:rsidRPr="009E5B39">
        <w:rPr>
          <w:rFonts w:asciiTheme="majorHAnsi" w:hAnsiTheme="majorHAnsi" w:cstheme="majorHAnsi"/>
          <w:sz w:val="24"/>
          <w:szCs w:val="24"/>
          <w:lang w:val="ro-MD"/>
        </w:rPr>
        <w:t>;</w:t>
      </w:r>
    </w:p>
    <w:p w14:paraId="2AB02590" w14:textId="77777777" w:rsidR="00FB52F4" w:rsidRPr="009E5B39" w:rsidRDefault="00FB52F4" w:rsidP="00FB52F4">
      <w:pPr>
        <w:numPr>
          <w:ilvl w:val="1"/>
          <w:numId w:val="88"/>
        </w:numPr>
        <w:spacing w:after="0" w:line="276" w:lineRule="auto"/>
        <w:ind w:left="709"/>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Liceul Columna – </w:t>
      </w:r>
      <w:r w:rsidRPr="009E5B39">
        <w:rPr>
          <w:rFonts w:asciiTheme="majorHAnsi" w:hAnsiTheme="majorHAnsi" w:cstheme="majorHAnsi"/>
          <w:b/>
          <w:sz w:val="24"/>
          <w:szCs w:val="24"/>
          <w:lang w:val="ro-MD"/>
        </w:rPr>
        <w:t>5299,0 mii lei</w:t>
      </w:r>
      <w:r w:rsidRPr="009E5B39">
        <w:rPr>
          <w:rFonts w:asciiTheme="majorHAnsi" w:hAnsiTheme="majorHAnsi" w:cstheme="majorHAnsi"/>
          <w:sz w:val="24"/>
          <w:szCs w:val="24"/>
          <w:lang w:val="ro-MD"/>
        </w:rPr>
        <w:t>.</w:t>
      </w:r>
    </w:p>
    <w:p w14:paraId="429DC1DB" w14:textId="77777777" w:rsidR="00FB52F4" w:rsidRPr="009E5B39" w:rsidRDefault="00FB52F4" w:rsidP="00FB52F4">
      <w:pPr>
        <w:numPr>
          <w:ilvl w:val="0"/>
          <w:numId w:val="40"/>
        </w:numPr>
        <w:spacing w:after="0" w:line="276" w:lineRule="auto"/>
        <w:ind w:left="0" w:firstLine="426"/>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Se stabilește termenul de 6 luni pentru efectuarea de către reclamanți (instituțiile de învățământ privat) a transferurilor mijloacelor bănești pe conturile CMC, de la data când a devenit   irevocabilă încheierea instanței de judecată;</w:t>
      </w:r>
    </w:p>
    <w:p w14:paraId="3922BF68" w14:textId="77777777" w:rsidR="00FB52F4" w:rsidRPr="009E5B39" w:rsidRDefault="00FB52F4" w:rsidP="00FB52F4">
      <w:pPr>
        <w:numPr>
          <w:ilvl w:val="0"/>
          <w:numId w:val="40"/>
        </w:numPr>
        <w:spacing w:after="0" w:line="276" w:lineRule="auto"/>
        <w:ind w:left="0" w:firstLine="426"/>
        <w:jc w:val="both"/>
        <w:rPr>
          <w:rFonts w:asciiTheme="majorHAnsi" w:hAnsiTheme="majorHAnsi" w:cstheme="majorHAnsi"/>
          <w:i/>
          <w:sz w:val="24"/>
          <w:szCs w:val="24"/>
          <w:lang w:val="ro-MD"/>
        </w:rPr>
      </w:pPr>
      <w:r w:rsidRPr="009E5B39">
        <w:rPr>
          <w:rFonts w:asciiTheme="majorHAnsi" w:hAnsiTheme="majorHAnsi" w:cstheme="majorHAnsi"/>
          <w:i/>
          <w:sz w:val="24"/>
          <w:szCs w:val="24"/>
          <w:lang w:val="ro-MD"/>
        </w:rPr>
        <w:t>Se obligă OCT Chișinău să efectueze înregistrarea drepturilor de proprietate a reclamanților asupra imobilelor.</w:t>
      </w:r>
    </w:p>
    <w:p w14:paraId="0515D240" w14:textId="77777777" w:rsidR="00FB52F4" w:rsidRPr="009E5B39" w:rsidRDefault="00FB52F4" w:rsidP="00FB52F4">
      <w:pPr>
        <w:spacing w:after="0" w:line="276" w:lineRule="auto"/>
        <w:ind w:firstLine="36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Prin urmare, pentru executarea hotărârilor/încheierii instanțelor de judecată, la data de 07.09.2012 a fost emisă Dispoziția primarului nr.908-d, prin care s-a dispus:</w:t>
      </w:r>
    </w:p>
    <w:p w14:paraId="312F9015" w14:textId="77777777" w:rsidR="00FB52F4" w:rsidRPr="009E5B39" w:rsidRDefault="00FB52F4" w:rsidP="00697728">
      <w:pPr>
        <w:numPr>
          <w:ilvl w:val="0"/>
          <w:numId w:val="39"/>
        </w:numPr>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DGERRP (actualmente - DGECT) va perfecta și va elibera instituțiilor de învățământ privat contracte de vânzare-cumpărare a bunurilor imobile deținute în locațiune, după cum urmează:</w:t>
      </w:r>
    </w:p>
    <w:p w14:paraId="08B73D44" w14:textId="77777777" w:rsidR="00FB52F4" w:rsidRPr="009E5B39" w:rsidRDefault="00FB52F4" w:rsidP="00FB52F4">
      <w:pPr>
        <w:numPr>
          <w:ilvl w:val="1"/>
          <w:numId w:val="89"/>
        </w:numPr>
        <w:tabs>
          <w:tab w:val="left" w:pos="993"/>
        </w:tabs>
        <w:spacing w:after="0" w:line="276" w:lineRule="auto"/>
        <w:ind w:left="426"/>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Institutul Internațional de Management IMI-NOVA – imobilul din str. Hristo Botev,9 (0100103.163.01);</w:t>
      </w:r>
    </w:p>
    <w:p w14:paraId="78B5FFB0" w14:textId="77777777" w:rsidR="00FB52F4" w:rsidRPr="009E5B39" w:rsidRDefault="00FB52F4" w:rsidP="00FB52F4">
      <w:pPr>
        <w:numPr>
          <w:ilvl w:val="1"/>
          <w:numId w:val="89"/>
        </w:numPr>
        <w:tabs>
          <w:tab w:val="left" w:pos="993"/>
        </w:tabs>
        <w:spacing w:after="0" w:line="276" w:lineRule="auto"/>
        <w:ind w:left="426"/>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Liceul de Limbi Moderne și Management – imobilul din str. Petru Rareș,39 (0100417.107.01);</w:t>
      </w:r>
    </w:p>
    <w:p w14:paraId="791F06A9" w14:textId="77777777" w:rsidR="00FB52F4" w:rsidRPr="009E5B39" w:rsidRDefault="00FB52F4" w:rsidP="00FB52F4">
      <w:pPr>
        <w:numPr>
          <w:ilvl w:val="1"/>
          <w:numId w:val="89"/>
        </w:numPr>
        <w:tabs>
          <w:tab w:val="left" w:pos="993"/>
        </w:tabs>
        <w:spacing w:after="0" w:line="276" w:lineRule="auto"/>
        <w:ind w:left="426"/>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Liceul Elitex – imobilul din bd. Dacia, 53/2 (0100114.142.01);</w:t>
      </w:r>
    </w:p>
    <w:p w14:paraId="364F67D3" w14:textId="77777777" w:rsidR="00FB52F4" w:rsidRPr="009E5B39" w:rsidRDefault="00FB52F4" w:rsidP="00FB52F4">
      <w:pPr>
        <w:numPr>
          <w:ilvl w:val="1"/>
          <w:numId w:val="89"/>
        </w:numPr>
        <w:tabs>
          <w:tab w:val="left" w:pos="993"/>
        </w:tabs>
        <w:spacing w:after="0" w:line="276" w:lineRule="auto"/>
        <w:ind w:left="426"/>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Liceul Columna – imobilul din str. Alba Iulia, 5/2 (0100511.196.01).</w:t>
      </w:r>
    </w:p>
    <w:p w14:paraId="1F4EC8D2" w14:textId="77777777" w:rsidR="00FB52F4" w:rsidRPr="009E5B39" w:rsidRDefault="00FB52F4" w:rsidP="00FB52F4">
      <w:pPr>
        <w:numPr>
          <w:ilvl w:val="0"/>
          <w:numId w:val="39"/>
        </w:numPr>
        <w:spacing w:after="0" w:line="276" w:lineRule="auto"/>
        <w:ind w:left="0" w:firstLine="284"/>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DGERRP va recalcula suma datoriilor acumulate la plata pentru chirie de către instituțiile de învățământ privat până la data autentificării notariale a contractelor de vânzare-cumpărare a bunurilor imobile în proprietate privată și va întreprinde acțiunile necesare pentru încasarea acestora.</w:t>
      </w:r>
    </w:p>
    <w:p w14:paraId="2C7AD87D" w14:textId="3AC4DC56" w:rsidR="00FB52F4" w:rsidRPr="009E5B39" w:rsidRDefault="00FB52F4" w:rsidP="00FB52F4">
      <w:pPr>
        <w:spacing w:after="0" w:line="276" w:lineRule="auto"/>
        <w:ind w:firstLine="720"/>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Astfel, la 12.10.2012, între CMC și </w:t>
      </w:r>
      <w:r w:rsidRPr="009E5B39">
        <w:rPr>
          <w:rFonts w:asciiTheme="majorHAnsi" w:hAnsiTheme="majorHAnsi" w:cstheme="majorHAnsi"/>
          <w:b/>
          <w:sz w:val="24"/>
          <w:szCs w:val="24"/>
          <w:lang w:val="ro-MD"/>
        </w:rPr>
        <w:t>Institutul Internațional de Management IMI-NOVA</w:t>
      </w:r>
      <w:r w:rsidRPr="009E5B39">
        <w:rPr>
          <w:rFonts w:asciiTheme="majorHAnsi" w:hAnsiTheme="majorHAnsi" w:cstheme="majorHAnsi"/>
          <w:sz w:val="24"/>
          <w:szCs w:val="24"/>
          <w:lang w:val="ro-MD"/>
        </w:rPr>
        <w:t xml:space="preserve"> se încheie contractul de vânzare-cumpărare a bunului imobil 0100103.163.01, cu suprafața totală de 2495,4 m</w:t>
      </w:r>
      <w:r w:rsidRPr="009E5B39">
        <w:rPr>
          <w:rFonts w:asciiTheme="majorHAnsi" w:hAnsiTheme="majorHAnsi" w:cstheme="majorHAnsi"/>
          <w:sz w:val="24"/>
          <w:szCs w:val="24"/>
          <w:vertAlign w:val="superscript"/>
          <w:lang w:val="ro-MD"/>
        </w:rPr>
        <w:t xml:space="preserve">2 </w:t>
      </w:r>
      <w:r w:rsidRPr="009E5B39">
        <w:rPr>
          <w:rFonts w:asciiTheme="majorHAnsi" w:hAnsiTheme="majorHAnsi" w:cstheme="majorHAnsi"/>
          <w:sz w:val="24"/>
          <w:szCs w:val="24"/>
          <w:lang w:val="ro-MD"/>
        </w:rPr>
        <w:t>, în valoare de 5261,1 mii lei;</w:t>
      </w:r>
    </w:p>
    <w:p w14:paraId="7FCFEFB9" w14:textId="77777777" w:rsidR="00FB52F4" w:rsidRPr="009E5B39" w:rsidRDefault="00FB52F4" w:rsidP="00FB52F4">
      <w:pPr>
        <w:numPr>
          <w:ilvl w:val="0"/>
          <w:numId w:val="41"/>
        </w:numPr>
        <w:spacing w:after="0" w:line="276" w:lineRule="auto"/>
        <w:ind w:left="0" w:firstLine="284"/>
        <w:contextualSpacing/>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Liceul Elitex</w:t>
      </w:r>
      <w:r w:rsidRPr="009E5B39">
        <w:rPr>
          <w:rFonts w:asciiTheme="majorHAnsi" w:hAnsiTheme="majorHAnsi" w:cstheme="majorHAnsi"/>
          <w:sz w:val="24"/>
          <w:szCs w:val="24"/>
          <w:lang w:val="ro-MD"/>
        </w:rPr>
        <w:t xml:space="preserve"> urma să achite în beneficiul CMC suma de 1549,6 mii lei, în termen de 6 luni de la data când a devenit irevocabilă încheierea judecătorească a CA nr.3-3726/08 din 20.02.2012. Până în prezent, acesta a achitat parțial la 02.10.2012 și 03.10.2012 suma de 362,0 mii lei, suma de 1187,6 mii lei fiind restantă. Astfel, Liceul Elitex nu a respectat termenul-limită de achitare, stabilit de către instanță, acesta fiind expirat la data de 06.09.2012. Totodată, auditul menționează că,  potrivit extrasului din Registrul bunurilor imobile, în subcapitolul II, dreptul de proprietate asupra bunului imobil 0100114.142.01 este înregistrat după Liceul Elitex la data de 07.04.2015, precum și în subcapitolul III. Grevarea drepturilor patrimoniale, Partea II. Notări, imobilul 0100114.142.01 este grevat după Liceul Elitex, tipul grevării – achitare în rate, înregistrat la 07.04.2015. Prin urmare, auditul atestă înregistrarea dreptului asupra bunului imobil 0100114.142.01, cu suprafața de 1944,2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 de către ASP fără a se asigura că Liceul Elitex și-a onorat obligațiunile financiare în raport cu CMC, iar ca urmare a acțiunilor/inacțiunilor AAPL, se atestă riscul de nerecuperare a creanțelor în sumă de 1187,6 mii lei de către AAPL. </w:t>
      </w:r>
    </w:p>
    <w:p w14:paraId="672C94E0" w14:textId="77777777" w:rsidR="00FB52F4" w:rsidRPr="009E5B39" w:rsidRDefault="00FB52F4" w:rsidP="00FB52F4">
      <w:pPr>
        <w:spacing w:after="0" w:line="276" w:lineRule="auto"/>
        <w:ind w:firstLine="284"/>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De asemenea, menționăm că contractul de locațiune nr.1/10/122 din 05.03.2011, încheiat cu Liceul Elitex, deținut de DGECT, este pentru darea în locațiune a încăperilor cu suprafața de 761,9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din bd. Dacia, 53/2 (etajele 1 și 2), codul cadastral al imobilului – 0100114.142.01. În același timp, conform extrasului din RBI, Liceul Elitex a înregistrat dreptul de proprietate asupra întregii suprafețe a imobilului (1944,2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în temeiul încheierii CA nr.3-2716/08 din 20.02.2012. În așa mod, instituția de învățământ privat, luând în locațiune doar o parte din suprafața totală (761,9 m2), a devenit proprietar al întregului imobil. Menționăm că în acest imobil își desfășoară activitatea grădinița nr.181, care este activă și funcționează. Prin urmare, Liceul Elitex, fără temei juridic, și-a înregistrat dreptul de proprietate asupra a 1182,3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din bunul imobil 0100114.142.01;</w:t>
      </w:r>
    </w:p>
    <w:p w14:paraId="34583B34" w14:textId="77777777" w:rsidR="00FB52F4" w:rsidRPr="009E5B39" w:rsidRDefault="00FB52F4" w:rsidP="00FB52F4">
      <w:pPr>
        <w:numPr>
          <w:ilvl w:val="0"/>
          <w:numId w:val="41"/>
        </w:numPr>
        <w:spacing w:after="0" w:line="276" w:lineRule="auto"/>
        <w:ind w:left="0" w:firstLine="284"/>
        <w:contextualSpacing/>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Liceul de Limbi Moderne și Management</w:t>
      </w:r>
      <w:r w:rsidRPr="009E5B39">
        <w:rPr>
          <w:rFonts w:asciiTheme="majorHAnsi" w:hAnsiTheme="majorHAnsi" w:cstheme="majorHAnsi"/>
          <w:sz w:val="24"/>
          <w:szCs w:val="24"/>
          <w:lang w:val="ro-MD"/>
        </w:rPr>
        <w:t xml:space="preserve"> (în continuare – LLMM) urma să achite în beneficiul CMC suma de 6905,8 mii lei. Ulterior, prin încheierea CA din 25.02.2013, a fost dispusă modificarea sumei încasate din contul LLMM, și anume - 1876,32 mii lei – achitată la 29.05.2013;</w:t>
      </w:r>
    </w:p>
    <w:p w14:paraId="37E40DF6" w14:textId="6532B6B0" w:rsidR="00FB52F4" w:rsidRPr="009E5B39" w:rsidRDefault="00FB52F4" w:rsidP="00FB52F4">
      <w:pPr>
        <w:numPr>
          <w:ilvl w:val="0"/>
          <w:numId w:val="41"/>
        </w:numPr>
        <w:spacing w:after="0" w:line="276" w:lineRule="auto"/>
        <w:ind w:left="0" w:firstLine="284"/>
        <w:contextualSpacing/>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Liceul Columna</w:t>
      </w:r>
      <w:r w:rsidRPr="009E5B39">
        <w:rPr>
          <w:rFonts w:asciiTheme="majorHAnsi" w:hAnsiTheme="majorHAnsi" w:cstheme="majorHAnsi"/>
          <w:sz w:val="24"/>
          <w:szCs w:val="24"/>
          <w:lang w:val="ro-MD"/>
        </w:rPr>
        <w:t xml:space="preserve"> urma să achite în beneficiul CMC suma de 5299,0 mii lei, în termen de 6 luni de la data când a devenit irevocabilă încheierea judecătorească a CA nr.3-3726/08 din 20.02.2012. Până în prezent, acesta a achitat integral suma stabilită, deși nu a respectat termenul- limită de achitare, stabilit de către instanță</w:t>
      </w:r>
      <w:r w:rsidRPr="009E5B39">
        <w:rPr>
          <w:rFonts w:asciiTheme="majorHAnsi" w:hAnsiTheme="majorHAnsi" w:cstheme="majorHAnsi"/>
          <w:vertAlign w:val="superscript"/>
          <w:lang w:val="ro-MD"/>
        </w:rPr>
        <w:footnoteReference w:id="249"/>
      </w:r>
      <w:r w:rsidRPr="009E5B39">
        <w:rPr>
          <w:rFonts w:asciiTheme="majorHAnsi" w:hAnsiTheme="majorHAnsi" w:cstheme="majorHAnsi"/>
          <w:sz w:val="24"/>
          <w:szCs w:val="24"/>
          <w:lang w:val="ro-MD"/>
        </w:rPr>
        <w:t>. Totodată, auditul menționează că, potrivit extrasului din Registrul bunurilor imobile, în subcapitolul II, dreptul de proprietate asupra bunului imobil 0100511.196.01 este înregistrat după Liceul Columna la data de 21.11.2016. Prin urmare, auditul atestă înregistrarea dreptului asupra bunului imobil 0100511.196.01, cu suprafața de 2795,6 m</w:t>
      </w:r>
      <w:r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de către ASP fără a se asigura că Liceul Columna și-a onorat obligațiunile financiare în raport cu CMC la data înregistrării. De asemenea, Primăria mun. Chișinău nu a perceput penalități pentru întârzierea onorării obligațiunilor pecuniare stabilite prin încheierea CA nr.3-3726/08 din 20.02.2012, prin ce bugetul municipal </w:t>
      </w:r>
      <w:r w:rsidR="00CE3F0B" w:rsidRPr="009E5B39">
        <w:rPr>
          <w:rFonts w:asciiTheme="majorHAnsi" w:hAnsiTheme="majorHAnsi" w:cstheme="majorHAnsi"/>
          <w:sz w:val="24"/>
          <w:szCs w:val="24"/>
          <w:lang w:val="ro-MD"/>
        </w:rPr>
        <w:t xml:space="preserve">nu a încasat </w:t>
      </w:r>
      <w:r w:rsidRPr="009E5B39">
        <w:rPr>
          <w:rFonts w:asciiTheme="majorHAnsi" w:hAnsiTheme="majorHAnsi" w:cstheme="majorHAnsi"/>
          <w:sz w:val="24"/>
          <w:szCs w:val="24"/>
          <w:lang w:val="ro-MD"/>
        </w:rPr>
        <w:t>sum</w:t>
      </w:r>
      <w:r w:rsidR="00CE3F0B"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de </w:t>
      </w:r>
      <w:r w:rsidRPr="009E5B39">
        <w:rPr>
          <w:rFonts w:asciiTheme="majorHAnsi" w:hAnsiTheme="majorHAnsi" w:cstheme="majorHAnsi"/>
          <w:b/>
          <w:sz w:val="24"/>
          <w:szCs w:val="24"/>
          <w:lang w:val="ro-MD"/>
        </w:rPr>
        <w:t>9998,94 mii lei</w:t>
      </w:r>
      <w:r w:rsidRPr="009E5B39">
        <w:rPr>
          <w:rFonts w:asciiTheme="majorHAnsi" w:hAnsiTheme="majorHAnsi" w:cstheme="majorHAnsi"/>
          <w:vertAlign w:val="superscript"/>
          <w:lang w:val="ro-MD"/>
        </w:rPr>
        <w:footnoteReference w:id="250"/>
      </w:r>
      <w:r w:rsidRPr="009E5B39">
        <w:rPr>
          <w:rFonts w:asciiTheme="majorHAnsi" w:hAnsiTheme="majorHAnsi" w:cstheme="majorHAnsi"/>
          <w:sz w:val="24"/>
          <w:szCs w:val="24"/>
          <w:lang w:val="ro-MD"/>
        </w:rPr>
        <w:t>.</w:t>
      </w:r>
    </w:p>
    <w:p w14:paraId="42F86890" w14:textId="77777777" w:rsidR="00FB52F4" w:rsidRPr="009E5B39" w:rsidRDefault="00FB52F4" w:rsidP="00FB52F4">
      <w:pPr>
        <w:spacing w:after="0" w:line="276" w:lineRule="auto"/>
        <w:ind w:firstLine="720"/>
        <w:jc w:val="both"/>
        <w:rPr>
          <w:rFonts w:asciiTheme="majorHAnsi" w:eastAsia="Calibri" w:hAnsiTheme="majorHAnsi" w:cstheme="majorHAnsi"/>
          <w:sz w:val="24"/>
          <w:szCs w:val="24"/>
          <w:lang w:val="ro-MD"/>
        </w:rPr>
      </w:pPr>
      <w:r w:rsidRPr="009E5B39">
        <w:rPr>
          <w:rFonts w:asciiTheme="majorHAnsi" w:hAnsiTheme="majorHAnsi" w:cstheme="majorHAnsi"/>
          <w:sz w:val="24"/>
          <w:szCs w:val="24"/>
          <w:lang w:val="ro-MD"/>
        </w:rPr>
        <w:t xml:space="preserve">Ulterior, în baza Deciziei CMC nr.1/20-36 din 01.04.2016, se încheie contractul de locațiune a terenului 0100103.163, cu suprafața de 1,11 ha, aferent clădirii privatizate de către </w:t>
      </w:r>
      <w:r w:rsidRPr="009E5B39">
        <w:rPr>
          <w:rFonts w:asciiTheme="majorHAnsi" w:hAnsiTheme="majorHAnsi" w:cstheme="majorHAnsi"/>
          <w:b/>
          <w:sz w:val="24"/>
          <w:szCs w:val="24"/>
          <w:lang w:val="ro-MD"/>
        </w:rPr>
        <w:t xml:space="preserve">Institutul Internațional de Management IMI-NOVA, </w:t>
      </w:r>
      <w:r w:rsidRPr="009E5B39">
        <w:rPr>
          <w:rFonts w:asciiTheme="majorHAnsi" w:hAnsiTheme="majorHAnsi" w:cstheme="majorHAnsi"/>
          <w:sz w:val="24"/>
          <w:szCs w:val="24"/>
          <w:lang w:val="ro-MD"/>
        </w:rPr>
        <w:t>plata – 2% din prețul normativ</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 xml:space="preserve">Totodată, </w:t>
      </w:r>
      <w:r w:rsidRPr="009E5B39">
        <w:rPr>
          <w:rFonts w:asciiTheme="majorHAnsi" w:hAnsiTheme="majorHAnsi" w:cstheme="majorHAnsi"/>
          <w:b/>
          <w:sz w:val="24"/>
          <w:szCs w:val="24"/>
          <w:lang w:val="ro-MD"/>
        </w:rPr>
        <w:t>Liceul Elitex, LLMM și Liceul Columna,</w:t>
      </w:r>
      <w:r w:rsidRPr="009E5B39">
        <w:rPr>
          <w:rFonts w:asciiTheme="majorHAnsi" w:hAnsiTheme="majorHAnsi" w:cstheme="majorHAnsi"/>
          <w:sz w:val="24"/>
          <w:szCs w:val="24"/>
          <w:lang w:val="ro-MD"/>
        </w:rPr>
        <w:t xml:space="preserve"> până la 31.12.2020, nu au încheiat contracte de locațiune a terenurilor aferente celor 3 bunuri imobile privatizate</w:t>
      </w:r>
      <w:r w:rsidRPr="009E5B39">
        <w:rPr>
          <w:rFonts w:asciiTheme="majorHAnsi" w:eastAsia="Calibri" w:hAnsiTheme="majorHAnsi" w:cstheme="majorHAnsi"/>
          <w:sz w:val="24"/>
          <w:szCs w:val="24"/>
          <w:lang w:val="ro-MD"/>
        </w:rPr>
        <w:t>. Folosind formula de calcul al tarifului de locațiune a terenului aferent construcției privatizate de către Institutul IMI-NOVA</w:t>
      </w:r>
      <w:r w:rsidRPr="009E5B39">
        <w:rPr>
          <w:rFonts w:asciiTheme="majorHAnsi" w:eastAsia="Calibri" w:hAnsiTheme="majorHAnsi" w:cstheme="majorHAnsi"/>
          <w:sz w:val="24"/>
          <w:szCs w:val="24"/>
          <w:vertAlign w:val="superscript"/>
          <w:lang w:val="ro-MD"/>
        </w:rPr>
        <w:footnoteReference w:id="251"/>
      </w:r>
      <w:r w:rsidRPr="009E5B39">
        <w:rPr>
          <w:rFonts w:asciiTheme="majorHAnsi" w:eastAsia="Calibri" w:hAnsiTheme="majorHAnsi" w:cstheme="majorHAnsi"/>
          <w:sz w:val="24"/>
          <w:szCs w:val="24"/>
          <w:lang w:val="ro-MD"/>
        </w:rPr>
        <w:t xml:space="preserve">, auditul a calculat veniturile ratate din plata pentru locațiunea „terenurilor aferente construcțiilor privatizate” de către </w:t>
      </w:r>
      <w:r w:rsidRPr="009E5B39">
        <w:rPr>
          <w:rFonts w:asciiTheme="majorHAnsi" w:eastAsia="Calibri" w:hAnsiTheme="majorHAnsi" w:cstheme="majorHAnsi"/>
          <w:b/>
          <w:sz w:val="24"/>
          <w:szCs w:val="24"/>
          <w:lang w:val="ro-MD"/>
        </w:rPr>
        <w:t xml:space="preserve">Liceul Elitex, LLMM și Liceul Columna, </w:t>
      </w:r>
      <w:r w:rsidRPr="009E5B39">
        <w:rPr>
          <w:rFonts w:asciiTheme="majorHAnsi" w:eastAsia="Calibri" w:hAnsiTheme="majorHAnsi" w:cstheme="majorHAnsi"/>
          <w:sz w:val="24"/>
          <w:szCs w:val="24"/>
          <w:lang w:val="ro-MD"/>
        </w:rPr>
        <w:t xml:space="preserve">cu suprafața totală de </w:t>
      </w:r>
      <w:r w:rsidRPr="009E5B39">
        <w:rPr>
          <w:rFonts w:asciiTheme="majorHAnsi" w:eastAsia="Calibri" w:hAnsiTheme="majorHAnsi" w:cstheme="majorHAnsi"/>
          <w:b/>
          <w:sz w:val="24"/>
          <w:szCs w:val="24"/>
          <w:lang w:val="ro-MD"/>
        </w:rPr>
        <w:t>2,7021 ha</w:t>
      </w:r>
      <w:r w:rsidRPr="009E5B39">
        <w:rPr>
          <w:rFonts w:asciiTheme="majorHAnsi" w:eastAsia="Calibri" w:hAnsiTheme="majorHAnsi" w:cstheme="majorHAnsi"/>
          <w:sz w:val="24"/>
          <w:szCs w:val="24"/>
          <w:vertAlign w:val="superscript"/>
          <w:lang w:val="ro-MD"/>
        </w:rPr>
        <w:footnoteReference w:id="252"/>
      </w:r>
      <w:r w:rsidRPr="009E5B39">
        <w:rPr>
          <w:rFonts w:asciiTheme="majorHAnsi" w:eastAsia="Calibri" w:hAnsiTheme="majorHAnsi" w:cstheme="majorHAnsi"/>
          <w:sz w:val="24"/>
          <w:szCs w:val="24"/>
          <w:lang w:val="ro-MD"/>
        </w:rPr>
        <w:t xml:space="preserve"> , pentru anii 2018-2020 – de la </w:t>
      </w:r>
      <w:r w:rsidRPr="009E5B39">
        <w:rPr>
          <w:rFonts w:asciiTheme="majorHAnsi" w:eastAsia="Calibri" w:hAnsiTheme="majorHAnsi" w:cstheme="majorHAnsi"/>
          <w:b/>
          <w:sz w:val="24"/>
          <w:szCs w:val="24"/>
          <w:lang w:val="ro-MD"/>
        </w:rPr>
        <w:t>209,43 mii lei</w:t>
      </w:r>
      <w:r w:rsidRPr="009E5B39">
        <w:rPr>
          <w:rFonts w:asciiTheme="majorHAnsi" w:eastAsia="Calibri" w:hAnsiTheme="majorHAnsi" w:cstheme="majorHAnsi"/>
          <w:sz w:val="24"/>
          <w:szCs w:val="24"/>
          <w:vertAlign w:val="superscript"/>
          <w:lang w:val="ro-MD"/>
        </w:rPr>
        <w:footnoteReference w:id="253"/>
      </w:r>
      <w:r w:rsidRPr="009E5B39">
        <w:rPr>
          <w:rFonts w:asciiTheme="majorHAnsi" w:eastAsia="Calibri" w:hAnsiTheme="majorHAnsi" w:cstheme="majorHAnsi"/>
          <w:b/>
          <w:sz w:val="24"/>
          <w:szCs w:val="24"/>
          <w:lang w:val="ro-MD"/>
        </w:rPr>
        <w:t xml:space="preserve"> până la 1047,15 mii lei</w:t>
      </w:r>
      <w:r w:rsidRPr="009E5B39">
        <w:rPr>
          <w:rFonts w:asciiTheme="majorHAnsi" w:eastAsia="Calibri" w:hAnsiTheme="majorHAnsi" w:cstheme="majorHAnsi"/>
          <w:sz w:val="24"/>
          <w:szCs w:val="24"/>
          <w:vertAlign w:val="superscript"/>
          <w:lang w:val="ro-MD"/>
        </w:rPr>
        <w:footnoteReference w:id="254"/>
      </w:r>
      <w:r w:rsidRPr="009E5B39">
        <w:rPr>
          <w:rFonts w:asciiTheme="majorHAnsi" w:eastAsia="Calibri" w:hAnsiTheme="majorHAnsi" w:cstheme="majorHAnsi"/>
          <w:sz w:val="24"/>
          <w:szCs w:val="24"/>
          <w:lang w:val="ro-MD"/>
        </w:rPr>
        <w:t>.</w:t>
      </w:r>
    </w:p>
    <w:p w14:paraId="4ED0401E" w14:textId="77777777" w:rsidR="00FB52F4" w:rsidRPr="009E5B39" w:rsidRDefault="00FB52F4" w:rsidP="00FB52F4">
      <w:pPr>
        <w:spacing w:after="0"/>
        <w:rPr>
          <w:rFonts w:asciiTheme="majorHAnsi" w:hAnsiTheme="majorHAnsi" w:cstheme="majorHAnsi"/>
          <w:lang w:val="ro-MD"/>
        </w:rPr>
      </w:pPr>
    </w:p>
    <w:p w14:paraId="263896A4" w14:textId="77777777" w:rsidR="00FB52F4" w:rsidRPr="009E5B39" w:rsidRDefault="00FB52F4" w:rsidP="00FB52F4">
      <w:pPr>
        <w:spacing w:after="0"/>
        <w:rPr>
          <w:rFonts w:asciiTheme="majorHAnsi" w:hAnsiTheme="majorHAnsi" w:cstheme="majorHAnsi"/>
          <w:lang w:val="ro-MD"/>
        </w:rPr>
      </w:pPr>
    </w:p>
    <w:p w14:paraId="010B7DE6" w14:textId="77777777" w:rsidR="00FB52F4" w:rsidRPr="009E5B39" w:rsidRDefault="00FB52F4" w:rsidP="003E291B">
      <w:pPr>
        <w:keepNext/>
        <w:keepLines/>
        <w:spacing w:after="0"/>
        <w:jc w:val="right"/>
        <w:outlineLvl w:val="0"/>
        <w:rPr>
          <w:rFonts w:asciiTheme="majorHAnsi" w:eastAsiaTheme="majorEastAsia" w:hAnsiTheme="majorHAnsi" w:cstheme="majorHAnsi"/>
          <w:b/>
          <w:sz w:val="32"/>
          <w:szCs w:val="32"/>
          <w:lang w:val="ro-MD"/>
        </w:rPr>
        <w:sectPr w:rsidR="00FB52F4" w:rsidRPr="009E5B39" w:rsidSect="003E291B">
          <w:pgSz w:w="11907" w:h="16840" w:code="9"/>
          <w:pgMar w:top="1134" w:right="851" w:bottom="1134" w:left="1701" w:header="709" w:footer="709" w:gutter="0"/>
          <w:cols w:space="708"/>
          <w:docGrid w:linePitch="360"/>
        </w:sectPr>
      </w:pPr>
    </w:p>
    <w:p w14:paraId="5E1467FC" w14:textId="4EF751D7" w:rsidR="003E291B" w:rsidRPr="009E5B39" w:rsidRDefault="003E291B" w:rsidP="003E291B">
      <w:pPr>
        <w:keepNext/>
        <w:keepLines/>
        <w:spacing w:after="0"/>
        <w:jc w:val="right"/>
        <w:outlineLvl w:val="0"/>
        <w:rPr>
          <w:rFonts w:asciiTheme="majorHAnsi" w:eastAsiaTheme="majorEastAsia" w:hAnsiTheme="majorHAnsi" w:cstheme="majorHAnsi"/>
          <w:b/>
          <w:sz w:val="32"/>
          <w:szCs w:val="32"/>
          <w:lang w:val="ro-MD"/>
        </w:rPr>
      </w:pPr>
      <w:bookmarkStart w:id="33" w:name="_Toc116026898"/>
      <w:r w:rsidRPr="009E5B39">
        <w:rPr>
          <w:rFonts w:asciiTheme="majorHAnsi" w:eastAsiaTheme="majorEastAsia" w:hAnsiTheme="majorHAnsi" w:cstheme="majorHAnsi"/>
          <w:b/>
          <w:sz w:val="32"/>
          <w:szCs w:val="32"/>
          <w:lang w:val="ro-MD"/>
        </w:rPr>
        <w:t>Anexa nr.16</w:t>
      </w:r>
      <w:bookmarkEnd w:id="33"/>
    </w:p>
    <w:p w14:paraId="4FE629CE" w14:textId="77777777" w:rsidR="003E291B" w:rsidRPr="009E5B39" w:rsidRDefault="003E291B" w:rsidP="003E291B">
      <w:pPr>
        <w:spacing w:after="0"/>
        <w:jc w:val="center"/>
        <w:rPr>
          <w:rFonts w:asciiTheme="majorHAnsi" w:hAnsiTheme="majorHAnsi" w:cstheme="majorHAnsi"/>
          <w:b/>
          <w:i/>
          <w:sz w:val="28"/>
          <w:szCs w:val="28"/>
          <w:lang w:val="ro-MD"/>
        </w:rPr>
      </w:pPr>
      <w:r w:rsidRPr="009E5B39">
        <w:rPr>
          <w:rFonts w:asciiTheme="majorHAnsi" w:hAnsiTheme="majorHAnsi" w:cstheme="majorHAnsi"/>
          <w:b/>
          <w:i/>
          <w:sz w:val="28"/>
          <w:szCs w:val="28"/>
          <w:lang w:val="ro-MD"/>
        </w:rPr>
        <w:t>Detalii suplimentare la subiectele expuse în Raport</w:t>
      </w:r>
    </w:p>
    <w:p w14:paraId="4BDE95F5" w14:textId="35BE3235" w:rsidR="003E291B" w:rsidRPr="009E5B39" w:rsidRDefault="003E291B" w:rsidP="003C5073">
      <w:pPr>
        <w:pStyle w:val="ListParagraph"/>
        <w:numPr>
          <w:ilvl w:val="0"/>
          <w:numId w:val="41"/>
        </w:numPr>
        <w:tabs>
          <w:tab w:val="left" w:pos="0"/>
        </w:tabs>
        <w:spacing w:after="0" w:line="276" w:lineRule="auto"/>
        <w:ind w:left="0" w:firstLine="0"/>
        <w:jc w:val="both"/>
        <w:rPr>
          <w:rFonts w:asciiTheme="majorHAnsi" w:hAnsiTheme="majorHAnsi" w:cstheme="majorHAnsi"/>
          <w:b/>
          <w:sz w:val="24"/>
          <w:szCs w:val="24"/>
          <w:lang w:val="ro-MD"/>
        </w:rPr>
      </w:pPr>
      <w:r w:rsidRPr="009E5B39">
        <w:rPr>
          <w:rFonts w:asciiTheme="majorHAnsi" w:hAnsiTheme="majorHAnsi" w:cstheme="majorHAnsi"/>
          <w:bCs/>
          <w:iCs/>
          <w:sz w:val="24"/>
          <w:szCs w:val="24"/>
          <w:lang w:val="ro-MD"/>
        </w:rPr>
        <w:t xml:space="preserve">Terenul </w:t>
      </w:r>
      <w:r w:rsidRPr="009E5B39">
        <w:rPr>
          <w:rFonts w:asciiTheme="majorHAnsi" w:hAnsiTheme="majorHAnsi" w:cstheme="majorHAnsi"/>
          <w:b/>
          <w:bCs/>
          <w:iCs/>
          <w:sz w:val="24"/>
          <w:szCs w:val="24"/>
          <w:lang w:val="ro-MD"/>
        </w:rPr>
        <w:t>cu nr. cadastral 0100415014</w:t>
      </w:r>
      <w:r w:rsidRPr="009E5B39">
        <w:rPr>
          <w:rFonts w:asciiTheme="majorHAnsi" w:hAnsiTheme="majorHAnsi" w:cstheme="majorHAnsi"/>
          <w:bCs/>
          <w:iCs/>
          <w:sz w:val="24"/>
          <w:szCs w:val="24"/>
          <w:lang w:val="ro-MD"/>
        </w:rPr>
        <w:t xml:space="preserve">, amplasat în </w:t>
      </w:r>
      <w:r w:rsidRPr="009E5B39">
        <w:rPr>
          <w:rFonts w:asciiTheme="majorHAnsi" w:hAnsiTheme="majorHAnsi" w:cstheme="majorHAnsi"/>
          <w:b/>
          <w:bCs/>
          <w:iCs/>
          <w:sz w:val="24"/>
          <w:szCs w:val="24"/>
          <w:lang w:val="ro-MD"/>
        </w:rPr>
        <w:t>str. Carierei nr.5,</w:t>
      </w:r>
      <w:r w:rsidRPr="009E5B39">
        <w:rPr>
          <w:rFonts w:asciiTheme="majorHAnsi" w:hAnsiTheme="majorHAnsi" w:cstheme="majorHAnsi"/>
          <w:bCs/>
          <w:iCs/>
          <w:sz w:val="24"/>
          <w:szCs w:val="24"/>
          <w:lang w:val="ro-MD"/>
        </w:rPr>
        <w:t xml:space="preserve"> cu suprafața totală de 1,07 ha și valoare</w:t>
      </w:r>
      <w:r w:rsidR="005C6936" w:rsidRPr="009E5B39">
        <w:rPr>
          <w:rFonts w:asciiTheme="majorHAnsi" w:hAnsiTheme="majorHAnsi" w:cstheme="majorHAnsi"/>
          <w:bCs/>
          <w:iCs/>
          <w:sz w:val="24"/>
          <w:szCs w:val="24"/>
          <w:lang w:val="ro-MD"/>
        </w:rPr>
        <w:t>a</w:t>
      </w:r>
      <w:r w:rsidRPr="009E5B39">
        <w:rPr>
          <w:rFonts w:asciiTheme="majorHAnsi" w:hAnsiTheme="majorHAnsi" w:cstheme="majorHAnsi"/>
          <w:bCs/>
          <w:iCs/>
          <w:sz w:val="24"/>
          <w:szCs w:val="24"/>
          <w:lang w:val="ro-MD"/>
        </w:rPr>
        <w:t xml:space="preserve"> estimativă de 45.112,20 mii lei (sau 2.200,60 mii </w:t>
      </w:r>
      <w:r w:rsidR="005C6936" w:rsidRPr="009E5B39">
        <w:rPr>
          <w:rFonts w:asciiTheme="majorHAnsi" w:hAnsiTheme="majorHAnsi" w:cstheme="majorHAnsi"/>
          <w:bCs/>
          <w:iCs/>
          <w:sz w:val="24"/>
          <w:szCs w:val="24"/>
          <w:lang w:val="ro-MD"/>
        </w:rPr>
        <w:t>e</w:t>
      </w:r>
      <w:r w:rsidRPr="009E5B39">
        <w:rPr>
          <w:rFonts w:asciiTheme="majorHAnsi" w:hAnsiTheme="majorHAnsi" w:cstheme="majorHAnsi"/>
          <w:bCs/>
          <w:iCs/>
          <w:sz w:val="24"/>
          <w:szCs w:val="24"/>
          <w:lang w:val="ro-MD"/>
        </w:rPr>
        <w:t>uro), prin Decizia CMC nr. 6/30-10 din 02.10.2014</w:t>
      </w:r>
      <w:r w:rsidRPr="009E5B39">
        <w:rPr>
          <w:vertAlign w:val="superscript"/>
          <w:lang w:val="ro-MD"/>
        </w:rPr>
        <w:footnoteReference w:id="255"/>
      </w:r>
      <w:r w:rsidRPr="009E5B39">
        <w:rPr>
          <w:rFonts w:asciiTheme="majorHAnsi" w:hAnsiTheme="majorHAnsi" w:cstheme="majorHAnsi"/>
          <w:bCs/>
          <w:iCs/>
          <w:sz w:val="24"/>
          <w:szCs w:val="24"/>
          <w:lang w:val="ro-MD"/>
        </w:rPr>
        <w:t xml:space="preserve">, a fost transmis pentru proiectarea și construirea unui complex de blocuri locative cu obiecte de menire socială și parcare auto, </w:t>
      </w:r>
      <w:r w:rsidRPr="009E5B39">
        <w:rPr>
          <w:rFonts w:asciiTheme="majorHAnsi" w:hAnsiTheme="majorHAnsi" w:cstheme="majorHAnsi"/>
          <w:sz w:val="24"/>
          <w:szCs w:val="24"/>
          <w:lang w:val="ro-MD"/>
        </w:rPr>
        <w:t xml:space="preserve">din contul demolării imobilelor proprietate privată ale SRL </w:t>
      </w:r>
      <w:r w:rsidRPr="009E5B39">
        <w:rPr>
          <w:rFonts w:asciiTheme="majorHAnsi" w:hAnsiTheme="majorHAnsi" w:cstheme="majorHAnsi"/>
          <w:bCs/>
          <w:iCs/>
          <w:sz w:val="24"/>
          <w:szCs w:val="24"/>
          <w:lang w:val="ro-MD"/>
        </w:rPr>
        <w:t xml:space="preserve">„Forscont Exim”. </w:t>
      </w:r>
    </w:p>
    <w:p w14:paraId="352BB4D7" w14:textId="3847BCBF" w:rsidR="003E291B" w:rsidRPr="009E5B39" w:rsidRDefault="003E291B" w:rsidP="003E291B">
      <w:pPr>
        <w:spacing w:after="0" w:line="276" w:lineRule="auto"/>
        <w:ind w:firstLine="567"/>
        <w:jc w:val="both"/>
        <w:rPr>
          <w:rFonts w:asciiTheme="majorHAnsi" w:hAnsiTheme="majorHAnsi" w:cstheme="majorHAnsi"/>
          <w:bCs/>
          <w:iCs/>
          <w:sz w:val="24"/>
          <w:szCs w:val="24"/>
          <w:lang w:val="ro-MD"/>
        </w:rPr>
      </w:pPr>
      <w:r w:rsidRPr="009E5B39">
        <w:rPr>
          <w:rFonts w:asciiTheme="majorHAnsi" w:hAnsiTheme="majorHAnsi" w:cstheme="majorHAnsi"/>
          <w:sz w:val="24"/>
          <w:szCs w:val="24"/>
          <w:lang w:val="ro-MD"/>
        </w:rPr>
        <w:t>SRL „Forscont Exim”, nefiind proprietar al terenului, a încheiat cu un dezvoltator imobiliar (</w:t>
      </w:r>
      <w:r w:rsidRPr="009E5B39">
        <w:rPr>
          <w:rFonts w:asciiTheme="majorHAnsi" w:hAnsiTheme="majorHAnsi" w:cstheme="majorHAnsi"/>
          <w:bCs/>
          <w:iCs/>
          <w:sz w:val="24"/>
          <w:szCs w:val="24"/>
          <w:lang w:val="ro-MD"/>
        </w:rPr>
        <w:t>„Lagmar Impex” SRL)</w:t>
      </w:r>
      <w:r w:rsidRPr="009E5B39">
        <w:rPr>
          <w:rFonts w:asciiTheme="majorHAnsi" w:hAnsiTheme="majorHAnsi" w:cstheme="majorHAnsi"/>
          <w:sz w:val="24"/>
          <w:szCs w:val="24"/>
          <w:lang w:val="ro-MD"/>
        </w:rPr>
        <w:t xml:space="preserve"> </w:t>
      </w:r>
      <w:r w:rsidR="005C6936" w:rsidRPr="009E5B39">
        <w:rPr>
          <w:rFonts w:asciiTheme="majorHAnsi" w:hAnsiTheme="majorHAnsi" w:cstheme="majorHAnsi"/>
          <w:sz w:val="24"/>
          <w:szCs w:val="24"/>
          <w:lang w:val="ro-MD"/>
        </w:rPr>
        <w:t>acte juridice</w:t>
      </w:r>
      <w:r w:rsidR="005C6936" w:rsidRPr="009E5B39">
        <w:rPr>
          <w:rFonts w:asciiTheme="majorHAnsi" w:hAnsiTheme="majorHAnsi" w:cstheme="majorHAnsi"/>
          <w:sz w:val="24"/>
          <w:szCs w:val="24"/>
          <w:vertAlign w:val="superscript"/>
          <w:lang w:val="ro-MD"/>
        </w:rPr>
        <w:footnoteReference w:id="256"/>
      </w:r>
      <w:r w:rsidR="005C6936"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privind constituirea unei societăți civile, prin care a transmis terenul cu nr. cadastral 0100415014 de pe adresa str. Carierei nr.5, pentru proiectarea și construcția unui complex locativ, precum și construcțiile existente</w:t>
      </w:r>
      <w:r w:rsidR="0070045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pentru desființarea acestora. În schimb, dezvoltatorul imobiliar a transmis în proprietatea acestuia diferite bunuri imobile viitoare</w:t>
      </w:r>
      <w:r w:rsidR="0070045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w:t>
      </w:r>
      <w:r w:rsidR="0070045C"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suprafaț</w:t>
      </w:r>
      <w:r w:rsidR="0070045C"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totală de 4.956,30 m</w:t>
      </w:r>
      <w:r w:rsidR="0070045C" w:rsidRPr="009E5B39">
        <w:rPr>
          <w:rFonts w:asciiTheme="majorHAnsi" w:hAnsiTheme="majorHAnsi" w:cstheme="majorHAnsi"/>
          <w:sz w:val="24"/>
          <w:szCs w:val="24"/>
          <w:vertAlign w:val="superscript"/>
          <w:lang w:val="ro-MD"/>
        </w:rPr>
        <w:t>2</w:t>
      </w:r>
      <w:r w:rsidR="0070045C" w:rsidRPr="009E5B39">
        <w:rPr>
          <w:rFonts w:asciiTheme="majorHAnsi" w:hAnsiTheme="majorHAnsi" w:cstheme="majorHAnsi"/>
          <w:sz w:val="24"/>
          <w:szCs w:val="24"/>
          <w:lang w:val="ro-MD"/>
        </w:rPr>
        <w:t xml:space="preserve"> și</w:t>
      </w:r>
      <w:r w:rsidRPr="009E5B39">
        <w:rPr>
          <w:rFonts w:asciiTheme="majorHAnsi" w:hAnsiTheme="majorHAnsi" w:cstheme="majorHAnsi"/>
          <w:sz w:val="24"/>
          <w:szCs w:val="24"/>
          <w:lang w:val="ro-MD"/>
        </w:rPr>
        <w:t xml:space="preserve"> valoare</w:t>
      </w:r>
      <w:r w:rsidR="0070045C"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de piață</w:t>
      </w:r>
      <w:r w:rsidRPr="009E5B39">
        <w:rPr>
          <w:rFonts w:asciiTheme="majorHAnsi" w:hAnsiTheme="majorHAnsi" w:cstheme="majorHAnsi"/>
          <w:sz w:val="24"/>
          <w:szCs w:val="24"/>
          <w:vertAlign w:val="superscript"/>
          <w:lang w:val="ro-MD"/>
        </w:rPr>
        <w:footnoteReference w:id="257"/>
      </w:r>
      <w:r w:rsidRPr="009E5B39">
        <w:rPr>
          <w:rFonts w:asciiTheme="majorHAnsi" w:hAnsiTheme="majorHAnsi" w:cstheme="majorHAnsi"/>
          <w:sz w:val="24"/>
          <w:szCs w:val="24"/>
          <w:lang w:val="ro-MD"/>
        </w:rPr>
        <w:t xml:space="preserve"> începând de la suma de 2.200,60 mii euro, sau 45112,20 mii lei</w:t>
      </w:r>
      <w:r w:rsidRPr="009E5B39">
        <w:rPr>
          <w:rFonts w:asciiTheme="majorHAnsi" w:hAnsiTheme="majorHAnsi" w:cstheme="majorHAnsi"/>
          <w:sz w:val="24"/>
          <w:szCs w:val="24"/>
          <w:vertAlign w:val="superscript"/>
          <w:lang w:val="ro-MD"/>
        </w:rPr>
        <w:footnoteReference w:id="258"/>
      </w:r>
      <w:r w:rsidRPr="009E5B39">
        <w:rPr>
          <w:rFonts w:asciiTheme="majorHAnsi" w:hAnsiTheme="majorHAnsi" w:cstheme="majorHAnsi"/>
          <w:sz w:val="24"/>
          <w:szCs w:val="24"/>
          <w:lang w:val="ro-MD"/>
        </w:rPr>
        <w:t>, și se obliga să transmită în proprietatea CMC 10 apartamente cu suprafața totală de 417,90 m</w:t>
      </w:r>
      <w:r w:rsidR="0070045C"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cu valoare</w:t>
      </w:r>
      <w:r w:rsidR="0070045C"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de 185,60 mii euro, sau circa 3803,7 mii lei</w:t>
      </w:r>
      <w:r w:rsidRPr="009E5B39">
        <w:rPr>
          <w:rFonts w:asciiTheme="majorHAnsi" w:hAnsiTheme="majorHAnsi" w:cstheme="majorHAnsi"/>
          <w:sz w:val="24"/>
          <w:szCs w:val="24"/>
          <w:vertAlign w:val="superscript"/>
          <w:lang w:val="ro-MD"/>
        </w:rPr>
        <w:footnoteReference w:id="259"/>
      </w:r>
      <w:r w:rsidRPr="009E5B39">
        <w:rPr>
          <w:rFonts w:asciiTheme="majorHAnsi" w:hAnsiTheme="majorHAnsi" w:cstheme="majorHAnsi"/>
          <w:sz w:val="24"/>
          <w:szCs w:val="24"/>
          <w:lang w:val="ro-MD"/>
        </w:rPr>
        <w:t xml:space="preserve">, precum și </w:t>
      </w:r>
      <w:r w:rsidR="0070045C" w:rsidRPr="009E5B39">
        <w:rPr>
          <w:rFonts w:asciiTheme="majorHAnsi" w:hAnsiTheme="majorHAnsi" w:cstheme="majorHAnsi"/>
          <w:sz w:val="24"/>
          <w:szCs w:val="24"/>
          <w:lang w:val="ro-MD"/>
        </w:rPr>
        <w:t xml:space="preserve">să </w:t>
      </w:r>
      <w:r w:rsidRPr="009E5B39">
        <w:rPr>
          <w:rFonts w:asciiTheme="majorHAnsi" w:hAnsiTheme="majorHAnsi" w:cstheme="majorHAnsi"/>
          <w:sz w:val="24"/>
          <w:szCs w:val="24"/>
          <w:lang w:val="ro-MD"/>
        </w:rPr>
        <w:t>achit</w:t>
      </w:r>
      <w:r w:rsidR="0070045C"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arend</w:t>
      </w:r>
      <w:r w:rsidR="0070045C"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xml:space="preserve"> funciar</w:t>
      </w:r>
      <w:r w:rsidR="0070045C"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în perioada efectuării construcției</w:t>
      </w:r>
      <w:r w:rsidRPr="009E5B39">
        <w:rPr>
          <w:rFonts w:asciiTheme="majorHAnsi" w:hAnsiTheme="majorHAnsi" w:cstheme="majorHAnsi"/>
          <w:sz w:val="24"/>
          <w:szCs w:val="24"/>
          <w:vertAlign w:val="superscript"/>
          <w:lang w:val="ro-MD"/>
        </w:rPr>
        <w:footnoteReference w:id="260"/>
      </w:r>
      <w:r w:rsidRPr="009E5B39">
        <w:rPr>
          <w:rFonts w:asciiTheme="majorHAnsi" w:hAnsiTheme="majorHAnsi" w:cstheme="majorHAnsi"/>
          <w:sz w:val="24"/>
          <w:szCs w:val="24"/>
          <w:lang w:val="ro-MD"/>
        </w:rPr>
        <w:t>.</w:t>
      </w:r>
    </w:p>
    <w:p w14:paraId="68C577F7" w14:textId="1E5DC480" w:rsidR="003E291B" w:rsidRPr="009E5B39" w:rsidRDefault="003E291B" w:rsidP="003E291B">
      <w:pPr>
        <w:spacing w:after="0" w:line="276" w:lineRule="auto"/>
        <w:ind w:firstLine="567"/>
        <w:jc w:val="both"/>
        <w:rPr>
          <w:rFonts w:asciiTheme="majorHAnsi" w:hAnsiTheme="majorHAnsi" w:cstheme="majorHAnsi"/>
          <w:bCs/>
          <w:iCs/>
          <w:sz w:val="24"/>
          <w:szCs w:val="24"/>
          <w:lang w:val="ro-MD"/>
        </w:rPr>
      </w:pPr>
      <w:r w:rsidRPr="009E5B39">
        <w:rPr>
          <w:rFonts w:asciiTheme="majorHAnsi" w:hAnsiTheme="majorHAnsi" w:cstheme="majorHAnsi"/>
          <w:bCs/>
          <w:iCs/>
          <w:sz w:val="24"/>
          <w:szCs w:val="24"/>
          <w:lang w:val="ro-MD"/>
        </w:rPr>
        <w:t>La data de 21.01.2015</w:t>
      </w:r>
      <w:r w:rsidR="0070045C"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Oficiul teritorial Chișinău, în calitate de reclamant, a depus cerere de chemare în judecată împotriva CMC, PMC, Uniunii conducătorilor auto din Republica Moldova, SC „Forscont Exim” SRL, cu terții Igor Neznaico, Irina Lejniova și SC „Lagmar Impex” SRL</w:t>
      </w:r>
      <w:r w:rsidR="0070045C"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privi</w:t>
      </w:r>
      <w:r w:rsidR="0070045C" w:rsidRPr="009E5B39">
        <w:rPr>
          <w:rFonts w:asciiTheme="majorHAnsi" w:hAnsiTheme="majorHAnsi" w:cstheme="majorHAnsi"/>
          <w:bCs/>
          <w:iCs/>
          <w:sz w:val="24"/>
          <w:szCs w:val="24"/>
          <w:lang w:val="ro-MD"/>
        </w:rPr>
        <w:t xml:space="preserve">nd </w:t>
      </w:r>
      <w:r w:rsidRPr="009E5B39">
        <w:rPr>
          <w:rFonts w:asciiTheme="majorHAnsi" w:hAnsiTheme="majorHAnsi" w:cstheme="majorHAnsi"/>
          <w:bCs/>
          <w:iCs/>
          <w:sz w:val="24"/>
          <w:szCs w:val="24"/>
          <w:lang w:val="ro-MD"/>
        </w:rPr>
        <w:t xml:space="preserve"> anularea actului administrativ Decizia CMC nr. 6/30-10 din 02.10.2014. Prin Hotărârea din 12.12.2019, Judecătoria Chișinău (sediul R</w:t>
      </w:r>
      <w:r w:rsidR="00EC524A" w:rsidRPr="009E5B39">
        <w:rPr>
          <w:rFonts w:asciiTheme="majorHAnsi" w:hAnsiTheme="majorHAnsi" w:cstheme="majorHAnsi"/>
          <w:bCs/>
          <w:iCs/>
          <w:sz w:val="24"/>
          <w:szCs w:val="24"/>
          <w:lang w:val="ro-MD"/>
        </w:rPr>
        <w:t>î</w:t>
      </w:r>
      <w:r w:rsidRPr="009E5B39">
        <w:rPr>
          <w:rFonts w:asciiTheme="majorHAnsi" w:hAnsiTheme="majorHAnsi" w:cstheme="majorHAnsi"/>
          <w:bCs/>
          <w:iCs/>
          <w:sz w:val="24"/>
          <w:szCs w:val="24"/>
          <w:lang w:val="ro-MD"/>
        </w:rPr>
        <w:t xml:space="preserve">șcani) a admis integral cererea de chemare în judecată depusă de Oficiul </w:t>
      </w:r>
      <w:r w:rsidR="0070045C" w:rsidRPr="009E5B39">
        <w:rPr>
          <w:rFonts w:asciiTheme="majorHAnsi" w:hAnsiTheme="majorHAnsi" w:cstheme="majorHAnsi"/>
          <w:bCs/>
          <w:iCs/>
          <w:sz w:val="24"/>
          <w:szCs w:val="24"/>
          <w:lang w:val="ro-MD"/>
        </w:rPr>
        <w:t>t</w:t>
      </w:r>
      <w:r w:rsidRPr="009E5B39">
        <w:rPr>
          <w:rFonts w:asciiTheme="majorHAnsi" w:hAnsiTheme="majorHAnsi" w:cstheme="majorHAnsi"/>
          <w:bCs/>
          <w:iCs/>
          <w:sz w:val="24"/>
          <w:szCs w:val="24"/>
          <w:lang w:val="ro-MD"/>
        </w:rPr>
        <w:t xml:space="preserve">eritorial Chișinău și a decis anularea Deciziei CMC nr. 6/30-10 din 02.10.2014, motivând că aceasta este ilegală. </w:t>
      </w:r>
    </w:p>
    <w:p w14:paraId="7A983317" w14:textId="0E4826B0" w:rsidR="003E291B" w:rsidRPr="009E5B39" w:rsidRDefault="003E291B" w:rsidP="003E291B">
      <w:pPr>
        <w:spacing w:after="0" w:line="276" w:lineRule="auto"/>
        <w:ind w:firstLine="567"/>
        <w:jc w:val="both"/>
        <w:rPr>
          <w:rFonts w:asciiTheme="majorHAnsi" w:hAnsiTheme="majorHAnsi" w:cstheme="majorHAnsi"/>
          <w:bCs/>
          <w:iCs/>
          <w:sz w:val="24"/>
          <w:szCs w:val="24"/>
          <w:lang w:val="ro-MD"/>
        </w:rPr>
      </w:pPr>
      <w:r w:rsidRPr="009E5B39">
        <w:rPr>
          <w:rFonts w:asciiTheme="majorHAnsi" w:hAnsiTheme="majorHAnsi" w:cstheme="majorHAnsi"/>
          <w:bCs/>
          <w:iCs/>
          <w:sz w:val="24"/>
          <w:szCs w:val="24"/>
          <w:lang w:val="ro-MD"/>
        </w:rPr>
        <w:t>La data de 19.02.2020, CMC a depus o Cerere de apel motivată asupra Hotărârii Judecătoriei Chișinău din 12.12.2019, care</w:t>
      </w:r>
      <w:r w:rsidR="0070045C"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însă, prin Decizia Curții de Apel Chișinău din 05.08.2020</w:t>
      </w:r>
      <w:r w:rsidR="0070045C"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a fost respinsă. La data de 19.08.2020, CMC a depus o cerere de recurs la Curtea Supremă de Justiție, care</w:t>
      </w:r>
      <w:r w:rsidR="0070045C"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prin Încheierea Curții Supreme de Justiție din 23.12.2020</w:t>
      </w:r>
      <w:r w:rsidR="0070045C"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a fost declarată inadmisibilă. </w:t>
      </w:r>
    </w:p>
    <w:p w14:paraId="3BECFCEE" w14:textId="77777777" w:rsidR="003E291B" w:rsidRPr="009E5B39" w:rsidRDefault="003E291B" w:rsidP="003E291B">
      <w:pPr>
        <w:spacing w:after="0" w:line="276" w:lineRule="auto"/>
        <w:ind w:firstLine="567"/>
        <w:jc w:val="both"/>
        <w:rPr>
          <w:rFonts w:asciiTheme="majorHAnsi" w:hAnsiTheme="majorHAnsi" w:cstheme="majorHAnsi"/>
          <w:bCs/>
          <w:iCs/>
          <w:sz w:val="24"/>
          <w:szCs w:val="24"/>
          <w:lang w:val="ro-MD"/>
        </w:rPr>
      </w:pPr>
      <w:r w:rsidRPr="009E5B39">
        <w:rPr>
          <w:rFonts w:asciiTheme="majorHAnsi" w:hAnsiTheme="majorHAnsi" w:cstheme="majorHAnsi"/>
          <w:bCs/>
          <w:iCs/>
          <w:sz w:val="24"/>
          <w:szCs w:val="24"/>
          <w:lang w:val="ro-MD"/>
        </w:rPr>
        <w:t xml:space="preserve">În prezent, drepturile de proprietate asupra celor 10 apartamente amplasate în blocul locativ din str. Carierei 5, care urmau a fi transmise gratuit în proprietate municipală, sunt înregistrate după unele persoane fizice, în temeiul unor contracte de vânzare-cumpărare semnate pe parcursul anilor 2020-2022, prin ce bugetului mun. Chișinău i-a fost adus un prejudiciu de cel puțin </w:t>
      </w:r>
      <w:r w:rsidRPr="009E5B39">
        <w:rPr>
          <w:rFonts w:asciiTheme="majorHAnsi" w:hAnsiTheme="majorHAnsi" w:cstheme="majorHAnsi"/>
          <w:sz w:val="24"/>
          <w:szCs w:val="24"/>
          <w:lang w:val="ro-MD"/>
        </w:rPr>
        <w:t>185,60 mii euro, sau circa 3.803,7 mii lei</w:t>
      </w:r>
      <w:r w:rsidRPr="009E5B39">
        <w:rPr>
          <w:rFonts w:asciiTheme="majorHAnsi" w:hAnsiTheme="majorHAnsi" w:cstheme="majorHAnsi"/>
          <w:bCs/>
          <w:iCs/>
          <w:sz w:val="24"/>
          <w:szCs w:val="24"/>
          <w:lang w:val="ro-MD"/>
        </w:rPr>
        <w:t>.</w:t>
      </w:r>
    </w:p>
    <w:p w14:paraId="0DB00ECE" w14:textId="77777777" w:rsidR="003E291B" w:rsidRPr="009E5B39" w:rsidRDefault="003E291B" w:rsidP="003E291B">
      <w:pPr>
        <w:spacing w:after="0" w:line="276" w:lineRule="auto"/>
        <w:jc w:val="center"/>
        <w:rPr>
          <w:rFonts w:asciiTheme="majorHAnsi" w:hAnsiTheme="majorHAnsi" w:cstheme="majorHAnsi"/>
          <w:b/>
          <w:bCs/>
          <w:sz w:val="24"/>
          <w:szCs w:val="24"/>
          <w:lang w:val="ro-MD"/>
        </w:rPr>
      </w:pPr>
    </w:p>
    <w:p w14:paraId="71981E71" w14:textId="18CDA13E" w:rsidR="008107EA" w:rsidRPr="009E5B39" w:rsidRDefault="008107EA" w:rsidP="003E291B">
      <w:pPr>
        <w:spacing w:after="0" w:line="276" w:lineRule="auto"/>
        <w:jc w:val="center"/>
        <w:rPr>
          <w:rFonts w:asciiTheme="majorHAnsi" w:hAnsiTheme="majorHAnsi" w:cstheme="majorHAnsi"/>
          <w:b/>
          <w:bCs/>
          <w:sz w:val="24"/>
          <w:szCs w:val="24"/>
          <w:lang w:val="ro-MD"/>
        </w:rPr>
      </w:pPr>
    </w:p>
    <w:p w14:paraId="23AF8C76" w14:textId="77777777" w:rsidR="0070045C" w:rsidRPr="009E5B39" w:rsidRDefault="0070045C" w:rsidP="003E291B">
      <w:pPr>
        <w:spacing w:after="0" w:line="276" w:lineRule="auto"/>
        <w:jc w:val="center"/>
        <w:rPr>
          <w:rFonts w:asciiTheme="majorHAnsi" w:hAnsiTheme="majorHAnsi" w:cstheme="majorHAnsi"/>
          <w:b/>
          <w:bCs/>
          <w:sz w:val="24"/>
          <w:szCs w:val="24"/>
          <w:lang w:val="ro-MD"/>
        </w:rPr>
      </w:pPr>
    </w:p>
    <w:p w14:paraId="012F5E58" w14:textId="77777777" w:rsidR="008107EA" w:rsidRPr="009E5B39" w:rsidRDefault="008107EA" w:rsidP="003E291B">
      <w:pPr>
        <w:spacing w:after="0" w:line="276" w:lineRule="auto"/>
        <w:jc w:val="center"/>
        <w:rPr>
          <w:rFonts w:asciiTheme="majorHAnsi" w:hAnsiTheme="majorHAnsi" w:cstheme="majorHAnsi"/>
          <w:b/>
          <w:bCs/>
          <w:sz w:val="24"/>
          <w:szCs w:val="24"/>
          <w:lang w:val="ro-MD"/>
        </w:rPr>
      </w:pPr>
    </w:p>
    <w:p w14:paraId="3634AE3B" w14:textId="20308A1E" w:rsidR="003E291B" w:rsidRPr="009E5B39" w:rsidRDefault="003E291B" w:rsidP="003E291B">
      <w:pPr>
        <w:spacing w:after="0" w:line="276" w:lineRule="auto"/>
        <w:jc w:val="center"/>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Analiza drepturilor patrimoniale ale apartamentelor din str. Carierei 5,</w:t>
      </w:r>
    </w:p>
    <w:p w14:paraId="1E0CEC85" w14:textId="77777777" w:rsidR="003E291B" w:rsidRPr="009E5B39" w:rsidRDefault="003E291B" w:rsidP="003E291B">
      <w:pPr>
        <w:spacing w:after="0" w:line="276" w:lineRule="auto"/>
        <w:jc w:val="center"/>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 xml:space="preserve">care urmau a fi transmise în </w:t>
      </w:r>
      <w:r w:rsidRPr="009E5B39">
        <w:rPr>
          <w:rFonts w:asciiTheme="majorHAnsi" w:hAnsiTheme="majorHAnsi" w:cstheme="majorHAnsi"/>
          <w:b/>
          <w:bCs/>
          <w:iCs/>
          <w:sz w:val="24"/>
          <w:szCs w:val="24"/>
          <w:lang w:val="ro-MD"/>
        </w:rPr>
        <w:t>proprietate municipală</w:t>
      </w:r>
    </w:p>
    <w:tbl>
      <w:tblPr>
        <w:tblW w:w="93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717"/>
        <w:gridCol w:w="2040"/>
        <w:gridCol w:w="1385"/>
        <w:gridCol w:w="3364"/>
      </w:tblGrid>
      <w:tr w:rsidR="00252A4B" w:rsidRPr="00697728" w14:paraId="3247E023" w14:textId="77777777" w:rsidTr="00697728">
        <w:tc>
          <w:tcPr>
            <w:tcW w:w="851" w:type="dxa"/>
            <w:shd w:val="clear" w:color="auto" w:fill="DEEAF6" w:themeFill="accent1" w:themeFillTint="33"/>
            <w:vAlign w:val="center"/>
          </w:tcPr>
          <w:p w14:paraId="70DA710C" w14:textId="77777777" w:rsidR="00252A4B" w:rsidRPr="00697728" w:rsidRDefault="00252A4B" w:rsidP="003E291B">
            <w:pPr>
              <w:spacing w:after="0"/>
              <w:jc w:val="center"/>
              <w:rPr>
                <w:rFonts w:asciiTheme="majorHAnsi" w:hAnsiTheme="majorHAnsi" w:cstheme="majorHAnsi"/>
                <w:b/>
                <w:bCs/>
                <w:sz w:val="18"/>
                <w:szCs w:val="18"/>
                <w:lang w:val="ro-MD"/>
              </w:rPr>
            </w:pPr>
            <w:r w:rsidRPr="00697728">
              <w:rPr>
                <w:rFonts w:asciiTheme="majorHAnsi" w:hAnsiTheme="majorHAnsi" w:cstheme="majorHAnsi"/>
                <w:b/>
                <w:bCs/>
                <w:sz w:val="18"/>
                <w:szCs w:val="18"/>
                <w:lang w:val="ro-MD"/>
              </w:rPr>
              <w:t>Nr. d/o</w:t>
            </w:r>
          </w:p>
        </w:tc>
        <w:tc>
          <w:tcPr>
            <w:tcW w:w="1717" w:type="dxa"/>
            <w:shd w:val="clear" w:color="auto" w:fill="DEEAF6" w:themeFill="accent1" w:themeFillTint="33"/>
            <w:vAlign w:val="center"/>
          </w:tcPr>
          <w:p w14:paraId="072FC52F" w14:textId="77777777" w:rsidR="00252A4B" w:rsidRPr="00697728" w:rsidRDefault="00252A4B" w:rsidP="003E291B">
            <w:pPr>
              <w:spacing w:after="0"/>
              <w:jc w:val="center"/>
              <w:rPr>
                <w:rFonts w:asciiTheme="majorHAnsi" w:hAnsiTheme="majorHAnsi" w:cstheme="majorHAnsi"/>
                <w:b/>
                <w:bCs/>
                <w:sz w:val="18"/>
                <w:szCs w:val="18"/>
                <w:lang w:val="ro-MD"/>
              </w:rPr>
            </w:pPr>
            <w:r w:rsidRPr="00697728">
              <w:rPr>
                <w:rFonts w:asciiTheme="majorHAnsi" w:hAnsiTheme="majorHAnsi" w:cstheme="majorHAnsi"/>
                <w:b/>
                <w:bCs/>
                <w:sz w:val="18"/>
                <w:szCs w:val="18"/>
                <w:lang w:val="ro-MD"/>
              </w:rPr>
              <w:t>Numărul cadastral</w:t>
            </w:r>
          </w:p>
        </w:tc>
        <w:tc>
          <w:tcPr>
            <w:tcW w:w="2040" w:type="dxa"/>
            <w:shd w:val="clear" w:color="auto" w:fill="DEEAF6" w:themeFill="accent1" w:themeFillTint="33"/>
            <w:vAlign w:val="center"/>
          </w:tcPr>
          <w:p w14:paraId="4EAC5E3C" w14:textId="77777777" w:rsidR="00252A4B" w:rsidRPr="00697728" w:rsidRDefault="00252A4B" w:rsidP="003E291B">
            <w:pPr>
              <w:spacing w:after="0"/>
              <w:jc w:val="center"/>
              <w:rPr>
                <w:rFonts w:asciiTheme="majorHAnsi" w:hAnsiTheme="majorHAnsi" w:cstheme="majorHAnsi"/>
                <w:b/>
                <w:bCs/>
                <w:sz w:val="18"/>
                <w:szCs w:val="18"/>
                <w:lang w:val="ro-MD"/>
              </w:rPr>
            </w:pPr>
            <w:r w:rsidRPr="00697728">
              <w:rPr>
                <w:rFonts w:asciiTheme="majorHAnsi" w:hAnsiTheme="majorHAnsi" w:cstheme="majorHAnsi"/>
                <w:b/>
                <w:bCs/>
                <w:sz w:val="18"/>
                <w:szCs w:val="18"/>
                <w:lang w:val="ro-MD"/>
              </w:rPr>
              <w:t>Adresa</w:t>
            </w:r>
          </w:p>
        </w:tc>
        <w:tc>
          <w:tcPr>
            <w:tcW w:w="1385" w:type="dxa"/>
            <w:shd w:val="clear" w:color="auto" w:fill="DEEAF6" w:themeFill="accent1" w:themeFillTint="33"/>
            <w:vAlign w:val="center"/>
          </w:tcPr>
          <w:p w14:paraId="45A80C8C" w14:textId="53E67ECD" w:rsidR="00252A4B" w:rsidRPr="00697728" w:rsidRDefault="00252A4B" w:rsidP="003E291B">
            <w:pPr>
              <w:spacing w:after="0"/>
              <w:jc w:val="center"/>
              <w:rPr>
                <w:rFonts w:asciiTheme="majorHAnsi" w:hAnsiTheme="majorHAnsi" w:cstheme="majorHAnsi"/>
                <w:b/>
                <w:bCs/>
                <w:sz w:val="18"/>
                <w:szCs w:val="18"/>
                <w:lang w:val="ro-MD"/>
              </w:rPr>
            </w:pPr>
            <w:r w:rsidRPr="00697728">
              <w:rPr>
                <w:rFonts w:asciiTheme="majorHAnsi" w:hAnsiTheme="majorHAnsi" w:cstheme="majorHAnsi"/>
                <w:b/>
                <w:bCs/>
                <w:sz w:val="18"/>
                <w:szCs w:val="18"/>
                <w:lang w:val="ro-MD"/>
              </w:rPr>
              <w:t>Suprafața (m</w:t>
            </w:r>
            <w:r w:rsidRPr="00697728">
              <w:rPr>
                <w:rFonts w:asciiTheme="majorHAnsi" w:hAnsiTheme="majorHAnsi" w:cstheme="majorHAnsi"/>
                <w:b/>
                <w:bCs/>
                <w:sz w:val="18"/>
                <w:szCs w:val="18"/>
                <w:vertAlign w:val="superscript"/>
                <w:lang w:val="ro-MD"/>
              </w:rPr>
              <w:t>2</w:t>
            </w:r>
            <w:r w:rsidRPr="00697728">
              <w:rPr>
                <w:rFonts w:asciiTheme="majorHAnsi" w:hAnsiTheme="majorHAnsi" w:cstheme="majorHAnsi"/>
                <w:b/>
                <w:bCs/>
                <w:sz w:val="18"/>
                <w:szCs w:val="18"/>
                <w:lang w:val="ro-MD"/>
              </w:rPr>
              <w:t>)</w:t>
            </w:r>
          </w:p>
        </w:tc>
        <w:tc>
          <w:tcPr>
            <w:tcW w:w="3364" w:type="dxa"/>
            <w:shd w:val="clear" w:color="auto" w:fill="DEEAF6" w:themeFill="accent1" w:themeFillTint="33"/>
            <w:vAlign w:val="center"/>
          </w:tcPr>
          <w:p w14:paraId="31555919" w14:textId="77777777" w:rsidR="00252A4B" w:rsidRPr="00697728" w:rsidRDefault="00252A4B" w:rsidP="003E291B">
            <w:pPr>
              <w:spacing w:after="0"/>
              <w:jc w:val="center"/>
              <w:rPr>
                <w:rFonts w:asciiTheme="majorHAnsi" w:hAnsiTheme="majorHAnsi" w:cstheme="majorHAnsi"/>
                <w:b/>
                <w:bCs/>
                <w:sz w:val="18"/>
                <w:szCs w:val="18"/>
                <w:lang w:val="ro-MD"/>
              </w:rPr>
            </w:pPr>
            <w:r w:rsidRPr="00697728">
              <w:rPr>
                <w:rFonts w:asciiTheme="majorHAnsi" w:hAnsiTheme="majorHAnsi" w:cstheme="majorHAnsi"/>
                <w:b/>
                <w:bCs/>
                <w:sz w:val="18"/>
                <w:szCs w:val="18"/>
                <w:lang w:val="ro-MD"/>
              </w:rPr>
              <w:t>Temeiul înscrierii dreptului de proprietate</w:t>
            </w:r>
          </w:p>
        </w:tc>
      </w:tr>
      <w:tr w:rsidR="00252A4B" w:rsidRPr="00697728" w14:paraId="7AFE3BE9" w14:textId="77777777" w:rsidTr="00697728">
        <w:tc>
          <w:tcPr>
            <w:tcW w:w="851" w:type="dxa"/>
            <w:vAlign w:val="center"/>
          </w:tcPr>
          <w:p w14:paraId="0A6E6035"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1</w:t>
            </w:r>
          </w:p>
        </w:tc>
        <w:tc>
          <w:tcPr>
            <w:tcW w:w="1717" w:type="dxa"/>
            <w:vAlign w:val="center"/>
          </w:tcPr>
          <w:p w14:paraId="476D7B4A"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0100415.014.06.071</w:t>
            </w:r>
          </w:p>
        </w:tc>
        <w:tc>
          <w:tcPr>
            <w:tcW w:w="2040" w:type="dxa"/>
          </w:tcPr>
          <w:p w14:paraId="4E1F9BE6"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Str. Carierei 5/D, ap. 71</w:t>
            </w:r>
          </w:p>
        </w:tc>
        <w:tc>
          <w:tcPr>
            <w:tcW w:w="1385" w:type="dxa"/>
            <w:vAlign w:val="center"/>
          </w:tcPr>
          <w:p w14:paraId="2DACB47A"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40.80</w:t>
            </w:r>
          </w:p>
        </w:tc>
        <w:tc>
          <w:tcPr>
            <w:tcW w:w="3364" w:type="dxa"/>
            <w:vAlign w:val="center"/>
          </w:tcPr>
          <w:p w14:paraId="3ADAE7DF"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Contract de donație nr.4906 din 12.09.2019</w:t>
            </w:r>
          </w:p>
        </w:tc>
      </w:tr>
      <w:tr w:rsidR="00252A4B" w:rsidRPr="00697728" w14:paraId="35D063D1" w14:textId="77777777" w:rsidTr="00697728">
        <w:tc>
          <w:tcPr>
            <w:tcW w:w="851" w:type="dxa"/>
            <w:vAlign w:val="center"/>
          </w:tcPr>
          <w:p w14:paraId="064D5B0D"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2</w:t>
            </w:r>
          </w:p>
        </w:tc>
        <w:tc>
          <w:tcPr>
            <w:tcW w:w="1717" w:type="dxa"/>
            <w:vAlign w:val="center"/>
          </w:tcPr>
          <w:p w14:paraId="60AAA982"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0100415.014.06.139</w:t>
            </w:r>
          </w:p>
        </w:tc>
        <w:tc>
          <w:tcPr>
            <w:tcW w:w="2040" w:type="dxa"/>
          </w:tcPr>
          <w:p w14:paraId="0E35CB61"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Str. Carierei 5/D, ap. 139</w:t>
            </w:r>
          </w:p>
        </w:tc>
        <w:tc>
          <w:tcPr>
            <w:tcW w:w="1385" w:type="dxa"/>
            <w:vAlign w:val="center"/>
          </w:tcPr>
          <w:p w14:paraId="40C7F1F9"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44.30</w:t>
            </w:r>
          </w:p>
        </w:tc>
        <w:tc>
          <w:tcPr>
            <w:tcW w:w="3364" w:type="dxa"/>
            <w:vAlign w:val="center"/>
          </w:tcPr>
          <w:p w14:paraId="387684C6"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Contract de v/c nr. 1-1147 din 13.07.2021</w:t>
            </w:r>
          </w:p>
        </w:tc>
      </w:tr>
      <w:tr w:rsidR="00252A4B" w:rsidRPr="00697728" w14:paraId="237F1B0B" w14:textId="77777777" w:rsidTr="00697728">
        <w:tc>
          <w:tcPr>
            <w:tcW w:w="851" w:type="dxa"/>
            <w:vAlign w:val="center"/>
          </w:tcPr>
          <w:p w14:paraId="16921222"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3</w:t>
            </w:r>
          </w:p>
        </w:tc>
        <w:tc>
          <w:tcPr>
            <w:tcW w:w="1717" w:type="dxa"/>
            <w:vAlign w:val="center"/>
          </w:tcPr>
          <w:p w14:paraId="7CCE6795"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0100415.014.07.002</w:t>
            </w:r>
          </w:p>
        </w:tc>
        <w:tc>
          <w:tcPr>
            <w:tcW w:w="2040" w:type="dxa"/>
          </w:tcPr>
          <w:p w14:paraId="1568B90A" w14:textId="273D9133" w:rsidR="00252A4B" w:rsidRPr="00697728" w:rsidRDefault="00252A4B" w:rsidP="00D862D1">
            <w:pPr>
              <w:spacing w:after="0"/>
              <w:rPr>
                <w:rFonts w:asciiTheme="majorHAnsi" w:hAnsiTheme="majorHAnsi" w:cstheme="majorHAnsi"/>
                <w:sz w:val="18"/>
                <w:szCs w:val="18"/>
                <w:lang w:val="ro-MD"/>
              </w:rPr>
            </w:pPr>
            <w:r w:rsidRPr="00697728">
              <w:rPr>
                <w:rFonts w:asciiTheme="majorHAnsi" w:hAnsiTheme="majorHAnsi" w:cstheme="majorHAnsi"/>
                <w:sz w:val="18"/>
                <w:szCs w:val="18"/>
                <w:lang w:val="ro-MD"/>
              </w:rPr>
              <w:t xml:space="preserve">  Str. Carierei 5/E, ap. 2</w:t>
            </w:r>
          </w:p>
        </w:tc>
        <w:tc>
          <w:tcPr>
            <w:tcW w:w="1385" w:type="dxa"/>
            <w:vAlign w:val="center"/>
          </w:tcPr>
          <w:p w14:paraId="6D8F7C7D"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33.70</w:t>
            </w:r>
          </w:p>
        </w:tc>
        <w:tc>
          <w:tcPr>
            <w:tcW w:w="3364" w:type="dxa"/>
            <w:vAlign w:val="center"/>
          </w:tcPr>
          <w:p w14:paraId="1EFE7945"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Contract de v/c nr. 1-3323 din 20.05.2022</w:t>
            </w:r>
          </w:p>
        </w:tc>
      </w:tr>
      <w:tr w:rsidR="00252A4B" w:rsidRPr="00697728" w14:paraId="1B81FF89" w14:textId="77777777" w:rsidTr="00697728">
        <w:tc>
          <w:tcPr>
            <w:tcW w:w="851" w:type="dxa"/>
            <w:vAlign w:val="center"/>
          </w:tcPr>
          <w:p w14:paraId="5E3D39B4"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4</w:t>
            </w:r>
          </w:p>
        </w:tc>
        <w:tc>
          <w:tcPr>
            <w:tcW w:w="1717" w:type="dxa"/>
            <w:vAlign w:val="center"/>
          </w:tcPr>
          <w:p w14:paraId="6DDB9DE2"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0100415.014.07.069</w:t>
            </w:r>
          </w:p>
        </w:tc>
        <w:tc>
          <w:tcPr>
            <w:tcW w:w="2040" w:type="dxa"/>
          </w:tcPr>
          <w:p w14:paraId="1D44CBBC" w14:textId="06951895" w:rsidR="00252A4B" w:rsidRPr="00697728" w:rsidRDefault="00252A4B" w:rsidP="00D862D1">
            <w:pPr>
              <w:spacing w:after="0"/>
              <w:rPr>
                <w:rFonts w:asciiTheme="majorHAnsi" w:hAnsiTheme="majorHAnsi" w:cstheme="majorHAnsi"/>
                <w:sz w:val="18"/>
                <w:szCs w:val="18"/>
                <w:lang w:val="ro-MD"/>
              </w:rPr>
            </w:pPr>
            <w:r w:rsidRPr="00697728">
              <w:rPr>
                <w:rFonts w:asciiTheme="majorHAnsi" w:hAnsiTheme="majorHAnsi" w:cstheme="majorHAnsi"/>
                <w:sz w:val="18"/>
                <w:szCs w:val="18"/>
                <w:lang w:val="ro-MD"/>
              </w:rPr>
              <w:t xml:space="preserve">  Str. Carierei 5/E, ap. 69</w:t>
            </w:r>
          </w:p>
        </w:tc>
        <w:tc>
          <w:tcPr>
            <w:tcW w:w="1385" w:type="dxa"/>
            <w:vAlign w:val="center"/>
          </w:tcPr>
          <w:p w14:paraId="73489CAC"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42.00</w:t>
            </w:r>
          </w:p>
        </w:tc>
        <w:tc>
          <w:tcPr>
            <w:tcW w:w="3364" w:type="dxa"/>
            <w:vAlign w:val="center"/>
          </w:tcPr>
          <w:p w14:paraId="3B17CF8C" w14:textId="0B9CC8C0" w:rsidR="00252A4B" w:rsidRPr="00697728" w:rsidRDefault="00252A4B" w:rsidP="00D862D1">
            <w:pPr>
              <w:spacing w:after="0"/>
              <w:rPr>
                <w:rFonts w:asciiTheme="majorHAnsi" w:hAnsiTheme="majorHAnsi" w:cstheme="majorHAnsi"/>
                <w:sz w:val="18"/>
                <w:szCs w:val="18"/>
                <w:lang w:val="ro-MD"/>
              </w:rPr>
            </w:pPr>
            <w:r w:rsidRPr="00697728">
              <w:rPr>
                <w:rFonts w:asciiTheme="majorHAnsi" w:hAnsiTheme="majorHAnsi" w:cstheme="majorHAnsi"/>
                <w:sz w:val="18"/>
                <w:szCs w:val="18"/>
                <w:lang w:val="ro-MD"/>
              </w:rPr>
              <w:t xml:space="preserve"> Contract de v/c nr. 1-24 din 25.06.2021</w:t>
            </w:r>
          </w:p>
        </w:tc>
      </w:tr>
      <w:tr w:rsidR="00252A4B" w:rsidRPr="00697728" w14:paraId="4ACE6B79" w14:textId="77777777" w:rsidTr="00697728">
        <w:tc>
          <w:tcPr>
            <w:tcW w:w="851" w:type="dxa"/>
            <w:vAlign w:val="center"/>
          </w:tcPr>
          <w:p w14:paraId="6534DDCB"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5</w:t>
            </w:r>
          </w:p>
        </w:tc>
        <w:tc>
          <w:tcPr>
            <w:tcW w:w="1717" w:type="dxa"/>
            <w:vAlign w:val="center"/>
          </w:tcPr>
          <w:p w14:paraId="382DA956"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0100415.014.07.074</w:t>
            </w:r>
          </w:p>
        </w:tc>
        <w:tc>
          <w:tcPr>
            <w:tcW w:w="2040" w:type="dxa"/>
          </w:tcPr>
          <w:p w14:paraId="4AC613FF" w14:textId="2B4E0F27" w:rsidR="00252A4B" w:rsidRPr="00697728" w:rsidRDefault="00252A4B" w:rsidP="00D862D1">
            <w:pPr>
              <w:spacing w:after="0"/>
              <w:rPr>
                <w:rFonts w:asciiTheme="majorHAnsi" w:hAnsiTheme="majorHAnsi" w:cstheme="majorHAnsi"/>
                <w:sz w:val="18"/>
                <w:szCs w:val="18"/>
                <w:lang w:val="ro-MD"/>
              </w:rPr>
            </w:pPr>
            <w:r w:rsidRPr="00697728">
              <w:rPr>
                <w:rFonts w:asciiTheme="majorHAnsi" w:hAnsiTheme="majorHAnsi" w:cstheme="majorHAnsi"/>
                <w:sz w:val="18"/>
                <w:szCs w:val="18"/>
                <w:lang w:val="ro-MD"/>
              </w:rPr>
              <w:t xml:space="preserve">  Str. Carierei 5/E, ap. 74</w:t>
            </w:r>
          </w:p>
        </w:tc>
        <w:tc>
          <w:tcPr>
            <w:tcW w:w="1385" w:type="dxa"/>
            <w:vAlign w:val="center"/>
          </w:tcPr>
          <w:p w14:paraId="2BF9E99E"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60.40</w:t>
            </w:r>
          </w:p>
        </w:tc>
        <w:tc>
          <w:tcPr>
            <w:tcW w:w="3364" w:type="dxa"/>
            <w:vAlign w:val="center"/>
          </w:tcPr>
          <w:p w14:paraId="3DF067E4"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Contract de v/c nr. 1-1779 din 19.07.2021</w:t>
            </w:r>
          </w:p>
        </w:tc>
      </w:tr>
      <w:tr w:rsidR="00252A4B" w:rsidRPr="00697728" w14:paraId="43791B8B" w14:textId="77777777" w:rsidTr="00697728">
        <w:tc>
          <w:tcPr>
            <w:tcW w:w="851" w:type="dxa"/>
            <w:vAlign w:val="center"/>
          </w:tcPr>
          <w:p w14:paraId="6BFDCC08"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6</w:t>
            </w:r>
          </w:p>
        </w:tc>
        <w:tc>
          <w:tcPr>
            <w:tcW w:w="1717" w:type="dxa"/>
            <w:vAlign w:val="center"/>
          </w:tcPr>
          <w:p w14:paraId="02894F43"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0100415.014.07.075</w:t>
            </w:r>
          </w:p>
        </w:tc>
        <w:tc>
          <w:tcPr>
            <w:tcW w:w="2040" w:type="dxa"/>
          </w:tcPr>
          <w:p w14:paraId="68B276A8" w14:textId="214D6455" w:rsidR="00252A4B" w:rsidRPr="00697728" w:rsidRDefault="00252A4B" w:rsidP="00D862D1">
            <w:pPr>
              <w:spacing w:after="0"/>
              <w:rPr>
                <w:rFonts w:asciiTheme="majorHAnsi" w:hAnsiTheme="majorHAnsi" w:cstheme="majorHAnsi"/>
                <w:sz w:val="18"/>
                <w:szCs w:val="18"/>
                <w:lang w:val="ro-MD"/>
              </w:rPr>
            </w:pPr>
            <w:r w:rsidRPr="00697728">
              <w:rPr>
                <w:rFonts w:asciiTheme="majorHAnsi" w:hAnsiTheme="majorHAnsi" w:cstheme="majorHAnsi"/>
                <w:sz w:val="18"/>
                <w:szCs w:val="18"/>
                <w:lang w:val="ro-MD"/>
              </w:rPr>
              <w:t xml:space="preserve">  Str. Carierei 5/E, ap. 75</w:t>
            </w:r>
          </w:p>
        </w:tc>
        <w:tc>
          <w:tcPr>
            <w:tcW w:w="1385" w:type="dxa"/>
            <w:vAlign w:val="center"/>
          </w:tcPr>
          <w:p w14:paraId="217F0984"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34.10</w:t>
            </w:r>
          </w:p>
        </w:tc>
        <w:tc>
          <w:tcPr>
            <w:tcW w:w="3364" w:type="dxa"/>
            <w:vAlign w:val="center"/>
          </w:tcPr>
          <w:p w14:paraId="16C29FCC" w14:textId="72068787" w:rsidR="00252A4B" w:rsidRPr="00697728" w:rsidRDefault="00252A4B" w:rsidP="00D862D1">
            <w:pPr>
              <w:spacing w:after="0"/>
              <w:rPr>
                <w:rFonts w:asciiTheme="majorHAnsi" w:hAnsiTheme="majorHAnsi" w:cstheme="majorHAnsi"/>
                <w:sz w:val="18"/>
                <w:szCs w:val="18"/>
                <w:lang w:val="ro-MD"/>
              </w:rPr>
            </w:pPr>
            <w:r w:rsidRPr="00697728">
              <w:rPr>
                <w:rFonts w:asciiTheme="majorHAnsi" w:hAnsiTheme="majorHAnsi" w:cstheme="majorHAnsi"/>
                <w:sz w:val="18"/>
                <w:szCs w:val="18"/>
                <w:lang w:val="ro-MD"/>
              </w:rPr>
              <w:t xml:space="preserve"> Contract de v/c nr. 1-4965 din 11.06.2021</w:t>
            </w:r>
          </w:p>
        </w:tc>
      </w:tr>
      <w:tr w:rsidR="00252A4B" w:rsidRPr="00697728" w14:paraId="3F4E6175" w14:textId="77777777" w:rsidTr="00697728">
        <w:tc>
          <w:tcPr>
            <w:tcW w:w="851" w:type="dxa"/>
            <w:vAlign w:val="center"/>
          </w:tcPr>
          <w:p w14:paraId="18227373"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7</w:t>
            </w:r>
          </w:p>
        </w:tc>
        <w:tc>
          <w:tcPr>
            <w:tcW w:w="1717" w:type="dxa"/>
            <w:vAlign w:val="center"/>
          </w:tcPr>
          <w:p w14:paraId="7CB3AEFB"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0100415.014.07.149</w:t>
            </w:r>
          </w:p>
        </w:tc>
        <w:tc>
          <w:tcPr>
            <w:tcW w:w="2040" w:type="dxa"/>
          </w:tcPr>
          <w:p w14:paraId="144CD9D5"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Str. Carierei 5/E, ap. 149</w:t>
            </w:r>
          </w:p>
        </w:tc>
        <w:tc>
          <w:tcPr>
            <w:tcW w:w="1385" w:type="dxa"/>
            <w:vAlign w:val="center"/>
          </w:tcPr>
          <w:p w14:paraId="634D8396"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43.40</w:t>
            </w:r>
          </w:p>
        </w:tc>
        <w:tc>
          <w:tcPr>
            <w:tcW w:w="3364" w:type="dxa"/>
            <w:vAlign w:val="center"/>
          </w:tcPr>
          <w:p w14:paraId="29550FDD"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Contract de v/c nr. 1-1895 din 29.07.2021</w:t>
            </w:r>
          </w:p>
        </w:tc>
      </w:tr>
      <w:tr w:rsidR="00252A4B" w:rsidRPr="00697728" w14:paraId="0D1D4DEB" w14:textId="77777777" w:rsidTr="00697728">
        <w:tc>
          <w:tcPr>
            <w:tcW w:w="851" w:type="dxa"/>
            <w:vAlign w:val="center"/>
          </w:tcPr>
          <w:p w14:paraId="3CFDACFB"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8</w:t>
            </w:r>
          </w:p>
        </w:tc>
        <w:tc>
          <w:tcPr>
            <w:tcW w:w="1717" w:type="dxa"/>
            <w:vAlign w:val="center"/>
          </w:tcPr>
          <w:p w14:paraId="6AE1ED1A"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0100415.014.07.151</w:t>
            </w:r>
          </w:p>
        </w:tc>
        <w:tc>
          <w:tcPr>
            <w:tcW w:w="2040" w:type="dxa"/>
          </w:tcPr>
          <w:p w14:paraId="7851E911"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Str. Carierei 5/E, ap. 151</w:t>
            </w:r>
          </w:p>
        </w:tc>
        <w:tc>
          <w:tcPr>
            <w:tcW w:w="1385" w:type="dxa"/>
            <w:vAlign w:val="center"/>
          </w:tcPr>
          <w:p w14:paraId="79671D4B"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37.70</w:t>
            </w:r>
          </w:p>
        </w:tc>
        <w:tc>
          <w:tcPr>
            <w:tcW w:w="3364" w:type="dxa"/>
            <w:vAlign w:val="center"/>
          </w:tcPr>
          <w:p w14:paraId="21F9F449"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Contract de v/c nr. 1-5417 din 23.06.2021</w:t>
            </w:r>
          </w:p>
        </w:tc>
      </w:tr>
      <w:tr w:rsidR="00252A4B" w:rsidRPr="00697728" w14:paraId="7A317373" w14:textId="77777777" w:rsidTr="00697728">
        <w:tc>
          <w:tcPr>
            <w:tcW w:w="851" w:type="dxa"/>
            <w:vAlign w:val="center"/>
          </w:tcPr>
          <w:p w14:paraId="3842E918"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9</w:t>
            </w:r>
          </w:p>
        </w:tc>
        <w:tc>
          <w:tcPr>
            <w:tcW w:w="1717" w:type="dxa"/>
            <w:vAlign w:val="center"/>
          </w:tcPr>
          <w:p w14:paraId="79F50473"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0100415.014.07.154</w:t>
            </w:r>
          </w:p>
        </w:tc>
        <w:tc>
          <w:tcPr>
            <w:tcW w:w="2040" w:type="dxa"/>
          </w:tcPr>
          <w:p w14:paraId="47B89B99"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Str. Carierei 5/E, ap. 154</w:t>
            </w:r>
          </w:p>
        </w:tc>
        <w:tc>
          <w:tcPr>
            <w:tcW w:w="1385" w:type="dxa"/>
            <w:vAlign w:val="center"/>
          </w:tcPr>
          <w:p w14:paraId="1036251C"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42.20</w:t>
            </w:r>
          </w:p>
        </w:tc>
        <w:tc>
          <w:tcPr>
            <w:tcW w:w="3364" w:type="dxa"/>
            <w:vAlign w:val="center"/>
          </w:tcPr>
          <w:p w14:paraId="4356F63E"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Contract de v/c nr. 1-6499 din 05.08.2021</w:t>
            </w:r>
          </w:p>
        </w:tc>
      </w:tr>
      <w:tr w:rsidR="00252A4B" w:rsidRPr="00697728" w14:paraId="29F1693F" w14:textId="77777777" w:rsidTr="00697728">
        <w:trPr>
          <w:trHeight w:val="196"/>
        </w:trPr>
        <w:tc>
          <w:tcPr>
            <w:tcW w:w="851" w:type="dxa"/>
            <w:vAlign w:val="center"/>
          </w:tcPr>
          <w:p w14:paraId="5626F531"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10</w:t>
            </w:r>
          </w:p>
        </w:tc>
        <w:tc>
          <w:tcPr>
            <w:tcW w:w="1717" w:type="dxa"/>
            <w:vAlign w:val="center"/>
          </w:tcPr>
          <w:p w14:paraId="2F9940BA"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0100415.014.07.155</w:t>
            </w:r>
          </w:p>
        </w:tc>
        <w:tc>
          <w:tcPr>
            <w:tcW w:w="2040" w:type="dxa"/>
          </w:tcPr>
          <w:p w14:paraId="2554F6F0"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Str. Carierei 5/E, ap. 155</w:t>
            </w:r>
          </w:p>
        </w:tc>
        <w:tc>
          <w:tcPr>
            <w:tcW w:w="1385" w:type="dxa"/>
            <w:vAlign w:val="center"/>
          </w:tcPr>
          <w:p w14:paraId="47922716" w14:textId="77777777" w:rsidR="00252A4B" w:rsidRPr="00697728" w:rsidRDefault="00252A4B" w:rsidP="003E291B">
            <w:pPr>
              <w:spacing w:after="0"/>
              <w:jc w:val="center"/>
              <w:rPr>
                <w:rFonts w:asciiTheme="majorHAnsi" w:hAnsiTheme="majorHAnsi" w:cstheme="majorHAnsi"/>
                <w:sz w:val="18"/>
                <w:szCs w:val="18"/>
                <w:lang w:val="ro-MD"/>
              </w:rPr>
            </w:pPr>
            <w:r w:rsidRPr="00697728">
              <w:rPr>
                <w:rFonts w:asciiTheme="majorHAnsi" w:hAnsiTheme="majorHAnsi" w:cstheme="majorHAnsi"/>
                <w:sz w:val="18"/>
                <w:szCs w:val="18"/>
                <w:lang w:val="ro-MD"/>
              </w:rPr>
              <w:t>43.50</w:t>
            </w:r>
          </w:p>
        </w:tc>
        <w:tc>
          <w:tcPr>
            <w:tcW w:w="3364" w:type="dxa"/>
            <w:vAlign w:val="center"/>
          </w:tcPr>
          <w:p w14:paraId="0464CBF7" w14:textId="77A71E4D" w:rsidR="00252A4B" w:rsidRPr="00697728" w:rsidRDefault="00252A4B" w:rsidP="00D862D1">
            <w:pPr>
              <w:spacing w:after="0"/>
              <w:rPr>
                <w:rFonts w:asciiTheme="majorHAnsi" w:hAnsiTheme="majorHAnsi" w:cstheme="majorHAnsi"/>
                <w:sz w:val="18"/>
                <w:szCs w:val="18"/>
                <w:lang w:val="ro-MD"/>
              </w:rPr>
            </w:pPr>
            <w:r w:rsidRPr="00697728">
              <w:rPr>
                <w:rFonts w:asciiTheme="majorHAnsi" w:hAnsiTheme="majorHAnsi" w:cstheme="majorHAnsi"/>
                <w:sz w:val="18"/>
                <w:szCs w:val="18"/>
                <w:lang w:val="ro-MD"/>
              </w:rPr>
              <w:t xml:space="preserve"> Contract de v/c nr. 1-699 din 02.07.2021</w:t>
            </w:r>
          </w:p>
        </w:tc>
      </w:tr>
    </w:tbl>
    <w:p w14:paraId="2D5F574D" w14:textId="77777777" w:rsidR="003E291B" w:rsidRPr="009E5B39" w:rsidRDefault="003E291B" w:rsidP="003E291B">
      <w:pPr>
        <w:spacing w:after="0" w:line="276" w:lineRule="auto"/>
        <w:jc w:val="center"/>
        <w:rPr>
          <w:rFonts w:asciiTheme="majorHAnsi" w:hAnsiTheme="majorHAnsi" w:cstheme="majorHAnsi"/>
          <w:sz w:val="24"/>
          <w:szCs w:val="24"/>
          <w:lang w:val="ro-MD"/>
        </w:rPr>
      </w:pPr>
    </w:p>
    <w:p w14:paraId="3DA4EE67" w14:textId="7C77097C" w:rsidR="003E291B" w:rsidRPr="009E5B39" w:rsidRDefault="003E291B" w:rsidP="003E291B">
      <w:pPr>
        <w:spacing w:after="0" w:line="276" w:lineRule="auto"/>
        <w:ind w:firstLine="567"/>
        <w:jc w:val="both"/>
        <w:rPr>
          <w:rFonts w:asciiTheme="majorHAnsi" w:hAnsiTheme="majorHAnsi" w:cstheme="majorHAnsi"/>
          <w:b/>
          <w:sz w:val="24"/>
          <w:szCs w:val="24"/>
          <w:lang w:val="ro-MD"/>
        </w:rPr>
      </w:pPr>
      <w:r w:rsidRPr="009E5B39">
        <w:rPr>
          <w:rFonts w:asciiTheme="majorHAnsi" w:hAnsiTheme="majorHAnsi" w:cstheme="majorHAnsi"/>
          <w:bCs/>
          <w:iCs/>
          <w:sz w:val="24"/>
          <w:szCs w:val="24"/>
          <w:lang w:val="ro-MD"/>
        </w:rPr>
        <w:t xml:space="preserve">Totodată, este </w:t>
      </w:r>
      <w:r w:rsidR="0049194C" w:rsidRPr="009E5B39">
        <w:rPr>
          <w:rFonts w:asciiTheme="majorHAnsi" w:hAnsiTheme="majorHAnsi" w:cstheme="majorHAnsi"/>
          <w:bCs/>
          <w:iCs/>
          <w:sz w:val="24"/>
          <w:szCs w:val="24"/>
          <w:lang w:val="ro-MD"/>
        </w:rPr>
        <w:t xml:space="preserve">necesar </w:t>
      </w:r>
      <w:r w:rsidRPr="009E5B39">
        <w:rPr>
          <w:rFonts w:asciiTheme="majorHAnsi" w:hAnsiTheme="majorHAnsi" w:cstheme="majorHAnsi"/>
          <w:bCs/>
          <w:iCs/>
          <w:sz w:val="24"/>
          <w:szCs w:val="24"/>
          <w:lang w:val="ro-MD"/>
        </w:rPr>
        <w:t>de menționat că Primări</w:t>
      </w:r>
      <w:r w:rsidR="0049194C" w:rsidRPr="009E5B39">
        <w:rPr>
          <w:rFonts w:asciiTheme="majorHAnsi" w:hAnsiTheme="majorHAnsi" w:cstheme="majorHAnsi"/>
          <w:bCs/>
          <w:iCs/>
          <w:sz w:val="24"/>
          <w:szCs w:val="24"/>
          <w:lang w:val="ro-MD"/>
        </w:rPr>
        <w:t>a</w:t>
      </w:r>
      <w:r w:rsidRPr="009E5B39">
        <w:rPr>
          <w:rFonts w:asciiTheme="majorHAnsi" w:hAnsiTheme="majorHAnsi" w:cstheme="majorHAnsi"/>
          <w:bCs/>
          <w:iCs/>
          <w:sz w:val="24"/>
          <w:szCs w:val="24"/>
          <w:lang w:val="ro-MD"/>
        </w:rPr>
        <w:t xml:space="preserve"> mun. Chișinău, DGAURF și DGLCA</w:t>
      </w:r>
      <w:r w:rsidR="0049194C"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până în prezent, nu au executat cerința nr. 2.1.7. din </w:t>
      </w:r>
      <w:r w:rsidR="009C69A2" w:rsidRPr="009E5B39">
        <w:rPr>
          <w:rFonts w:asciiTheme="majorHAnsi" w:hAnsiTheme="majorHAnsi" w:cstheme="majorHAnsi"/>
          <w:bCs/>
          <w:iCs/>
          <w:sz w:val="24"/>
          <w:szCs w:val="24"/>
          <w:lang w:val="ro-MD"/>
        </w:rPr>
        <w:t>HCC</w:t>
      </w:r>
      <w:r w:rsidRPr="009E5B39">
        <w:rPr>
          <w:rFonts w:asciiTheme="majorHAnsi" w:hAnsiTheme="majorHAnsi" w:cstheme="majorHAnsi"/>
          <w:bCs/>
          <w:iCs/>
          <w:sz w:val="24"/>
          <w:szCs w:val="24"/>
          <w:lang w:val="ro-MD"/>
        </w:rPr>
        <w:t xml:space="preserve"> nr. 2 din 13.02.2018</w:t>
      </w:r>
      <w:r w:rsidRPr="009E5B39">
        <w:rPr>
          <w:rFonts w:asciiTheme="majorHAnsi" w:hAnsiTheme="majorHAnsi" w:cstheme="majorHAnsi"/>
          <w:bCs/>
          <w:iCs/>
          <w:sz w:val="24"/>
          <w:szCs w:val="24"/>
          <w:vertAlign w:val="superscript"/>
          <w:lang w:val="ro-MD"/>
        </w:rPr>
        <w:footnoteReference w:id="261"/>
      </w:r>
      <w:r w:rsidRPr="009E5B39">
        <w:rPr>
          <w:rFonts w:asciiTheme="majorHAnsi" w:hAnsiTheme="majorHAnsi" w:cstheme="majorHAnsi"/>
          <w:bCs/>
          <w:iCs/>
          <w:sz w:val="24"/>
          <w:szCs w:val="24"/>
          <w:lang w:val="ro-MD"/>
        </w:rPr>
        <w:t>, potrivit căreia</w:t>
      </w:r>
      <w:r w:rsidR="0049194C"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autoritățile publice locale din mun. Chișinău, în termen de </w:t>
      </w:r>
      <w:r w:rsidRPr="009E5B39">
        <w:rPr>
          <w:rFonts w:asciiTheme="majorHAnsi" w:hAnsiTheme="majorHAnsi" w:cstheme="majorHAnsi"/>
          <w:sz w:val="24"/>
          <w:szCs w:val="24"/>
          <w:lang w:val="ro-MD" w:eastAsia="ru-RU"/>
        </w:rPr>
        <w:t xml:space="preserve">12 luni, urmau să </w:t>
      </w:r>
      <w:r w:rsidRPr="009E5B39">
        <w:rPr>
          <w:rFonts w:asciiTheme="majorHAnsi" w:hAnsiTheme="majorHAnsi" w:cstheme="majorHAnsi"/>
          <w:sz w:val="24"/>
          <w:szCs w:val="24"/>
          <w:lang w:val="ro-MD"/>
        </w:rPr>
        <w:t>revizuiască contractel</w:t>
      </w:r>
      <w:r w:rsidR="0049194C" w:rsidRPr="009E5B39">
        <w:rPr>
          <w:rFonts w:asciiTheme="majorHAnsi" w:hAnsiTheme="majorHAnsi" w:cstheme="majorHAnsi"/>
          <w:sz w:val="24"/>
          <w:szCs w:val="24"/>
          <w:lang w:val="ro-MD"/>
        </w:rPr>
        <w:t>e</w:t>
      </w:r>
      <w:r w:rsidRPr="009E5B39">
        <w:rPr>
          <w:rFonts w:asciiTheme="majorHAnsi" w:hAnsiTheme="majorHAnsi" w:cstheme="majorHAnsi"/>
          <w:sz w:val="24"/>
          <w:szCs w:val="24"/>
          <w:lang w:val="ro-MD"/>
        </w:rPr>
        <w:t xml:space="preserve"> de dare în arendă a terenurilor pentru efectuarea construcțiilor (cu excepția celor acordate în baza licitațiilor publice), examinând posibilitatea subrogării în drepturi și obligațiuni a arendatorului</w:t>
      </w:r>
      <w:r w:rsidR="0049194C"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care a transmis terenul unui investitor în baza contractului de societate civilă. Astfel, după 05.08.2020</w:t>
      </w:r>
      <w:r w:rsidR="00D4734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APL </w:t>
      </w:r>
      <w:r w:rsidR="00D47344"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mun. Chișinău era obligat</w:t>
      </w:r>
      <w:r w:rsidR="00D47344"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să subroge pe SRL „Forscont Exim” în contractul privind constituirea unei societăți civile pentru construcția unui complex imobiliar, încheiat cu </w:t>
      </w:r>
      <w:r w:rsidRPr="009E5B39">
        <w:rPr>
          <w:rFonts w:asciiTheme="majorHAnsi" w:hAnsiTheme="majorHAnsi" w:cstheme="majorHAnsi"/>
          <w:bCs/>
          <w:iCs/>
          <w:sz w:val="24"/>
          <w:szCs w:val="24"/>
          <w:lang w:val="ro-MD"/>
        </w:rPr>
        <w:t>SRL „Lagmar Impex”</w:t>
      </w:r>
      <w:r w:rsidRPr="009E5B39">
        <w:rPr>
          <w:rFonts w:asciiTheme="majorHAnsi" w:hAnsiTheme="majorHAnsi" w:cstheme="majorHAnsi"/>
          <w:sz w:val="24"/>
          <w:szCs w:val="24"/>
          <w:lang w:val="ro-MD"/>
        </w:rPr>
        <w:t xml:space="preserve">, însă n-a întreprins nicio acțiune în acest sens, </w:t>
      </w:r>
      <w:r w:rsidRPr="009E5B39">
        <w:rPr>
          <w:rFonts w:asciiTheme="majorHAnsi" w:hAnsiTheme="majorHAnsi" w:cstheme="majorHAnsi"/>
          <w:bCs/>
          <w:iCs/>
          <w:sz w:val="24"/>
          <w:szCs w:val="24"/>
          <w:lang w:val="ro-MD"/>
        </w:rPr>
        <w:t xml:space="preserve">prin ce bugetului mun. Chișinău i-a fost </w:t>
      </w:r>
      <w:r w:rsidRPr="009E5B39">
        <w:rPr>
          <w:rFonts w:asciiTheme="majorHAnsi" w:hAnsiTheme="majorHAnsi" w:cstheme="majorHAnsi"/>
          <w:b/>
          <w:bCs/>
          <w:iCs/>
          <w:sz w:val="24"/>
          <w:szCs w:val="24"/>
          <w:lang w:val="ro-MD"/>
        </w:rPr>
        <w:t>adus un prejudiciu</w:t>
      </w:r>
      <w:r w:rsidRPr="009E5B39">
        <w:rPr>
          <w:rFonts w:asciiTheme="majorHAnsi" w:hAnsiTheme="majorHAnsi" w:cstheme="majorHAnsi"/>
          <w:bCs/>
          <w:iCs/>
          <w:sz w:val="24"/>
          <w:szCs w:val="24"/>
          <w:lang w:val="ro-MD"/>
        </w:rPr>
        <w:t xml:space="preserve"> de </w:t>
      </w:r>
      <w:r w:rsidRPr="009E5B39">
        <w:rPr>
          <w:rFonts w:asciiTheme="majorHAnsi" w:hAnsiTheme="majorHAnsi" w:cstheme="majorHAnsi"/>
          <w:b/>
          <w:bCs/>
          <w:iCs/>
          <w:sz w:val="24"/>
          <w:szCs w:val="24"/>
          <w:lang w:val="ro-MD"/>
        </w:rPr>
        <w:t xml:space="preserve">cel puțin </w:t>
      </w:r>
      <w:r w:rsidRPr="009E5B39">
        <w:rPr>
          <w:rFonts w:asciiTheme="majorHAnsi" w:hAnsiTheme="majorHAnsi" w:cstheme="majorHAnsi"/>
          <w:b/>
          <w:sz w:val="24"/>
          <w:szCs w:val="24"/>
          <w:lang w:val="ro-MD"/>
        </w:rPr>
        <w:t>2.200,60 mii euro, sau 45.112,20 mii lei.</w:t>
      </w:r>
    </w:p>
    <w:p w14:paraId="7B5ABF8E" w14:textId="77777777" w:rsidR="003E291B" w:rsidRPr="009E5B39" w:rsidRDefault="003E291B" w:rsidP="003E291B">
      <w:pPr>
        <w:spacing w:after="0" w:line="276" w:lineRule="auto"/>
        <w:ind w:firstLine="567"/>
        <w:jc w:val="both"/>
        <w:rPr>
          <w:rFonts w:asciiTheme="majorHAnsi" w:hAnsiTheme="majorHAnsi" w:cstheme="majorHAnsi"/>
          <w:b/>
          <w:sz w:val="24"/>
          <w:szCs w:val="24"/>
          <w:lang w:val="ro-MD"/>
        </w:rPr>
      </w:pPr>
    </w:p>
    <w:p w14:paraId="63739821" w14:textId="781819AD" w:rsidR="003E291B" w:rsidRPr="009E5B39" w:rsidRDefault="003E291B" w:rsidP="003C5073">
      <w:pPr>
        <w:pStyle w:val="ListParagraph"/>
        <w:numPr>
          <w:ilvl w:val="0"/>
          <w:numId w:val="121"/>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În privința terenului municipal</w:t>
      </w:r>
      <w:r w:rsidR="00D47344" w:rsidRPr="009E5B39">
        <w:rPr>
          <w:rFonts w:asciiTheme="majorHAnsi" w:hAnsiTheme="majorHAnsi" w:cstheme="majorHAnsi"/>
          <w:b/>
          <w:sz w:val="24"/>
          <w:szCs w:val="24"/>
          <w:lang w:val="ro-MD"/>
        </w:rPr>
        <w:t xml:space="preserve"> cu nr. cad. 0100311031</w:t>
      </w:r>
      <w:r w:rsidR="00D4734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suprafața de </w:t>
      </w:r>
      <w:r w:rsidRPr="009E5B39">
        <w:rPr>
          <w:rFonts w:asciiTheme="majorHAnsi" w:hAnsiTheme="majorHAnsi" w:cstheme="majorHAnsi"/>
          <w:b/>
          <w:sz w:val="24"/>
          <w:szCs w:val="24"/>
          <w:lang w:val="ro-MD"/>
        </w:rPr>
        <w:t xml:space="preserve">0,4259 ha, </w:t>
      </w:r>
      <w:r w:rsidRPr="009E5B39">
        <w:rPr>
          <w:rFonts w:asciiTheme="majorHAnsi" w:hAnsiTheme="majorHAnsi" w:cstheme="majorHAnsi"/>
          <w:sz w:val="24"/>
          <w:szCs w:val="24"/>
          <w:lang w:val="ro-MD"/>
        </w:rPr>
        <w:t>se denotă că</w:t>
      </w:r>
      <w:r w:rsidR="00D4734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baza Deciziei CMC nr.10/32-5 din 09.12.2014</w:t>
      </w:r>
      <w:r w:rsidR="00D4734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au fost restabilite relațiile funciare de arendă pe </w:t>
      </w:r>
      <w:r w:rsidR="00D47344" w:rsidRPr="009E5B39">
        <w:rPr>
          <w:rFonts w:asciiTheme="majorHAnsi" w:hAnsiTheme="majorHAnsi" w:cstheme="majorHAnsi"/>
          <w:sz w:val="24"/>
          <w:szCs w:val="24"/>
          <w:lang w:val="ro-MD"/>
        </w:rPr>
        <w:t xml:space="preserve">un </w:t>
      </w:r>
      <w:r w:rsidRPr="009E5B39">
        <w:rPr>
          <w:rFonts w:asciiTheme="majorHAnsi" w:hAnsiTheme="majorHAnsi" w:cstheme="majorHAnsi"/>
          <w:sz w:val="24"/>
          <w:szCs w:val="24"/>
          <w:lang w:val="ro-MD"/>
        </w:rPr>
        <w:t>termen de 5 ani cu Î.I. „Sîrbu Taivi”, destinația lotului fiind „pentru exploatarea parcării auto, conform planului</w:t>
      </w:r>
      <w:r w:rsidR="00D4734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anexă”. Ca rezultat, a fost încheiat Contractul de arendă funciară nr.6612/2015 din 26.01.2015, mărimea arendei fiind stabilită în sumă de 115,3 mii lei/an. Conform datelor DGAURF, până la sfârșitul a</w:t>
      </w:r>
      <w:r w:rsidR="00D47344" w:rsidRPr="009E5B39">
        <w:rPr>
          <w:rFonts w:asciiTheme="majorHAnsi" w:hAnsiTheme="majorHAnsi" w:cstheme="majorHAnsi"/>
          <w:sz w:val="24"/>
          <w:szCs w:val="24"/>
          <w:lang w:val="ro-MD"/>
        </w:rPr>
        <w:t xml:space="preserve">nului </w:t>
      </w:r>
      <w:r w:rsidRPr="009E5B39">
        <w:rPr>
          <w:rFonts w:asciiTheme="majorHAnsi" w:hAnsiTheme="majorHAnsi" w:cstheme="majorHAnsi"/>
          <w:sz w:val="24"/>
          <w:szCs w:val="24"/>
          <w:lang w:val="ro-MD"/>
        </w:rPr>
        <w:t xml:space="preserve">2017, achitările în baza contractului în cauză au însumat 356,0 mii lei. </w:t>
      </w:r>
    </w:p>
    <w:p w14:paraId="64A01968" w14:textId="1785157A" w:rsidR="003E291B" w:rsidRPr="009E5B39" w:rsidRDefault="003E291B" w:rsidP="003E291B">
      <w:pPr>
        <w:spacing w:after="0" w:line="276" w:lineRule="auto"/>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b/>
        <w:t>Totodată, auditul denotă că, la data de 11.05.2015, a fost încheiat Contractul de societate civilă nr.3/d între Î.I. „Sîrbu Taivi”, pe de o parte, și Compania de construcții „Basconslux”, pe de altă parte, fără coordonarea cu CMC</w:t>
      </w:r>
      <w:r w:rsidR="00D4734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care este proprietarul terenului. Conform pct. 1.1 din contract</w:t>
      </w:r>
      <w:r w:rsidR="00D4734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„Părțile se angajează să verse contribuțiile lor și să lucreze împreună, fără a fi o persoană juridică, împărțind între ele pierderile și câștigurile în scopul construcției unui complex locativ pe adresa mun. Chișinău, str. N. Milescu</w:t>
      </w:r>
      <w:r w:rsidR="00D4734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Spătaru”, iar conform pct.1.2 „Î.I. „Sîrbu Taivi”</w:t>
      </w:r>
      <w:r w:rsidRPr="009E5B39">
        <w:rPr>
          <w:rFonts w:asciiTheme="majorHAnsi" w:hAnsiTheme="majorHAnsi" w:cstheme="majorHAnsi"/>
          <w:sz w:val="24"/>
          <w:szCs w:val="24"/>
          <w:vertAlign w:val="superscript"/>
          <w:lang w:val="ro-MD"/>
        </w:rPr>
        <w:t xml:space="preserve"> </w:t>
      </w:r>
      <w:r w:rsidRPr="009E5B39">
        <w:rPr>
          <w:rFonts w:asciiTheme="majorHAnsi" w:hAnsiTheme="majorHAnsi" w:cstheme="majorHAnsi"/>
          <w:sz w:val="24"/>
          <w:szCs w:val="24"/>
          <w:vertAlign w:val="superscript"/>
          <w:lang w:val="ro-MD"/>
        </w:rPr>
        <w:footnoteReference w:id="262"/>
      </w:r>
      <w:r w:rsidRPr="009E5B39">
        <w:rPr>
          <w:rFonts w:asciiTheme="majorHAnsi" w:hAnsiTheme="majorHAnsi" w:cstheme="majorHAnsi"/>
          <w:sz w:val="24"/>
          <w:szCs w:val="24"/>
          <w:lang w:val="ro-MD"/>
        </w:rPr>
        <w:t xml:space="preserve"> pune la dispoziția C.C. „Basconslux” terenul cu suprafața de 0,4259 ha, cu nr.</w:t>
      </w:r>
      <w:r w:rsidR="001E40B1"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cad. 0100311031”. La r</w:t>
      </w:r>
      <w:r w:rsidR="00D47344" w:rsidRPr="009E5B39">
        <w:rPr>
          <w:rFonts w:asciiTheme="majorHAnsi" w:hAnsiTheme="majorHAnsi" w:cstheme="majorHAnsi"/>
          <w:sz w:val="24"/>
          <w:szCs w:val="24"/>
          <w:lang w:val="ro-MD"/>
        </w:rPr>
        <w:t>â</w:t>
      </w:r>
      <w:r w:rsidRPr="009E5B39">
        <w:rPr>
          <w:rFonts w:asciiTheme="majorHAnsi" w:hAnsiTheme="majorHAnsi" w:cstheme="majorHAnsi"/>
          <w:sz w:val="24"/>
          <w:szCs w:val="24"/>
          <w:lang w:val="ro-MD"/>
        </w:rPr>
        <w:t xml:space="preserve">ndul său, C.C. „Basconslux” se obligă să efectueze proiectarea, construcția unui Complex locativ pe terenul municipal și darea lui în exploatare”. </w:t>
      </w:r>
      <w:r w:rsidRPr="009E5B39">
        <w:rPr>
          <w:rFonts w:asciiTheme="majorHAnsi" w:hAnsiTheme="majorHAnsi" w:cstheme="majorHAnsi"/>
          <w:sz w:val="24"/>
          <w:szCs w:val="24"/>
          <w:lang w:val="ro-MD"/>
        </w:rPr>
        <w:tab/>
        <w:t>Conform pct.2.3 din Contract, asociații au convenit că cotele-părți din patrimoniul social vor constitui: - Î.I. „Sîrbu Taivi” – 1%; - C.C. „Basconslux” – 99%. Potrivit pct.4.1 și pct.4.2 din Contract, C.C. „Basconslux” obține în urma dării în exploatare a complexului locativ dreptul de proprietate asupra întregului complex, iar Î.I. „Sîrbu Taivi” obține dreptul de proprietate, identificând spațiile după aprobarea proiectului construcției, în sumă de 100</w:t>
      </w:r>
      <w:r w:rsidR="00D47344" w:rsidRPr="009E5B39">
        <w:rPr>
          <w:rFonts w:asciiTheme="majorHAnsi" w:hAnsiTheme="majorHAnsi" w:cstheme="majorHAnsi"/>
          <w:sz w:val="24"/>
          <w:szCs w:val="24"/>
          <w:lang w:val="ro-MD"/>
        </w:rPr>
        <w:t>,0</w:t>
      </w:r>
      <w:r w:rsidRPr="009E5B39">
        <w:rPr>
          <w:rFonts w:asciiTheme="majorHAnsi" w:hAnsiTheme="majorHAnsi" w:cstheme="majorHAnsi"/>
          <w:sz w:val="24"/>
          <w:szCs w:val="24"/>
          <w:lang w:val="ro-MD"/>
        </w:rPr>
        <w:t xml:space="preserve"> mii euro. </w:t>
      </w:r>
      <w:r w:rsidRPr="009E5B39">
        <w:rPr>
          <w:rFonts w:asciiTheme="majorHAnsi" w:eastAsia="Times New Roman" w:hAnsiTheme="majorHAnsi" w:cstheme="majorHAnsi"/>
          <w:sz w:val="24"/>
          <w:szCs w:val="24"/>
          <w:lang w:val="ro-MD"/>
        </w:rPr>
        <w:t xml:space="preserve">De asemenea, conform pct.3.2 din Contract, </w:t>
      </w:r>
      <w:r w:rsidRPr="009E5B39">
        <w:rPr>
          <w:rFonts w:asciiTheme="majorHAnsi" w:hAnsiTheme="majorHAnsi" w:cstheme="majorHAnsi"/>
          <w:sz w:val="24"/>
          <w:szCs w:val="24"/>
          <w:lang w:val="ro-MD"/>
        </w:rPr>
        <w:t>după darea în exploatare a blocurilor de locuințe, Î.I. „Sîrbu Taivi” se obliga să transmită dreptul de folosință asupra terenului municipal condominiului format, dar cu păstrarea dreptului de proprietate asupra lui, pe când</w:t>
      </w:r>
      <w:r w:rsidR="00D4734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 fapt</w:t>
      </w:r>
      <w:r w:rsidR="00D47344"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Î.I. avea doar relații funciare cu acest teren, proprietar fiind CMC.</w:t>
      </w:r>
    </w:p>
    <w:p w14:paraId="6CFB8870" w14:textId="72408FD4" w:rsidR="003E291B" w:rsidRPr="009E5B39" w:rsidRDefault="003E291B" w:rsidP="003E291B">
      <w:pPr>
        <w:spacing w:after="0" w:line="276" w:lineRule="auto"/>
        <w:contextualSpacing/>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ab/>
        <w:t>Conform Regulamentului local de urbanism al orașului Chișinău, aprobat prin Decizia CMC nr.22/40 din 25.12.2008, acest teren este amplasat în zona cu codul „C7”, destinată prestării serviciilor, fiind incompatibilă cu zona locativă, ceea ce nu permite construcția blocurilor de locuințe. În lipsa deciziei CMC privind schimbarea destinației terenului arendat și privind schimbarea funcționalității urbane, la 04.08.2015, PMC</w:t>
      </w:r>
      <w:r w:rsidR="001E40B1"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contrar cadrului legal</w:t>
      </w:r>
      <w:r w:rsidRPr="009E5B39">
        <w:rPr>
          <w:rFonts w:asciiTheme="majorHAnsi" w:eastAsia="Times New Roman" w:hAnsiTheme="majorHAnsi" w:cstheme="majorHAnsi"/>
          <w:sz w:val="24"/>
          <w:szCs w:val="24"/>
          <w:vertAlign w:val="superscript"/>
          <w:lang w:val="ro-MD"/>
        </w:rPr>
        <w:footnoteReference w:id="263"/>
      </w:r>
      <w:r w:rsidR="001E40B1"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eliberează Certificatul de urbanism nr.428/15, prin care se certifică elaborarea documentației de proiect pentru „construirea unui ansamblu rezidențial, cu parcare auto subterană, cu regimul pe verticală: S+P+14E”, iar la 22.12.2016 </w:t>
      </w:r>
      <w:r w:rsidR="001E40B1" w:rsidRPr="009E5B39">
        <w:rPr>
          <w:rFonts w:asciiTheme="majorHAnsi" w:eastAsia="Times New Roman" w:hAnsiTheme="majorHAnsi" w:cstheme="majorHAnsi"/>
          <w:sz w:val="24"/>
          <w:szCs w:val="24"/>
          <w:lang w:val="ro-MD"/>
        </w:rPr>
        <w:t xml:space="preserve">- </w:t>
      </w:r>
      <w:r w:rsidRPr="009E5B39">
        <w:rPr>
          <w:rFonts w:asciiTheme="majorHAnsi" w:eastAsia="Times New Roman" w:hAnsiTheme="majorHAnsi" w:cstheme="majorHAnsi"/>
          <w:sz w:val="24"/>
          <w:szCs w:val="24"/>
          <w:lang w:val="ro-MD"/>
        </w:rPr>
        <w:t>și Autorizația de construcție nr.380-c/16</w:t>
      </w:r>
      <w:r w:rsidRPr="009E5B39">
        <w:rPr>
          <w:rFonts w:asciiTheme="majorHAnsi" w:eastAsia="Times New Roman" w:hAnsiTheme="majorHAnsi" w:cstheme="majorHAnsi"/>
          <w:sz w:val="24"/>
          <w:szCs w:val="24"/>
          <w:vertAlign w:val="superscript"/>
          <w:lang w:val="ro-MD"/>
        </w:rPr>
        <w:footnoteReference w:id="264"/>
      </w:r>
      <w:r w:rsidRPr="009E5B39">
        <w:rPr>
          <w:rFonts w:asciiTheme="majorHAnsi" w:eastAsia="Times New Roman" w:hAnsiTheme="majorHAnsi" w:cstheme="majorHAnsi"/>
          <w:sz w:val="24"/>
          <w:szCs w:val="24"/>
          <w:lang w:val="ro-MD"/>
        </w:rPr>
        <w:t xml:space="preserve">. </w:t>
      </w:r>
    </w:p>
    <w:p w14:paraId="08AE32D7" w14:textId="31DAABEE" w:rsidR="003E291B" w:rsidRPr="009E5B39" w:rsidRDefault="003E291B" w:rsidP="003E291B">
      <w:pPr>
        <w:spacing w:after="0" w:line="276" w:lineRule="auto"/>
        <w:jc w:val="both"/>
        <w:rPr>
          <w:rFonts w:asciiTheme="majorHAnsi" w:hAnsiTheme="majorHAnsi" w:cstheme="majorHAnsi"/>
          <w:sz w:val="24"/>
          <w:szCs w:val="24"/>
          <w:lang w:val="ro-MD"/>
        </w:rPr>
      </w:pPr>
      <w:r w:rsidRPr="009E5B39">
        <w:rPr>
          <w:rFonts w:asciiTheme="majorHAnsi" w:eastAsia="Times New Roman" w:hAnsiTheme="majorHAnsi" w:cstheme="majorHAnsi"/>
          <w:sz w:val="24"/>
          <w:szCs w:val="24"/>
          <w:lang w:val="ro-MD"/>
        </w:rPr>
        <w:tab/>
        <w:t>De menționat că, după darea în exploatare a bunurilor imobile construite din str. N.</w:t>
      </w:r>
      <w:r w:rsidR="001E40B1" w:rsidRPr="009E5B39">
        <w:rPr>
          <w:rFonts w:asciiTheme="majorHAnsi" w:eastAsia="Times New Roman" w:hAnsiTheme="majorHAnsi" w:cstheme="majorHAnsi"/>
          <w:sz w:val="24"/>
          <w:szCs w:val="24"/>
          <w:lang w:val="ro-MD"/>
        </w:rPr>
        <w:t xml:space="preserve"> </w:t>
      </w:r>
      <w:r w:rsidRPr="009E5B39">
        <w:rPr>
          <w:rFonts w:asciiTheme="majorHAnsi" w:eastAsia="Times New Roman" w:hAnsiTheme="majorHAnsi" w:cstheme="majorHAnsi"/>
          <w:sz w:val="24"/>
          <w:szCs w:val="24"/>
          <w:lang w:val="ro-MD"/>
        </w:rPr>
        <w:t>Milescu</w:t>
      </w:r>
      <w:r w:rsidR="001E40B1"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Spătaru și vânzarea locuințelor,</w:t>
      </w:r>
      <w:r w:rsidRPr="009E5B39">
        <w:rPr>
          <w:rFonts w:asciiTheme="majorHAnsi" w:hAnsiTheme="majorHAnsi" w:cstheme="majorHAnsi"/>
          <w:sz w:val="24"/>
          <w:szCs w:val="24"/>
          <w:lang w:val="ro-MD"/>
        </w:rPr>
        <w:t xml:space="preserve"> Î.I. „Sîrbu Taivi”</w:t>
      </w:r>
      <w:r w:rsidR="001E40B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sau C.C. „Basconslux”</w:t>
      </w:r>
      <w:r w:rsidR="001E40B1" w:rsidRPr="009E5B39">
        <w:rPr>
          <w:rFonts w:asciiTheme="majorHAnsi" w:hAnsiTheme="majorHAnsi" w:cstheme="majorHAnsi"/>
          <w:sz w:val="24"/>
          <w:szCs w:val="24"/>
          <w:lang w:val="ro-MD"/>
        </w:rPr>
        <w:t>,</w:t>
      </w:r>
      <w:r w:rsidRPr="009E5B39">
        <w:rPr>
          <w:rFonts w:asciiTheme="majorHAnsi" w:eastAsia="Times New Roman" w:hAnsiTheme="majorHAnsi" w:cstheme="majorHAnsi"/>
          <w:sz w:val="24"/>
          <w:szCs w:val="24"/>
          <w:lang w:val="ro-MD"/>
        </w:rPr>
        <w:t xml:space="preserve"> nu v</w:t>
      </w:r>
      <w:r w:rsidR="001E40B1" w:rsidRPr="009E5B39">
        <w:rPr>
          <w:rFonts w:asciiTheme="majorHAnsi" w:eastAsia="Times New Roman" w:hAnsiTheme="majorHAnsi" w:cstheme="majorHAnsi"/>
          <w:sz w:val="24"/>
          <w:szCs w:val="24"/>
          <w:lang w:val="ro-MD"/>
        </w:rPr>
        <w:t>or</w:t>
      </w:r>
      <w:r w:rsidRPr="009E5B39">
        <w:rPr>
          <w:rFonts w:asciiTheme="majorHAnsi" w:eastAsia="Times New Roman" w:hAnsiTheme="majorHAnsi" w:cstheme="majorHAnsi"/>
          <w:sz w:val="24"/>
          <w:szCs w:val="24"/>
          <w:lang w:val="ro-MD"/>
        </w:rPr>
        <w:t xml:space="preserve"> fi obligat</w:t>
      </w:r>
      <w:r w:rsidR="001E40B1" w:rsidRPr="009E5B39">
        <w:rPr>
          <w:rFonts w:asciiTheme="majorHAnsi" w:eastAsia="Times New Roman" w:hAnsiTheme="majorHAnsi" w:cstheme="majorHAnsi"/>
          <w:sz w:val="24"/>
          <w:szCs w:val="24"/>
          <w:lang w:val="ro-MD"/>
        </w:rPr>
        <w:t>e</w:t>
      </w:r>
      <w:r w:rsidRPr="009E5B39">
        <w:rPr>
          <w:rFonts w:asciiTheme="majorHAnsi" w:eastAsia="Times New Roman" w:hAnsiTheme="majorHAnsi" w:cstheme="majorHAnsi"/>
          <w:sz w:val="24"/>
          <w:szCs w:val="24"/>
          <w:lang w:val="ro-MD"/>
        </w:rPr>
        <w:t xml:space="preserve"> să prelungească contractul de arendă a terenului, iar CMC va fi proprietar al unui teren care nu va mai corespunde stării inițiale, acesta fiind drastic limitat în acțiuni pentru a gestiona terenul. De menționat că, în perioada 21.02.2017-03.03.2017, bunurile imobile au fost transmise în condominiu ca „Bun viitor”, deci</w:t>
      </w:r>
      <w:r w:rsidR="001E40B1"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ulterior</w:t>
      </w:r>
      <w:r w:rsidR="001E40B1"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CMC va fi obligat să transmită terenul aferent </w:t>
      </w:r>
      <w:r w:rsidR="00581AA1" w:rsidRPr="009E5B39">
        <w:rPr>
          <w:rFonts w:asciiTheme="majorHAnsi" w:eastAsia="Times New Roman" w:hAnsiTheme="majorHAnsi" w:cstheme="majorHAnsi"/>
          <w:sz w:val="24"/>
          <w:szCs w:val="24"/>
          <w:lang w:val="ro-MD"/>
        </w:rPr>
        <w:t xml:space="preserve">- </w:t>
      </w:r>
      <w:r w:rsidRPr="009E5B39">
        <w:rPr>
          <w:rFonts w:asciiTheme="majorHAnsi" w:eastAsia="Times New Roman" w:hAnsiTheme="majorHAnsi" w:cstheme="majorHAnsi"/>
          <w:sz w:val="24"/>
          <w:szCs w:val="24"/>
          <w:lang w:val="ro-MD"/>
        </w:rPr>
        <w:t>ACC</w:t>
      </w:r>
      <w:r w:rsidR="00581AA1" w:rsidRPr="009E5B39">
        <w:rPr>
          <w:rFonts w:asciiTheme="majorHAnsi" w:eastAsia="Times New Roman" w:hAnsiTheme="majorHAnsi" w:cstheme="majorHAnsi"/>
          <w:sz w:val="24"/>
          <w:szCs w:val="24"/>
          <w:lang w:val="ro-MD"/>
        </w:rPr>
        <w:t xml:space="preserve">, </w:t>
      </w:r>
      <w:r w:rsidRPr="009E5B39">
        <w:rPr>
          <w:rFonts w:asciiTheme="majorHAnsi" w:eastAsia="Times New Roman" w:hAnsiTheme="majorHAnsi" w:cstheme="majorHAnsi"/>
          <w:sz w:val="24"/>
          <w:szCs w:val="24"/>
          <w:lang w:val="ro-MD"/>
        </w:rPr>
        <w:t>conform prevederilor din Legea condominiului în fondul locativ.</w:t>
      </w:r>
    </w:p>
    <w:p w14:paraId="1DE12937" w14:textId="3571858F" w:rsidR="003E291B" w:rsidRPr="009E5B39" w:rsidRDefault="003E291B" w:rsidP="003E291B">
      <w:pPr>
        <w:tabs>
          <w:tab w:val="left" w:pos="0"/>
        </w:tabs>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bCs/>
          <w:iCs/>
          <w:sz w:val="24"/>
          <w:szCs w:val="24"/>
          <w:lang w:val="ro-MD"/>
        </w:rPr>
        <w:tab/>
        <w:t>Ulterior</w:t>
      </w:r>
      <w:r w:rsidR="001E40B1" w:rsidRPr="009E5B39">
        <w:rPr>
          <w:rFonts w:asciiTheme="majorHAnsi" w:hAnsiTheme="majorHAnsi" w:cstheme="majorHAnsi"/>
          <w:bCs/>
          <w:iCs/>
          <w:sz w:val="24"/>
          <w:szCs w:val="24"/>
          <w:lang w:val="ro-MD"/>
        </w:rPr>
        <w:t>,</w:t>
      </w:r>
      <w:r w:rsidRPr="009E5B39">
        <w:rPr>
          <w:rFonts w:asciiTheme="majorHAnsi" w:hAnsiTheme="majorHAnsi" w:cstheme="majorHAnsi"/>
          <w:bCs/>
          <w:iCs/>
          <w:sz w:val="24"/>
          <w:szCs w:val="24"/>
          <w:lang w:val="ro-MD"/>
        </w:rPr>
        <w:t xml:space="preserve"> </w:t>
      </w:r>
      <w:r w:rsidR="001E40B1" w:rsidRPr="009E5B39">
        <w:rPr>
          <w:rFonts w:asciiTheme="majorHAnsi" w:hAnsiTheme="majorHAnsi" w:cstheme="majorHAnsi"/>
          <w:bCs/>
          <w:iCs/>
          <w:sz w:val="24"/>
          <w:szCs w:val="24"/>
          <w:lang w:val="ro-MD"/>
        </w:rPr>
        <w:t>a</w:t>
      </w:r>
      <w:r w:rsidRPr="009E5B39">
        <w:rPr>
          <w:rFonts w:asciiTheme="majorHAnsi" w:hAnsiTheme="majorHAnsi" w:cstheme="majorHAnsi"/>
          <w:bCs/>
          <w:iCs/>
          <w:sz w:val="24"/>
          <w:szCs w:val="24"/>
          <w:lang w:val="ro-MD"/>
        </w:rPr>
        <w:t xml:space="preserve">uditul </w:t>
      </w:r>
      <w:r w:rsidRPr="009E5B39">
        <w:rPr>
          <w:rFonts w:asciiTheme="majorHAnsi" w:hAnsiTheme="majorHAnsi" w:cstheme="majorHAnsi"/>
          <w:bCs/>
          <w:iCs/>
          <w:sz w:val="24"/>
          <w:szCs w:val="24"/>
          <w:vertAlign w:val="superscript"/>
          <w:lang w:val="ro-MD"/>
        </w:rPr>
        <w:footnoteReference w:id="265"/>
      </w:r>
      <w:r w:rsidRPr="009E5B39">
        <w:rPr>
          <w:rFonts w:asciiTheme="majorHAnsi" w:hAnsiTheme="majorHAnsi" w:cstheme="majorHAnsi"/>
          <w:bCs/>
          <w:iCs/>
          <w:sz w:val="24"/>
          <w:szCs w:val="24"/>
          <w:lang w:val="ro-MD"/>
        </w:rPr>
        <w:t xml:space="preserve"> (raportat la 17.07.2020) a constatat că</w:t>
      </w:r>
      <w:r w:rsidRPr="009E5B39">
        <w:rPr>
          <w:rFonts w:asciiTheme="majorHAnsi" w:hAnsiTheme="majorHAnsi" w:cstheme="majorHAnsi"/>
          <w:sz w:val="24"/>
          <w:szCs w:val="24"/>
          <w:lang w:val="ro-MD"/>
        </w:rPr>
        <w:t>, prin Prescripția AST nr. 001918 din 14.08.2019</w:t>
      </w:r>
      <w:r w:rsidR="001E40B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s-a solicitat PMC retragerea A/C nr. 616-c din 02.11.2018</w:t>
      </w:r>
      <w:r w:rsidR="001E40B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eliberată SRL „Bascon</w:t>
      </w:r>
      <w:r w:rsidR="001E40B1" w:rsidRPr="009E5B39">
        <w:rPr>
          <w:rFonts w:asciiTheme="majorHAnsi" w:hAnsiTheme="majorHAnsi" w:cstheme="majorHAnsi"/>
          <w:sz w:val="24"/>
          <w:szCs w:val="24"/>
          <w:lang w:val="ro-MD"/>
        </w:rPr>
        <w:t>s</w:t>
      </w:r>
      <w:r w:rsidRPr="009E5B39">
        <w:rPr>
          <w:rFonts w:asciiTheme="majorHAnsi" w:hAnsiTheme="majorHAnsi" w:cstheme="majorHAnsi"/>
          <w:sz w:val="24"/>
          <w:szCs w:val="24"/>
          <w:lang w:val="ro-MD"/>
        </w:rPr>
        <w:t>lux”</w:t>
      </w:r>
      <w:r w:rsidR="009A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privind construirea unui ansamblu rezidențial din str. N. Milescu-Spătaru nr. 11A, pentru proiectarea blocurilor locative pe un teren care nu este compatibil cu zona de locuințe. Totodată</w:t>
      </w:r>
      <w:r w:rsidR="009A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AST a întocmit 3 procese-verbale de contravenție</w:t>
      </w:r>
      <w:r w:rsidR="009A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aplicarea amenzilor pentru persoanele responsabile (diriginte de șantier, responsabil tehnic și proiectant). </w:t>
      </w:r>
    </w:p>
    <w:p w14:paraId="61F6E4EA" w14:textId="64987823" w:rsidR="003E291B" w:rsidRPr="009E5B39" w:rsidRDefault="003E291B" w:rsidP="003C5073">
      <w:pPr>
        <w:tabs>
          <w:tab w:val="left" w:pos="0"/>
        </w:tabs>
        <w:spacing w:after="0" w:line="276" w:lineRule="auto"/>
        <w:ind w:firstLine="567"/>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Cu toate că această autorizație a fost emisă cu abateri de la legislație, totuși</w:t>
      </w:r>
      <w:r w:rsidR="009A0145"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nicio</w:t>
      </w:r>
      <w:r w:rsidR="009A0145"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persoană responsabilă din cadrul PMC nu a fost sancționată de către AST.</w:t>
      </w:r>
    </w:p>
    <w:p w14:paraId="57B8DF37" w14:textId="397850DF" w:rsidR="003E291B" w:rsidRPr="009E5B39" w:rsidRDefault="003E291B" w:rsidP="003E291B">
      <w:pPr>
        <w:tabs>
          <w:tab w:val="left" w:pos="0"/>
        </w:tabs>
        <w:spacing w:after="0" w:line="276" w:lineRule="auto"/>
        <w:ind w:firstLine="567"/>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În rezultatul celor menționate, PMC a suspendat valabilitatea A/C nr. 616-c din 02.11.2018 (Dispoziția Primarului </w:t>
      </w:r>
      <w:r w:rsidR="009A0145" w:rsidRPr="009E5B39">
        <w:rPr>
          <w:rFonts w:asciiTheme="majorHAnsi" w:hAnsiTheme="majorHAnsi" w:cstheme="majorHAnsi"/>
          <w:sz w:val="24"/>
          <w:szCs w:val="24"/>
          <w:lang w:val="ro-MD"/>
        </w:rPr>
        <w:t>g</w:t>
      </w:r>
      <w:r w:rsidRPr="009E5B39">
        <w:rPr>
          <w:rFonts w:asciiTheme="majorHAnsi" w:hAnsiTheme="majorHAnsi" w:cstheme="majorHAnsi"/>
          <w:sz w:val="24"/>
          <w:szCs w:val="24"/>
          <w:lang w:val="ro-MD"/>
        </w:rPr>
        <w:t>eneral nr. 714-d din 08.10.2019), care</w:t>
      </w:r>
      <w:r w:rsidR="009A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însă</w:t>
      </w:r>
      <w:r w:rsidR="009A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nu a avut niciun efect juridic</w:t>
      </w:r>
      <w:r w:rsidR="009A0145"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 deoarece blocurile au fost înregistrate în RBI și date în exploatare.</w:t>
      </w:r>
    </w:p>
    <w:p w14:paraId="6A5824A2" w14:textId="5036A3BF" w:rsidR="003E291B" w:rsidRPr="009E5B39" w:rsidRDefault="003E291B" w:rsidP="003E291B">
      <w:pPr>
        <w:tabs>
          <w:tab w:val="left" w:pos="0"/>
        </w:tabs>
        <w:spacing w:after="0" w:line="276" w:lineRule="auto"/>
        <w:ind w:firstLine="567"/>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Prezentul audit a constatat că APL a mun. Chișinău nu a întreprins nicio acțiune pentru a recupera pagubele pr</w:t>
      </w:r>
      <w:r w:rsidR="009A0145" w:rsidRPr="009E5B39">
        <w:rPr>
          <w:rFonts w:asciiTheme="majorHAnsi" w:hAnsiTheme="majorHAnsi" w:cstheme="majorHAnsi"/>
          <w:sz w:val="24"/>
          <w:szCs w:val="24"/>
          <w:lang w:val="ro-MD"/>
        </w:rPr>
        <w:t>icinuite</w:t>
      </w:r>
      <w:r w:rsidRPr="009E5B39">
        <w:rPr>
          <w:rFonts w:asciiTheme="majorHAnsi" w:hAnsiTheme="majorHAnsi" w:cstheme="majorHAnsi"/>
          <w:sz w:val="24"/>
          <w:szCs w:val="24"/>
          <w:lang w:val="ro-MD"/>
        </w:rPr>
        <w:t xml:space="preserve"> de Î.I. „Sîrbu Taivi” și C.C. „Basconslux”. Din contra, deși la 09/06/2020</w:t>
      </w:r>
      <w:r w:rsidR="009A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o persoană fizică s-a adresat în instanța de judecată privind anularea Deciziei CMC nr.10/32-5 din 09/12/2014 și anularea contractului de arendă nr.6612/2015 din 26/01/2015</w:t>
      </w:r>
      <w:r w:rsidR="009A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PMC a solicitat respingerea acestei cereri ca nefondată și depusă tardiv.</w:t>
      </w:r>
    </w:p>
    <w:p w14:paraId="52824B05" w14:textId="43B84DC9" w:rsidR="003E291B" w:rsidRPr="009E5B39" w:rsidRDefault="003E291B" w:rsidP="00581AA1">
      <w:pPr>
        <w:numPr>
          <w:ilvl w:val="0"/>
          <w:numId w:val="33"/>
        </w:numPr>
        <w:tabs>
          <w:tab w:val="left" w:pos="567"/>
          <w:tab w:val="left" w:pos="851"/>
        </w:tabs>
        <w:spacing w:after="0" w:line="276" w:lineRule="auto"/>
        <w:ind w:left="0" w:firstLine="0"/>
        <w:contextualSpacing/>
        <w:jc w:val="both"/>
        <w:rPr>
          <w:rFonts w:asciiTheme="majorHAnsi" w:eastAsia="Times New Roman" w:hAnsiTheme="majorHAnsi" w:cstheme="majorHAnsi"/>
          <w:sz w:val="24"/>
          <w:szCs w:val="24"/>
          <w:lang w:val="ro-MD"/>
        </w:rPr>
      </w:pPr>
      <w:r w:rsidRPr="009E5B39">
        <w:rPr>
          <w:rFonts w:asciiTheme="majorHAnsi" w:hAnsiTheme="majorHAnsi" w:cstheme="majorHAnsi"/>
          <w:b/>
          <w:sz w:val="24"/>
          <w:szCs w:val="24"/>
          <w:lang w:val="ro-MD"/>
        </w:rPr>
        <w:t>Nu au fost întreprinse măsuri nici pentru eliminarea deficiențelor constatate în relațiile cu</w:t>
      </w:r>
      <w:r w:rsidRPr="009E5B39">
        <w:rPr>
          <w:rFonts w:asciiTheme="majorHAnsi" w:eastAsia="Times New Roman" w:hAnsiTheme="majorHAnsi" w:cstheme="majorHAnsi"/>
          <w:b/>
          <w:i/>
          <w:sz w:val="24"/>
          <w:szCs w:val="24"/>
          <w:lang w:val="ro-MD" w:eastAsia="ru-RU"/>
        </w:rPr>
        <w:t xml:space="preserve"> SA ,,Transcon-M”.</w:t>
      </w:r>
      <w:r w:rsidRPr="009E5B39">
        <w:rPr>
          <w:rFonts w:asciiTheme="majorHAnsi" w:eastAsia="Times New Roman" w:hAnsiTheme="majorHAnsi" w:cstheme="majorHAnsi"/>
          <w:i/>
          <w:sz w:val="24"/>
          <w:szCs w:val="24"/>
          <w:lang w:val="ro-MD"/>
        </w:rPr>
        <w:t xml:space="preserve"> </w:t>
      </w:r>
      <w:r w:rsidRPr="009E5B39">
        <w:rPr>
          <w:rFonts w:asciiTheme="majorHAnsi" w:eastAsia="Times New Roman" w:hAnsiTheme="majorHAnsi" w:cstheme="majorHAnsi"/>
          <w:sz w:val="24"/>
          <w:szCs w:val="24"/>
          <w:lang w:val="ro-MD" w:eastAsia="ru-RU"/>
        </w:rPr>
        <w:t>P</w:t>
      </w:r>
      <w:r w:rsidRPr="009E5B39">
        <w:rPr>
          <w:rFonts w:asciiTheme="majorHAnsi" w:eastAsia="Calibri" w:hAnsiTheme="majorHAnsi" w:cstheme="majorHAnsi"/>
          <w:sz w:val="24"/>
          <w:szCs w:val="24"/>
          <w:lang w:val="ro-MD"/>
        </w:rPr>
        <w:t>rin Decizia CMC</w:t>
      </w:r>
      <w:r w:rsidRPr="009E5B39">
        <w:rPr>
          <w:rFonts w:asciiTheme="majorHAnsi" w:eastAsia="Calibri" w:hAnsiTheme="majorHAnsi" w:cstheme="majorHAnsi"/>
          <w:sz w:val="24"/>
          <w:szCs w:val="24"/>
          <w:vertAlign w:val="superscript"/>
          <w:lang w:val="ro-MD"/>
        </w:rPr>
        <w:footnoteReference w:id="266"/>
      </w:r>
      <w:r w:rsidRPr="009E5B39">
        <w:rPr>
          <w:rFonts w:asciiTheme="majorHAnsi" w:eastAsia="Calibri" w:hAnsiTheme="majorHAnsi" w:cstheme="majorHAnsi"/>
          <w:sz w:val="24"/>
          <w:szCs w:val="24"/>
          <w:lang w:val="ro-MD"/>
        </w:rPr>
        <w:t xml:space="preserve"> </w:t>
      </w:r>
      <w:r w:rsidR="007A51AF" w:rsidRPr="009E5B39">
        <w:rPr>
          <w:rFonts w:asciiTheme="majorHAnsi" w:eastAsia="Calibri" w:hAnsiTheme="majorHAnsi" w:cstheme="majorHAnsi"/>
          <w:sz w:val="24"/>
          <w:szCs w:val="24"/>
          <w:lang w:val="ro-MD"/>
        </w:rPr>
        <w:t xml:space="preserve">, </w:t>
      </w:r>
      <w:r w:rsidRPr="009E5B39">
        <w:rPr>
          <w:rFonts w:asciiTheme="majorHAnsi" w:eastAsia="Calibri" w:hAnsiTheme="majorHAnsi" w:cstheme="majorHAnsi"/>
          <w:sz w:val="24"/>
          <w:szCs w:val="24"/>
          <w:lang w:val="ro-MD"/>
        </w:rPr>
        <w:t xml:space="preserve">s-a decis privatizarea de </w:t>
      </w:r>
      <w:r w:rsidRPr="009E5B39">
        <w:rPr>
          <w:rFonts w:asciiTheme="majorHAnsi" w:eastAsia="Times New Roman" w:hAnsiTheme="majorHAnsi" w:cstheme="majorHAnsi"/>
          <w:sz w:val="24"/>
          <w:szCs w:val="24"/>
          <w:lang w:val="ro-MD" w:eastAsia="ru-RU"/>
        </w:rPr>
        <w:t xml:space="preserve">către SA ,,Transcon-M” a </w:t>
      </w:r>
      <w:r w:rsidRPr="009E5B39">
        <w:rPr>
          <w:rFonts w:asciiTheme="majorHAnsi" w:eastAsia="Calibri" w:hAnsiTheme="majorHAnsi" w:cstheme="majorHAnsi"/>
          <w:sz w:val="24"/>
          <w:szCs w:val="24"/>
          <w:lang w:val="ro-MD"/>
        </w:rPr>
        <w:t>terenului aferent</w:t>
      </w:r>
      <w:r w:rsidRPr="009E5B39">
        <w:rPr>
          <w:rFonts w:asciiTheme="majorHAnsi" w:eastAsia="Times New Roman" w:hAnsiTheme="majorHAnsi" w:cstheme="majorHAnsi"/>
          <w:sz w:val="24"/>
          <w:szCs w:val="24"/>
          <w:lang w:val="ro-MD" w:eastAsia="ru-RU"/>
        </w:rPr>
        <w:t xml:space="preserve"> </w:t>
      </w:r>
      <w:r w:rsidRPr="009E5B39">
        <w:rPr>
          <w:rFonts w:asciiTheme="majorHAnsi" w:hAnsiTheme="majorHAnsi" w:cstheme="majorHAnsi"/>
          <w:i/>
          <w:sz w:val="24"/>
          <w:szCs w:val="24"/>
          <w:lang w:val="ro-MD"/>
        </w:rPr>
        <w:t xml:space="preserve">cu </w:t>
      </w:r>
      <w:r w:rsidRPr="009E5B39">
        <w:rPr>
          <w:rFonts w:asciiTheme="majorHAnsi" w:hAnsiTheme="majorHAnsi" w:cstheme="majorHAnsi"/>
          <w:b/>
          <w:i/>
          <w:sz w:val="24"/>
          <w:szCs w:val="24"/>
          <w:lang w:val="ro-MD"/>
        </w:rPr>
        <w:t>nr. cad. 0100119250</w:t>
      </w:r>
      <w:r w:rsidR="007A51AF" w:rsidRPr="009E5B39">
        <w:rPr>
          <w:rFonts w:asciiTheme="majorHAnsi" w:hAnsiTheme="majorHAnsi" w:cstheme="majorHAnsi"/>
          <w:b/>
          <w:i/>
          <w:sz w:val="24"/>
          <w:szCs w:val="24"/>
          <w:lang w:val="ro-MD"/>
        </w:rPr>
        <w:t xml:space="preserve">, </w:t>
      </w:r>
      <w:r w:rsidRPr="009E5B39">
        <w:rPr>
          <w:rFonts w:asciiTheme="majorHAnsi" w:eastAsia="Times New Roman" w:hAnsiTheme="majorHAnsi" w:cstheme="majorHAnsi"/>
          <w:sz w:val="24"/>
          <w:szCs w:val="24"/>
          <w:lang w:val="ro-MD" w:eastAsia="ru-RU"/>
        </w:rPr>
        <w:t>suprafața de 1,0087 ha</w:t>
      </w:r>
      <w:r w:rsidR="007A51AF"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la prețul normativ </w:t>
      </w:r>
      <w:r w:rsidRPr="009E5B39">
        <w:rPr>
          <w:rFonts w:asciiTheme="majorHAnsi" w:eastAsia="Calibri" w:hAnsiTheme="majorHAnsi" w:cstheme="majorHAnsi"/>
          <w:sz w:val="24"/>
          <w:szCs w:val="24"/>
          <w:lang w:val="ro-MD"/>
        </w:rPr>
        <w:t>pentru construcții</w:t>
      </w:r>
      <w:r w:rsidRPr="009E5B39">
        <w:rPr>
          <w:rFonts w:asciiTheme="majorHAnsi" w:eastAsia="Times New Roman" w:hAnsiTheme="majorHAnsi" w:cstheme="majorHAnsi"/>
          <w:sz w:val="24"/>
          <w:szCs w:val="24"/>
          <w:lang w:val="ro-MD" w:eastAsia="ru-RU"/>
        </w:rPr>
        <w:t>. Drept urmare</w:t>
      </w:r>
      <w:r w:rsidR="007A51AF"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a fost încheiat contractul de vânzare-cumpărare nr.2699 din 18.09.2013, în care se indica prețul de vânzare-cumpărare a terenului aferent de 926,7 mii lei. La calcularea prețului de vânzare-cumpărare a terenului a fost aplicat tariful pentru o unitate grad-hectar</w:t>
      </w:r>
      <w:r w:rsidRPr="009E5B39" w:rsidDel="00683B7D">
        <w:rPr>
          <w:rFonts w:asciiTheme="majorHAnsi" w:eastAsia="Times New Roman" w:hAnsiTheme="majorHAnsi" w:cstheme="majorHAnsi"/>
          <w:sz w:val="24"/>
          <w:szCs w:val="24"/>
          <w:lang w:val="ro-MD" w:eastAsia="ru-RU"/>
        </w:rPr>
        <w:t xml:space="preserve"> </w:t>
      </w:r>
      <w:r w:rsidRPr="009E5B39">
        <w:rPr>
          <w:rFonts w:asciiTheme="majorHAnsi" w:eastAsia="Times New Roman" w:hAnsiTheme="majorHAnsi" w:cstheme="majorHAnsi"/>
          <w:sz w:val="24"/>
          <w:szCs w:val="24"/>
          <w:lang w:val="ro-MD" w:eastAsia="ru-RU"/>
        </w:rPr>
        <w:t xml:space="preserve">de 13.897,44 lei, în loc de cel reglementat </w:t>
      </w:r>
      <w:r w:rsidR="007A51AF" w:rsidRPr="009E5B39">
        <w:rPr>
          <w:rFonts w:asciiTheme="majorHAnsi" w:eastAsia="Times New Roman" w:hAnsiTheme="majorHAnsi" w:cstheme="majorHAnsi"/>
          <w:sz w:val="24"/>
          <w:szCs w:val="24"/>
          <w:lang w:val="ro-MD" w:eastAsia="ru-RU"/>
        </w:rPr>
        <w:t xml:space="preserve">- </w:t>
      </w:r>
      <w:r w:rsidRPr="009E5B39">
        <w:rPr>
          <w:rFonts w:asciiTheme="majorHAnsi" w:eastAsia="Times New Roman" w:hAnsiTheme="majorHAnsi" w:cstheme="majorHAnsi"/>
          <w:sz w:val="24"/>
          <w:szCs w:val="24"/>
          <w:lang w:val="ro-MD" w:eastAsia="ru-RU"/>
        </w:rPr>
        <w:t>de 19.873,34 lei/grad-ha. Ca rezultat</w:t>
      </w:r>
      <w:r w:rsidR="007A51AF"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bugetul municipal a fost prejudiciat în sumă totală de 398,5 mii lei</w:t>
      </w:r>
      <w:r w:rsidRPr="009E5B39">
        <w:rPr>
          <w:rFonts w:asciiTheme="majorHAnsi" w:eastAsia="Times New Roman" w:hAnsiTheme="majorHAnsi" w:cstheme="majorHAnsi"/>
          <w:sz w:val="24"/>
          <w:szCs w:val="24"/>
          <w:vertAlign w:val="superscript"/>
          <w:lang w:val="ro-MD" w:eastAsia="ru-RU"/>
        </w:rPr>
        <w:footnoteReference w:id="267"/>
      </w:r>
      <w:r w:rsidRPr="009E5B39">
        <w:rPr>
          <w:rFonts w:asciiTheme="majorHAnsi" w:eastAsia="Times New Roman" w:hAnsiTheme="majorHAnsi" w:cstheme="majorHAnsi"/>
          <w:sz w:val="24"/>
          <w:szCs w:val="24"/>
          <w:lang w:val="ro-MD" w:eastAsia="ru-RU"/>
        </w:rPr>
        <w:t xml:space="preserve">. </w:t>
      </w:r>
      <w:r w:rsidRPr="009E5B39">
        <w:rPr>
          <w:rFonts w:asciiTheme="majorHAnsi" w:eastAsia="Times New Roman" w:hAnsiTheme="majorHAnsi" w:cstheme="majorHAnsi"/>
          <w:sz w:val="24"/>
          <w:szCs w:val="24"/>
          <w:lang w:val="ro-MD"/>
        </w:rPr>
        <w:t>Anterior CCRM a constatat un caz similar</w:t>
      </w:r>
      <w:r w:rsidR="007A51AF"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cu implicarea aceluiași agent economic</w:t>
      </w:r>
      <w:r w:rsidRPr="009E5B39">
        <w:rPr>
          <w:rFonts w:asciiTheme="majorHAnsi" w:eastAsia="Times New Roman" w:hAnsiTheme="majorHAnsi" w:cstheme="majorHAnsi"/>
          <w:sz w:val="24"/>
          <w:szCs w:val="24"/>
          <w:vertAlign w:val="superscript"/>
          <w:lang w:val="ro-MD"/>
        </w:rPr>
        <w:footnoteReference w:id="268"/>
      </w:r>
      <w:r w:rsidRPr="009E5B39">
        <w:rPr>
          <w:rFonts w:asciiTheme="majorHAnsi" w:eastAsia="Times New Roman" w:hAnsiTheme="majorHAnsi" w:cstheme="majorHAnsi"/>
          <w:sz w:val="24"/>
          <w:szCs w:val="24"/>
          <w:lang w:val="ro-MD"/>
        </w:rPr>
        <w:t xml:space="preserve">, acțiunile lui prejudiciind bugetul municipal cu </w:t>
      </w:r>
      <w:r w:rsidRPr="009E5B39">
        <w:rPr>
          <w:rFonts w:asciiTheme="majorHAnsi" w:eastAsia="Times New Roman" w:hAnsiTheme="majorHAnsi" w:cstheme="majorHAnsi"/>
          <w:b/>
          <w:sz w:val="24"/>
          <w:szCs w:val="24"/>
          <w:lang w:val="ro-MD"/>
        </w:rPr>
        <w:t>3,1 mil.lei</w:t>
      </w:r>
      <w:r w:rsidRPr="009E5B39">
        <w:rPr>
          <w:rFonts w:asciiTheme="majorHAnsi" w:eastAsia="Times New Roman" w:hAnsiTheme="majorHAnsi" w:cstheme="majorHAnsi"/>
          <w:sz w:val="24"/>
          <w:szCs w:val="24"/>
          <w:lang w:val="ro-MD"/>
        </w:rPr>
        <w:t xml:space="preserve">. </w:t>
      </w:r>
    </w:p>
    <w:p w14:paraId="6B84D56E" w14:textId="09F958AB" w:rsidR="003E291B" w:rsidRPr="009E5B39" w:rsidRDefault="003E291B" w:rsidP="00581AA1">
      <w:pPr>
        <w:numPr>
          <w:ilvl w:val="0"/>
          <w:numId w:val="33"/>
        </w:numPr>
        <w:tabs>
          <w:tab w:val="left" w:pos="567"/>
          <w:tab w:val="left" w:pos="851"/>
        </w:tabs>
        <w:spacing w:after="0" w:line="276" w:lineRule="auto"/>
        <w:ind w:left="0" w:firstLine="0"/>
        <w:contextualSpacing/>
        <w:jc w:val="both"/>
        <w:rPr>
          <w:rFonts w:asciiTheme="majorHAnsi" w:eastAsia="Times New Roman" w:hAnsiTheme="majorHAnsi" w:cstheme="majorHAnsi"/>
          <w:sz w:val="24"/>
          <w:szCs w:val="24"/>
          <w:lang w:val="ro-MD"/>
        </w:rPr>
      </w:pPr>
      <w:r w:rsidRPr="009E5B39">
        <w:rPr>
          <w:rFonts w:asciiTheme="majorHAnsi" w:hAnsiTheme="majorHAnsi" w:cstheme="majorHAnsi"/>
          <w:sz w:val="24"/>
          <w:szCs w:val="24"/>
          <w:lang w:val="ro-MD"/>
        </w:rPr>
        <w:t>Terenul cu numărul cadastral 0100101393 proprietate a mun. Chișinău a fost arendat în perioada 25.07.2003 - 25.07.2008 de SRL „ECO-SPORT”, alte contracte de arendă în RBI nefiind înregistrate, iar în prezent pe acest teren sunt înregistrate 9 imobile</w:t>
      </w:r>
      <w:r w:rsidR="006D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care aparțin persoanelor private, construite în baza autorizației nr. 545/05 din 12.07.2005. Conform evidenței DGAURF</w:t>
      </w:r>
      <w:r w:rsidR="006D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2016 au fost întocmite 7 contracte de arendă</w:t>
      </w:r>
      <w:r w:rsidR="006D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un preț anual de 18,4 mii lei, iar datoriile acestora la 31.12.2020 constituie 25,8 mii lei. Deoarece terenul cu numărul cadastral 0100101393 nu va putea fi folosit conform destinației inițiale, bugetul municipal va fi lipsit de venituri estimate la</w:t>
      </w:r>
      <w:r w:rsidRPr="009E5B39">
        <w:rPr>
          <w:rFonts w:asciiTheme="majorHAnsi" w:hAnsiTheme="majorHAnsi" w:cstheme="majorHAnsi"/>
          <w:b/>
          <w:sz w:val="24"/>
          <w:szCs w:val="24"/>
          <w:lang w:val="ro-MD"/>
        </w:rPr>
        <w:t xml:space="preserve"> circa 1.020,0 mii euro, sau 20.910,0 mii lei</w:t>
      </w:r>
      <w:r w:rsidR="006D0145" w:rsidRPr="009E5B39">
        <w:rPr>
          <w:rFonts w:asciiTheme="majorHAnsi" w:hAnsiTheme="majorHAnsi" w:cstheme="majorHAnsi"/>
          <w:b/>
          <w:sz w:val="24"/>
          <w:szCs w:val="24"/>
          <w:lang w:val="ro-MD"/>
        </w:rPr>
        <w:t>,</w:t>
      </w:r>
      <w:r w:rsidRPr="009E5B39">
        <w:rPr>
          <w:rFonts w:asciiTheme="majorHAnsi" w:hAnsiTheme="majorHAnsi" w:cstheme="majorHAnsi"/>
          <w:sz w:val="24"/>
          <w:szCs w:val="24"/>
          <w:lang w:val="ro-MD"/>
        </w:rPr>
        <w:t xml:space="preserve"> ca urmare a neexpunerii acestuia la licitație.</w:t>
      </w:r>
    </w:p>
    <w:p w14:paraId="61FCDC43" w14:textId="14196443" w:rsidR="003E291B" w:rsidRPr="009E5B39" w:rsidRDefault="003E291B" w:rsidP="003E291B">
      <w:pPr>
        <w:numPr>
          <w:ilvl w:val="0"/>
          <w:numId w:val="33"/>
        </w:numPr>
        <w:tabs>
          <w:tab w:val="left" w:pos="0"/>
        </w:tabs>
        <w:spacing w:after="0" w:line="276" w:lineRule="auto"/>
        <w:ind w:left="0" w:firstLine="0"/>
        <w:contextualSpacing/>
        <w:jc w:val="both"/>
        <w:rPr>
          <w:rFonts w:asciiTheme="majorHAnsi" w:eastAsia="Times New Roman" w:hAnsiTheme="majorHAnsi" w:cstheme="majorHAnsi"/>
          <w:sz w:val="24"/>
          <w:szCs w:val="24"/>
          <w:lang w:val="ro-MD" w:eastAsia="ru-RU"/>
        </w:rPr>
      </w:pPr>
      <w:r w:rsidRPr="009E5B39">
        <w:rPr>
          <w:rFonts w:asciiTheme="majorHAnsi" w:hAnsiTheme="majorHAnsi" w:cstheme="majorHAnsi"/>
          <w:sz w:val="24"/>
          <w:szCs w:val="24"/>
          <w:lang w:val="ro-MD"/>
        </w:rPr>
        <w:t xml:space="preserve">Nu achită plata </w:t>
      </w:r>
      <w:r w:rsidR="006D0145" w:rsidRPr="009E5B39">
        <w:rPr>
          <w:rFonts w:asciiTheme="majorHAnsi" w:hAnsiTheme="majorHAnsi" w:cstheme="majorHAnsi"/>
          <w:sz w:val="24"/>
          <w:szCs w:val="24"/>
          <w:lang w:val="ro-MD"/>
        </w:rPr>
        <w:t>pentru</w:t>
      </w:r>
      <w:r w:rsidRPr="009E5B39">
        <w:rPr>
          <w:rFonts w:asciiTheme="majorHAnsi" w:hAnsiTheme="majorHAnsi" w:cstheme="majorHAnsi"/>
          <w:sz w:val="24"/>
          <w:szCs w:val="24"/>
          <w:lang w:val="ro-MD"/>
        </w:rPr>
        <w:t xml:space="preserve"> arendă nici proprietarii bunurilor private amplasate pe terenurile publice cu numerele cadastrale </w:t>
      </w:r>
      <w:r w:rsidRPr="009E5B39">
        <w:rPr>
          <w:rFonts w:asciiTheme="majorHAnsi" w:hAnsiTheme="majorHAnsi" w:cstheme="majorHAnsi"/>
          <w:b/>
          <w:i/>
          <w:sz w:val="24"/>
          <w:szCs w:val="24"/>
          <w:lang w:val="ro-MD"/>
        </w:rPr>
        <w:t>01001011041</w:t>
      </w:r>
      <w:r w:rsidRPr="009E5B39">
        <w:rPr>
          <w:rFonts w:asciiTheme="majorHAnsi" w:hAnsiTheme="majorHAnsi" w:cstheme="majorHAnsi"/>
          <w:sz w:val="24"/>
          <w:szCs w:val="24"/>
          <w:lang w:val="ro-MD"/>
        </w:rPr>
        <w:t xml:space="preserve"> (0,1031 ha) și </w:t>
      </w:r>
      <w:r w:rsidRPr="009E5B39">
        <w:rPr>
          <w:rFonts w:asciiTheme="majorHAnsi" w:hAnsiTheme="majorHAnsi" w:cstheme="majorHAnsi"/>
          <w:b/>
          <w:i/>
          <w:sz w:val="24"/>
          <w:szCs w:val="24"/>
          <w:lang w:val="ro-MD"/>
        </w:rPr>
        <w:t>01001011042</w:t>
      </w:r>
      <w:r w:rsidRPr="009E5B39">
        <w:rPr>
          <w:rFonts w:asciiTheme="majorHAnsi" w:hAnsiTheme="majorHAnsi" w:cstheme="majorHAnsi"/>
          <w:sz w:val="24"/>
          <w:szCs w:val="24"/>
          <w:lang w:val="ro-MD"/>
        </w:rPr>
        <w:t xml:space="preserve"> (0,2505 ha), cu care au fost întocmite 6 contracte de 7,8 mii lei și</w:t>
      </w:r>
      <w:r w:rsidR="006D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respectiv, 8 contracte de 19,8 mii lei, care au acumulat datorii de 22,3 mii lei și</w:t>
      </w:r>
      <w:r w:rsidR="006D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respectiv</w:t>
      </w:r>
      <w:r w:rsidR="006D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de 49,4 mii lei. Terenul cu numărul cadastral </w:t>
      </w:r>
      <w:r w:rsidRPr="009E5B39">
        <w:rPr>
          <w:rFonts w:asciiTheme="majorHAnsi" w:hAnsiTheme="majorHAnsi" w:cstheme="majorHAnsi"/>
          <w:b/>
          <w:i/>
          <w:sz w:val="24"/>
          <w:szCs w:val="24"/>
          <w:lang w:val="ro-MD"/>
        </w:rPr>
        <w:t xml:space="preserve">0100101780 </w:t>
      </w:r>
      <w:r w:rsidRPr="009E5B39">
        <w:rPr>
          <w:rFonts w:asciiTheme="majorHAnsi" w:hAnsiTheme="majorHAnsi" w:cstheme="majorHAnsi"/>
          <w:sz w:val="24"/>
          <w:szCs w:val="24"/>
          <w:lang w:val="ro-MD"/>
        </w:rPr>
        <w:t>(0,0705 ha) a fost dat în arendă funciară firmei „Chișinău Real Estate Holding” SRL</w:t>
      </w:r>
      <w:r w:rsidR="006D0145"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plata </w:t>
      </w:r>
      <w:r w:rsidR="006D0145" w:rsidRPr="009E5B39">
        <w:rPr>
          <w:rFonts w:asciiTheme="majorHAnsi" w:hAnsiTheme="majorHAnsi" w:cstheme="majorHAnsi"/>
          <w:sz w:val="24"/>
          <w:szCs w:val="24"/>
          <w:lang w:val="ro-MD"/>
        </w:rPr>
        <w:t xml:space="preserve">pentru </w:t>
      </w:r>
      <w:r w:rsidRPr="009E5B39">
        <w:rPr>
          <w:rFonts w:asciiTheme="majorHAnsi" w:hAnsiTheme="majorHAnsi" w:cstheme="majorHAnsi"/>
          <w:sz w:val="24"/>
          <w:szCs w:val="24"/>
          <w:lang w:val="ro-MD"/>
        </w:rPr>
        <w:t xml:space="preserve"> arendă de 7,3 mii lei. Toate aceste terenuri</w:t>
      </w:r>
      <w:r w:rsidRPr="009E5B39">
        <w:rPr>
          <w:rFonts w:asciiTheme="majorHAnsi" w:eastAsia="Times New Roman" w:hAnsiTheme="majorHAnsi" w:cstheme="majorHAnsi"/>
          <w:sz w:val="24"/>
          <w:szCs w:val="24"/>
          <w:lang w:val="ro-MD" w:eastAsia="ru-RU"/>
        </w:rPr>
        <w:t xml:space="preserve"> anterior au fost date în arendă pentru „proiectarea și construcția unui centru de agrement și distracții pentru copii, adiacent teritoriului parcului „Valea Trandafirilor”</w:t>
      </w:r>
      <w:r w:rsidRPr="009E5B39">
        <w:rPr>
          <w:rFonts w:asciiTheme="majorHAnsi" w:hAnsiTheme="majorHAnsi" w:cstheme="majorHAnsi"/>
          <w:sz w:val="24"/>
          <w:szCs w:val="24"/>
          <w:vertAlign w:val="superscript"/>
          <w:lang w:val="ro-MD" w:eastAsia="ru-RU"/>
        </w:rPr>
        <w:footnoteReference w:id="269"/>
      </w:r>
      <w:r w:rsidRPr="009E5B39">
        <w:rPr>
          <w:rFonts w:asciiTheme="majorHAnsi" w:eastAsia="Times New Roman" w:hAnsiTheme="majorHAnsi" w:cstheme="majorHAnsi"/>
          <w:sz w:val="24"/>
          <w:szCs w:val="24"/>
          <w:lang w:val="ro-MD" w:eastAsia="ru-RU"/>
        </w:rPr>
        <w:t>. De fapt, pe terenul dat în arendă nu exis</w:t>
      </w:r>
      <w:r w:rsidR="00FE581B" w:rsidRPr="009E5B39">
        <w:rPr>
          <w:rFonts w:asciiTheme="majorHAnsi" w:eastAsia="Times New Roman" w:hAnsiTheme="majorHAnsi" w:cstheme="majorHAnsi"/>
          <w:sz w:val="24"/>
          <w:szCs w:val="24"/>
          <w:lang w:val="ro-MD" w:eastAsia="ru-RU"/>
        </w:rPr>
        <w:t>t</w:t>
      </w:r>
      <w:r w:rsidRPr="009E5B39">
        <w:rPr>
          <w:rFonts w:asciiTheme="majorHAnsi" w:eastAsia="Times New Roman" w:hAnsiTheme="majorHAnsi" w:cstheme="majorHAnsi"/>
          <w:sz w:val="24"/>
          <w:szCs w:val="24"/>
          <w:lang w:val="ro-MD" w:eastAsia="ru-RU"/>
        </w:rPr>
        <w:t>ă niciun centru de agrement și distracție pentru copii, acesta fiind împărțit în mai multe loturi</w:t>
      </w:r>
      <w:r w:rsidRPr="009E5B39">
        <w:rPr>
          <w:rFonts w:asciiTheme="majorHAnsi" w:hAnsiTheme="majorHAnsi" w:cstheme="majorHAnsi"/>
          <w:sz w:val="24"/>
          <w:szCs w:val="24"/>
          <w:vertAlign w:val="superscript"/>
          <w:lang w:val="ro-MD" w:eastAsia="ru-RU"/>
        </w:rPr>
        <w:footnoteReference w:id="270"/>
      </w:r>
      <w:r w:rsidRPr="009E5B39">
        <w:rPr>
          <w:rFonts w:asciiTheme="majorHAnsi" w:eastAsia="Times New Roman" w:hAnsiTheme="majorHAnsi" w:cstheme="majorHAnsi"/>
          <w:sz w:val="24"/>
          <w:szCs w:val="24"/>
          <w:lang w:val="ro-MD" w:eastAsia="ru-RU"/>
        </w:rPr>
        <w:t>. Trei din aceste terenuri</w:t>
      </w:r>
      <w:r w:rsidRPr="009E5B39">
        <w:rPr>
          <w:rFonts w:asciiTheme="majorHAnsi" w:eastAsia="Times New Roman" w:hAnsiTheme="majorHAnsi" w:cstheme="majorHAnsi"/>
          <w:sz w:val="24"/>
          <w:szCs w:val="24"/>
          <w:vertAlign w:val="superscript"/>
          <w:lang w:val="ro-MD" w:eastAsia="ru-RU"/>
        </w:rPr>
        <w:footnoteReference w:id="271"/>
      </w:r>
      <w:r w:rsidR="00FE581B" w:rsidRPr="009E5B39">
        <w:rPr>
          <w:rFonts w:asciiTheme="majorHAnsi" w:eastAsia="Times New Roman" w:hAnsiTheme="majorHAnsi" w:cstheme="majorHAnsi"/>
          <w:sz w:val="24"/>
          <w:szCs w:val="24"/>
          <w:lang w:val="ro-MD" w:eastAsia="ru-RU"/>
        </w:rPr>
        <w:t xml:space="preserve">, </w:t>
      </w:r>
      <w:r w:rsidRPr="009E5B39">
        <w:rPr>
          <w:rFonts w:asciiTheme="majorHAnsi" w:eastAsia="Times New Roman" w:hAnsiTheme="majorHAnsi" w:cstheme="majorHAnsi"/>
          <w:sz w:val="24"/>
          <w:szCs w:val="24"/>
          <w:lang w:val="ro-MD" w:eastAsia="ru-RU"/>
        </w:rPr>
        <w:t>cu  suprafaț</w:t>
      </w:r>
      <w:r w:rsidR="00FE581B" w:rsidRPr="009E5B39">
        <w:rPr>
          <w:rFonts w:asciiTheme="majorHAnsi" w:eastAsia="Times New Roman" w:hAnsiTheme="majorHAnsi" w:cstheme="majorHAnsi"/>
          <w:sz w:val="24"/>
          <w:szCs w:val="24"/>
          <w:lang w:val="ro-MD" w:eastAsia="ru-RU"/>
        </w:rPr>
        <w:t xml:space="preserve">a </w:t>
      </w:r>
      <w:r w:rsidRPr="009E5B39">
        <w:rPr>
          <w:rFonts w:asciiTheme="majorHAnsi" w:eastAsia="Times New Roman" w:hAnsiTheme="majorHAnsi" w:cstheme="majorHAnsi"/>
          <w:sz w:val="24"/>
          <w:szCs w:val="24"/>
          <w:lang w:val="ro-MD" w:eastAsia="ru-RU"/>
        </w:rPr>
        <w:t xml:space="preserve"> totală de 0,4241 ha,</w:t>
      </w:r>
      <w:r w:rsidRPr="009E5B39">
        <w:rPr>
          <w:rFonts w:asciiTheme="majorHAnsi" w:hAnsiTheme="majorHAnsi" w:cstheme="majorHAnsi"/>
          <w:sz w:val="24"/>
          <w:szCs w:val="24"/>
          <w:lang w:val="ro-MD"/>
        </w:rPr>
        <w:t xml:space="preserve"> se consideră proprietate municipală, dar </w:t>
      </w:r>
      <w:r w:rsidRPr="009E5B39">
        <w:rPr>
          <w:rFonts w:asciiTheme="majorHAnsi" w:eastAsia="Times New Roman" w:hAnsiTheme="majorHAnsi" w:cstheme="majorHAnsi"/>
          <w:sz w:val="24"/>
          <w:szCs w:val="24"/>
          <w:lang w:val="ro-MD" w:eastAsia="ru-RU"/>
        </w:rPr>
        <w:t>ca rezultat al construcției clădirilor capitale</w:t>
      </w:r>
      <w:r w:rsidR="00FE581B"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acestea și-au pierdut calitatea inițială și pe viitor nu vor putea fi utilizate conform destinației stabilite. Astfel, auditul constată lipsirea bugetului municipal de venituri estimate la </w:t>
      </w:r>
      <w:r w:rsidRPr="009E5B39">
        <w:rPr>
          <w:rFonts w:asciiTheme="majorHAnsi" w:eastAsia="Times New Roman" w:hAnsiTheme="majorHAnsi" w:cstheme="majorHAnsi"/>
          <w:b/>
          <w:sz w:val="24"/>
          <w:szCs w:val="24"/>
          <w:lang w:val="ro-MD" w:eastAsia="ru-RU"/>
        </w:rPr>
        <w:t>circa 1.272,3 mii euro, sau 26.082,2 mii lei</w:t>
      </w:r>
      <w:r w:rsidRPr="009E5B39">
        <w:rPr>
          <w:rFonts w:asciiTheme="majorHAnsi" w:eastAsia="Times New Roman" w:hAnsiTheme="majorHAnsi" w:cstheme="majorHAnsi"/>
          <w:b/>
          <w:sz w:val="24"/>
          <w:szCs w:val="24"/>
          <w:vertAlign w:val="superscript"/>
          <w:lang w:val="ro-MD" w:eastAsia="ru-RU"/>
        </w:rPr>
        <w:footnoteReference w:id="272"/>
      </w:r>
      <w:r w:rsidRPr="009E5B39">
        <w:rPr>
          <w:rFonts w:asciiTheme="majorHAnsi" w:eastAsia="Times New Roman" w:hAnsiTheme="majorHAnsi" w:cstheme="majorHAnsi"/>
          <w:b/>
          <w:sz w:val="24"/>
          <w:szCs w:val="24"/>
          <w:lang w:val="ro-MD" w:eastAsia="ru-RU"/>
        </w:rPr>
        <w:t xml:space="preserve">. </w:t>
      </w:r>
    </w:p>
    <w:p w14:paraId="3C9AE78F" w14:textId="766E2304" w:rsidR="003E291B" w:rsidRPr="009E5B39" w:rsidRDefault="003E291B" w:rsidP="00581AA1">
      <w:pPr>
        <w:numPr>
          <w:ilvl w:val="0"/>
          <w:numId w:val="33"/>
        </w:numPr>
        <w:spacing w:after="0" w:line="276" w:lineRule="auto"/>
        <w:ind w:left="0" w:firstLine="0"/>
        <w:contextualSpacing/>
        <w:jc w:val="both"/>
        <w:rPr>
          <w:rFonts w:asciiTheme="majorHAnsi" w:eastAsia="Times New Roman" w:hAnsiTheme="majorHAnsi" w:cstheme="majorHAnsi"/>
          <w:sz w:val="24"/>
          <w:szCs w:val="24"/>
          <w:lang w:val="ro-MD" w:eastAsia="ru-RU"/>
        </w:rPr>
      </w:pPr>
      <w:r w:rsidRPr="009E5B39">
        <w:rPr>
          <w:rFonts w:asciiTheme="majorHAnsi" w:eastAsia="Times New Roman" w:hAnsiTheme="majorHAnsi" w:cstheme="majorHAnsi"/>
          <w:sz w:val="24"/>
          <w:szCs w:val="24"/>
          <w:lang w:val="ro-MD" w:eastAsia="ru-RU"/>
        </w:rPr>
        <w:t xml:space="preserve">În cazul terenurilor arendate cu </w:t>
      </w:r>
      <w:r w:rsidRPr="009E5B39">
        <w:rPr>
          <w:rFonts w:asciiTheme="majorHAnsi" w:hAnsiTheme="majorHAnsi" w:cstheme="majorHAnsi"/>
          <w:b/>
          <w:sz w:val="24"/>
          <w:szCs w:val="24"/>
          <w:lang w:val="ro-MD"/>
        </w:rPr>
        <w:t xml:space="preserve">numărul cadastral 0100207302, </w:t>
      </w:r>
      <w:r w:rsidRPr="009E5B39">
        <w:rPr>
          <w:rFonts w:asciiTheme="majorHAnsi" w:eastAsia="Times New Roman" w:hAnsiTheme="majorHAnsi" w:cstheme="majorHAnsi"/>
          <w:sz w:val="24"/>
          <w:szCs w:val="24"/>
          <w:lang w:val="ro-MD" w:eastAsia="ru-RU"/>
        </w:rPr>
        <w:t xml:space="preserve">cu suprafața de 0,11 ha, și cu </w:t>
      </w:r>
      <w:r w:rsidRPr="009E5B39">
        <w:rPr>
          <w:rFonts w:asciiTheme="majorHAnsi" w:hAnsiTheme="majorHAnsi" w:cstheme="majorHAnsi"/>
          <w:b/>
          <w:sz w:val="24"/>
          <w:szCs w:val="24"/>
          <w:lang w:val="ro-MD"/>
        </w:rPr>
        <w:t xml:space="preserve">numărul cadastral 0100207303, </w:t>
      </w:r>
      <w:r w:rsidRPr="009E5B39">
        <w:rPr>
          <w:rFonts w:asciiTheme="majorHAnsi" w:eastAsia="Times New Roman" w:hAnsiTheme="majorHAnsi" w:cstheme="majorHAnsi"/>
          <w:sz w:val="24"/>
          <w:szCs w:val="24"/>
          <w:lang w:val="ro-MD" w:eastAsia="ru-RU"/>
        </w:rPr>
        <w:t xml:space="preserve">cu suprafața de 0,0453 ha, din bd. Ștefan cel Mare </w:t>
      </w:r>
      <w:r w:rsidR="00F9673D" w:rsidRPr="009E5B39">
        <w:rPr>
          <w:rFonts w:asciiTheme="majorHAnsi" w:eastAsia="Times New Roman" w:hAnsiTheme="majorHAnsi" w:cstheme="majorHAnsi"/>
          <w:sz w:val="24"/>
          <w:szCs w:val="24"/>
          <w:lang w:val="ro-MD" w:eastAsia="ru-RU"/>
        </w:rPr>
        <w:t xml:space="preserve">și Sfânt </w:t>
      </w:r>
      <w:r w:rsidRPr="009E5B39">
        <w:rPr>
          <w:rFonts w:asciiTheme="majorHAnsi" w:eastAsia="Times New Roman" w:hAnsiTheme="majorHAnsi" w:cstheme="majorHAnsi"/>
          <w:sz w:val="24"/>
          <w:szCs w:val="24"/>
          <w:lang w:val="ro-MD" w:eastAsia="ru-RU"/>
        </w:rPr>
        <w:t xml:space="preserve">nr.3, mun. Chișinău, </w:t>
      </w:r>
      <w:r w:rsidRPr="009E5B39">
        <w:rPr>
          <w:rFonts w:asciiTheme="majorHAnsi" w:eastAsia="Times New Roman" w:hAnsiTheme="majorHAnsi" w:cstheme="majorHAnsi"/>
          <w:sz w:val="24"/>
          <w:szCs w:val="24"/>
          <w:lang w:val="ro-MD"/>
        </w:rPr>
        <w:t xml:space="preserve">transmise SRL „Iralina”, </w:t>
      </w:r>
      <w:r w:rsidRPr="009E5B39">
        <w:rPr>
          <w:rFonts w:asciiTheme="majorHAnsi" w:eastAsia="Times New Roman" w:hAnsiTheme="majorHAnsi" w:cstheme="majorHAnsi"/>
          <w:sz w:val="24"/>
          <w:szCs w:val="24"/>
          <w:lang w:val="ro-MD" w:eastAsia="ru-RU"/>
        </w:rPr>
        <w:t xml:space="preserve">a avut loc atribuirea acestora în arendă funciară </w:t>
      </w:r>
      <w:r w:rsidR="00F9673D" w:rsidRPr="009E5B39">
        <w:rPr>
          <w:rFonts w:asciiTheme="majorHAnsi" w:eastAsia="Times New Roman" w:hAnsiTheme="majorHAnsi" w:cstheme="majorHAnsi"/>
          <w:sz w:val="24"/>
          <w:szCs w:val="24"/>
          <w:lang w:val="ro-MD" w:eastAsia="ru-RU"/>
        </w:rPr>
        <w:t xml:space="preserve">în mod </w:t>
      </w:r>
      <w:r w:rsidRPr="009E5B39">
        <w:rPr>
          <w:rFonts w:asciiTheme="majorHAnsi" w:eastAsia="Times New Roman" w:hAnsiTheme="majorHAnsi" w:cstheme="majorHAnsi"/>
          <w:sz w:val="24"/>
          <w:szCs w:val="24"/>
          <w:lang w:val="ro-MD" w:eastAsia="ru-RU"/>
        </w:rPr>
        <w:t>netransparent, fără a fi expus la licitați</w:t>
      </w:r>
      <w:r w:rsidR="00F9673D" w:rsidRPr="009E5B39">
        <w:rPr>
          <w:rFonts w:asciiTheme="majorHAnsi" w:eastAsia="Times New Roman" w:hAnsiTheme="majorHAnsi" w:cstheme="majorHAnsi"/>
          <w:sz w:val="24"/>
          <w:szCs w:val="24"/>
          <w:lang w:val="ro-MD" w:eastAsia="ru-RU"/>
        </w:rPr>
        <w:t>e</w:t>
      </w:r>
      <w:r w:rsidRPr="009E5B39">
        <w:rPr>
          <w:rFonts w:asciiTheme="majorHAnsi" w:eastAsia="Times New Roman" w:hAnsiTheme="majorHAnsi" w:cstheme="majorHAnsi"/>
          <w:sz w:val="24"/>
          <w:szCs w:val="24"/>
          <w:lang w:val="ro-MD" w:eastAsia="ru-RU"/>
        </w:rPr>
        <w:t xml:space="preserve"> un teren. Terenul respectiv a fost parte a terenului vecin, folosit pentru parcare auto. La 31.12.2020</w:t>
      </w:r>
      <w:r w:rsidR="00F9673D"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agentul economic nu a achitat plata </w:t>
      </w:r>
      <w:r w:rsidR="00F9673D" w:rsidRPr="009E5B39">
        <w:rPr>
          <w:rFonts w:asciiTheme="majorHAnsi" w:eastAsia="Times New Roman" w:hAnsiTheme="majorHAnsi" w:cstheme="majorHAnsi"/>
          <w:sz w:val="24"/>
          <w:szCs w:val="24"/>
          <w:lang w:val="ro-MD" w:eastAsia="ru-RU"/>
        </w:rPr>
        <w:t xml:space="preserve">pentru </w:t>
      </w:r>
      <w:r w:rsidRPr="009E5B39">
        <w:rPr>
          <w:rFonts w:asciiTheme="majorHAnsi" w:eastAsia="Times New Roman" w:hAnsiTheme="majorHAnsi" w:cstheme="majorHAnsi"/>
          <w:sz w:val="24"/>
          <w:szCs w:val="24"/>
          <w:lang w:val="ro-MD" w:eastAsia="ru-RU"/>
        </w:rPr>
        <w:t xml:space="preserve"> arendă pe ultimii 2 ani</w:t>
      </w:r>
      <w:r w:rsidR="00F9673D" w:rsidRPr="009E5B39">
        <w:rPr>
          <w:rFonts w:asciiTheme="majorHAnsi" w:eastAsia="Times New Roman" w:hAnsiTheme="majorHAnsi" w:cstheme="majorHAnsi"/>
          <w:sz w:val="24"/>
          <w:szCs w:val="24"/>
          <w:lang w:val="ro-MD" w:eastAsia="ru-RU"/>
        </w:rPr>
        <w:t>,</w:t>
      </w:r>
      <w:r w:rsidRPr="009E5B39">
        <w:rPr>
          <w:rFonts w:asciiTheme="majorHAnsi" w:eastAsia="Times New Roman" w:hAnsiTheme="majorHAnsi" w:cstheme="majorHAnsi"/>
          <w:sz w:val="24"/>
          <w:szCs w:val="24"/>
          <w:lang w:val="ro-MD" w:eastAsia="ru-RU"/>
        </w:rPr>
        <w:t xml:space="preserve"> acumulând o datorie de </w:t>
      </w:r>
      <w:r w:rsidRPr="009E5B39">
        <w:rPr>
          <w:rFonts w:asciiTheme="majorHAnsi" w:eastAsia="Times New Roman" w:hAnsiTheme="majorHAnsi" w:cstheme="majorHAnsi"/>
          <w:b/>
          <w:sz w:val="24"/>
          <w:szCs w:val="24"/>
          <w:lang w:val="ro-MD" w:eastAsia="ru-RU"/>
        </w:rPr>
        <w:t>37,3 mii lei.</w:t>
      </w:r>
    </w:p>
    <w:p w14:paraId="1DB21E09" w14:textId="2D02A34D" w:rsidR="003E291B" w:rsidRPr="009E5B39" w:rsidRDefault="00581AA1" w:rsidP="003C5073">
      <w:pPr>
        <w:pStyle w:val="ListParagraph"/>
        <w:numPr>
          <w:ilvl w:val="0"/>
          <w:numId w:val="33"/>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Prezentul audit a stabilit că, p</w:t>
      </w:r>
      <w:r w:rsidR="003E291B" w:rsidRPr="009E5B39">
        <w:rPr>
          <w:rFonts w:asciiTheme="majorHAnsi" w:hAnsiTheme="majorHAnsi" w:cstheme="majorHAnsi"/>
          <w:sz w:val="24"/>
          <w:szCs w:val="24"/>
          <w:lang w:val="ro-MD"/>
        </w:rPr>
        <w:t>otrivit datelor din Registrul bunurilor imobile, DGLCA deține dreptul de proprietate asupra a 4 încăperi izolate (apartamente)</w:t>
      </w:r>
      <w:r w:rsidR="00F9673D" w:rsidRPr="009E5B39">
        <w:rPr>
          <w:rFonts w:asciiTheme="majorHAnsi" w:hAnsiTheme="majorHAnsi" w:cstheme="majorHAnsi"/>
          <w:sz w:val="24"/>
          <w:szCs w:val="24"/>
          <w:lang w:val="ro-MD"/>
        </w:rPr>
        <w:t>,</w:t>
      </w:r>
      <w:r w:rsidR="003E291B" w:rsidRPr="009E5B39">
        <w:rPr>
          <w:rFonts w:asciiTheme="majorHAnsi" w:hAnsiTheme="majorHAnsi" w:cstheme="majorHAnsi"/>
          <w:sz w:val="24"/>
          <w:szCs w:val="24"/>
          <w:lang w:val="ro-MD"/>
        </w:rPr>
        <w:t xml:space="preserve"> cu suprafața totală de 320,85 m</w:t>
      </w:r>
      <w:r w:rsidR="00F9673D" w:rsidRPr="009E5B39">
        <w:rPr>
          <w:rFonts w:asciiTheme="majorHAnsi" w:hAnsiTheme="majorHAnsi" w:cstheme="majorHAnsi"/>
          <w:sz w:val="24"/>
          <w:szCs w:val="24"/>
          <w:vertAlign w:val="superscript"/>
          <w:lang w:val="ro-MD"/>
        </w:rPr>
        <w:t>2</w:t>
      </w:r>
      <w:r w:rsidR="003E291B" w:rsidRPr="009E5B39">
        <w:rPr>
          <w:rFonts w:asciiTheme="majorHAnsi" w:hAnsiTheme="majorHAnsi" w:cstheme="majorHAnsi"/>
          <w:sz w:val="24"/>
          <w:szCs w:val="24"/>
          <w:lang w:val="ro-MD"/>
        </w:rPr>
        <w:t>, inclusiv 2 bunuri viitoare, cu suprafața de 162,95 m</w:t>
      </w:r>
      <w:r w:rsidR="00F9673D" w:rsidRPr="009E5B39">
        <w:rPr>
          <w:rFonts w:asciiTheme="majorHAnsi" w:hAnsiTheme="majorHAnsi" w:cstheme="majorHAnsi"/>
          <w:sz w:val="24"/>
          <w:szCs w:val="24"/>
          <w:vertAlign w:val="superscript"/>
          <w:lang w:val="ro-MD"/>
        </w:rPr>
        <w:t>2</w:t>
      </w:r>
      <w:r w:rsidR="003E291B" w:rsidRPr="009E5B39">
        <w:rPr>
          <w:rFonts w:asciiTheme="majorHAnsi" w:hAnsiTheme="majorHAnsi" w:cstheme="majorHAnsi"/>
          <w:sz w:val="24"/>
          <w:szCs w:val="24"/>
          <w:lang w:val="ro-MD"/>
        </w:rPr>
        <w:t xml:space="preserve"> </w:t>
      </w:r>
      <w:r w:rsidR="00F9673D" w:rsidRPr="009E5B39">
        <w:rPr>
          <w:rFonts w:asciiTheme="majorHAnsi" w:hAnsiTheme="majorHAnsi" w:cstheme="majorHAnsi"/>
          <w:sz w:val="24"/>
          <w:szCs w:val="24"/>
          <w:lang w:val="ro-MD"/>
        </w:rPr>
        <w:t xml:space="preserve">, </w:t>
      </w:r>
      <w:r w:rsidR="003E291B" w:rsidRPr="009E5B39">
        <w:rPr>
          <w:rFonts w:asciiTheme="majorHAnsi" w:hAnsiTheme="majorHAnsi" w:cstheme="majorHAnsi"/>
          <w:sz w:val="24"/>
          <w:szCs w:val="24"/>
          <w:lang w:val="ro-MD"/>
        </w:rPr>
        <w:t>situate în blocul locativ din str. Dumitru Rîșcanu 29/2 din mun. Chișinău.</w:t>
      </w:r>
    </w:p>
    <w:tbl>
      <w:tblPr>
        <w:tblStyle w:val="TableGrid"/>
        <w:tblW w:w="0" w:type="auto"/>
        <w:tblLook w:val="04A0" w:firstRow="1" w:lastRow="0" w:firstColumn="1" w:lastColumn="0" w:noHBand="0" w:noVBand="1"/>
      </w:tblPr>
      <w:tblGrid>
        <w:gridCol w:w="505"/>
        <w:gridCol w:w="1565"/>
        <w:gridCol w:w="1550"/>
        <w:gridCol w:w="3038"/>
        <w:gridCol w:w="906"/>
        <w:gridCol w:w="1642"/>
        <w:gridCol w:w="6"/>
      </w:tblGrid>
      <w:tr w:rsidR="003E291B" w:rsidRPr="009E5B39" w14:paraId="3AC2FBC3" w14:textId="77777777" w:rsidTr="003E291B">
        <w:tc>
          <w:tcPr>
            <w:tcW w:w="9212" w:type="dxa"/>
            <w:gridSpan w:val="7"/>
            <w:tcBorders>
              <w:top w:val="single" w:sz="4" w:space="0" w:color="FFFFFF"/>
              <w:left w:val="single" w:sz="4" w:space="0" w:color="FFFFFF"/>
              <w:right w:val="single" w:sz="4" w:space="0" w:color="FFFFFF"/>
            </w:tcBorders>
            <w:vAlign w:val="center"/>
          </w:tcPr>
          <w:p w14:paraId="553704E0" w14:textId="5CF6C76D" w:rsidR="003E291B" w:rsidRPr="009E5B39" w:rsidRDefault="003E291B" w:rsidP="003E291B">
            <w:pPr>
              <w:spacing w:line="276" w:lineRule="auto"/>
              <w:rPr>
                <w:rFonts w:asciiTheme="majorHAnsi" w:hAnsiTheme="majorHAnsi" w:cstheme="majorHAnsi"/>
                <w:b/>
                <w:bCs/>
                <w:sz w:val="16"/>
                <w:szCs w:val="16"/>
                <w:lang w:val="ro-MD"/>
              </w:rPr>
            </w:pPr>
            <w:r w:rsidRPr="009E5B39">
              <w:rPr>
                <w:rFonts w:asciiTheme="majorHAnsi" w:hAnsiTheme="majorHAnsi" w:cstheme="majorHAnsi"/>
                <w:b/>
                <w:bCs/>
                <w:sz w:val="16"/>
                <w:szCs w:val="16"/>
                <w:lang w:val="ro-MD"/>
              </w:rPr>
              <w:t>Analiza bunurilor imobile, drepturile de proprietate asupra cărora aparțin DGLCA</w:t>
            </w:r>
          </w:p>
        </w:tc>
      </w:tr>
      <w:tr w:rsidR="003E291B" w:rsidRPr="009E5B39" w14:paraId="318A4BAA" w14:textId="77777777" w:rsidTr="003E291B">
        <w:trPr>
          <w:gridAfter w:val="1"/>
          <w:wAfter w:w="6" w:type="dxa"/>
        </w:trPr>
        <w:tc>
          <w:tcPr>
            <w:tcW w:w="505" w:type="dxa"/>
            <w:shd w:val="clear" w:color="auto" w:fill="D9E2F3" w:themeFill="accent5" w:themeFillTint="33"/>
            <w:vAlign w:val="center"/>
          </w:tcPr>
          <w:p w14:paraId="65414161" w14:textId="77777777" w:rsidR="003E291B" w:rsidRPr="009E5B39" w:rsidRDefault="003E291B" w:rsidP="003E291B">
            <w:pPr>
              <w:spacing w:line="276" w:lineRule="auto"/>
              <w:jc w:val="center"/>
              <w:rPr>
                <w:rFonts w:asciiTheme="majorHAnsi" w:hAnsiTheme="majorHAnsi" w:cstheme="majorHAnsi"/>
                <w:b/>
                <w:bCs/>
                <w:sz w:val="16"/>
                <w:szCs w:val="16"/>
                <w:lang w:val="ro-MD"/>
              </w:rPr>
            </w:pPr>
            <w:r w:rsidRPr="009E5B39">
              <w:rPr>
                <w:rFonts w:asciiTheme="majorHAnsi" w:hAnsiTheme="majorHAnsi" w:cstheme="majorHAnsi"/>
                <w:b/>
                <w:bCs/>
                <w:sz w:val="16"/>
                <w:szCs w:val="16"/>
                <w:lang w:val="ro-MD"/>
              </w:rPr>
              <w:t>Nr. d/o</w:t>
            </w:r>
          </w:p>
        </w:tc>
        <w:tc>
          <w:tcPr>
            <w:tcW w:w="1565" w:type="dxa"/>
            <w:shd w:val="clear" w:color="auto" w:fill="D9E2F3" w:themeFill="accent5" w:themeFillTint="33"/>
            <w:vAlign w:val="center"/>
          </w:tcPr>
          <w:p w14:paraId="13760267" w14:textId="77777777" w:rsidR="003E291B" w:rsidRPr="009E5B39" w:rsidRDefault="003E291B" w:rsidP="003E291B">
            <w:pPr>
              <w:spacing w:line="276" w:lineRule="auto"/>
              <w:jc w:val="center"/>
              <w:rPr>
                <w:rFonts w:asciiTheme="majorHAnsi" w:hAnsiTheme="majorHAnsi" w:cstheme="majorHAnsi"/>
                <w:b/>
                <w:bCs/>
                <w:sz w:val="16"/>
                <w:szCs w:val="16"/>
                <w:lang w:val="ro-MD"/>
              </w:rPr>
            </w:pPr>
            <w:r w:rsidRPr="009E5B39">
              <w:rPr>
                <w:rFonts w:asciiTheme="majorHAnsi" w:hAnsiTheme="majorHAnsi" w:cstheme="majorHAnsi"/>
                <w:b/>
                <w:bCs/>
                <w:sz w:val="16"/>
                <w:szCs w:val="16"/>
                <w:lang w:val="ro-MD"/>
              </w:rPr>
              <w:t>Tipul bunului</w:t>
            </w:r>
          </w:p>
          <w:p w14:paraId="3146ECEE" w14:textId="77777777" w:rsidR="003E291B" w:rsidRPr="009E5B39" w:rsidRDefault="003E291B" w:rsidP="003E291B">
            <w:pPr>
              <w:spacing w:line="276" w:lineRule="auto"/>
              <w:jc w:val="center"/>
              <w:rPr>
                <w:rFonts w:asciiTheme="majorHAnsi" w:hAnsiTheme="majorHAnsi" w:cstheme="majorHAnsi"/>
                <w:b/>
                <w:bCs/>
                <w:sz w:val="16"/>
                <w:szCs w:val="16"/>
                <w:lang w:val="ro-MD"/>
              </w:rPr>
            </w:pPr>
            <w:r w:rsidRPr="009E5B39">
              <w:rPr>
                <w:rFonts w:asciiTheme="majorHAnsi" w:hAnsiTheme="majorHAnsi" w:cstheme="majorHAnsi"/>
                <w:b/>
                <w:bCs/>
                <w:sz w:val="16"/>
                <w:szCs w:val="16"/>
                <w:lang w:val="ro-MD"/>
              </w:rPr>
              <w:t>(modul de folosință)</w:t>
            </w:r>
          </w:p>
        </w:tc>
        <w:tc>
          <w:tcPr>
            <w:tcW w:w="1550" w:type="dxa"/>
            <w:shd w:val="clear" w:color="auto" w:fill="D9E2F3" w:themeFill="accent5" w:themeFillTint="33"/>
            <w:vAlign w:val="center"/>
          </w:tcPr>
          <w:p w14:paraId="08FC3331" w14:textId="77777777" w:rsidR="003E291B" w:rsidRPr="009E5B39" w:rsidRDefault="003E291B" w:rsidP="003E291B">
            <w:pPr>
              <w:spacing w:line="276" w:lineRule="auto"/>
              <w:jc w:val="center"/>
              <w:rPr>
                <w:rFonts w:asciiTheme="majorHAnsi" w:hAnsiTheme="majorHAnsi" w:cstheme="majorHAnsi"/>
                <w:b/>
                <w:bCs/>
                <w:sz w:val="16"/>
                <w:szCs w:val="16"/>
                <w:lang w:val="ro-MD"/>
              </w:rPr>
            </w:pPr>
            <w:r w:rsidRPr="009E5B39">
              <w:rPr>
                <w:rFonts w:asciiTheme="majorHAnsi" w:hAnsiTheme="majorHAnsi" w:cstheme="majorHAnsi"/>
                <w:b/>
                <w:bCs/>
                <w:sz w:val="16"/>
                <w:szCs w:val="16"/>
                <w:lang w:val="ro-MD"/>
              </w:rPr>
              <w:t>Nr. cadastral</w:t>
            </w:r>
          </w:p>
        </w:tc>
        <w:tc>
          <w:tcPr>
            <w:tcW w:w="3038" w:type="dxa"/>
            <w:shd w:val="clear" w:color="auto" w:fill="D9E2F3" w:themeFill="accent5" w:themeFillTint="33"/>
            <w:vAlign w:val="center"/>
          </w:tcPr>
          <w:p w14:paraId="4E449247" w14:textId="77777777" w:rsidR="003E291B" w:rsidRPr="009E5B39" w:rsidRDefault="003E291B" w:rsidP="003E291B">
            <w:pPr>
              <w:spacing w:line="276" w:lineRule="auto"/>
              <w:jc w:val="center"/>
              <w:rPr>
                <w:rFonts w:asciiTheme="majorHAnsi" w:hAnsiTheme="majorHAnsi" w:cstheme="majorHAnsi"/>
                <w:b/>
                <w:bCs/>
                <w:sz w:val="16"/>
                <w:szCs w:val="16"/>
                <w:lang w:val="ro-MD"/>
              </w:rPr>
            </w:pPr>
            <w:r w:rsidRPr="009E5B39">
              <w:rPr>
                <w:rFonts w:asciiTheme="majorHAnsi" w:hAnsiTheme="majorHAnsi" w:cstheme="majorHAnsi"/>
                <w:b/>
                <w:bCs/>
                <w:sz w:val="16"/>
                <w:szCs w:val="16"/>
                <w:lang w:val="ro-MD"/>
              </w:rPr>
              <w:t>Adresa juridică</w:t>
            </w:r>
          </w:p>
        </w:tc>
        <w:tc>
          <w:tcPr>
            <w:tcW w:w="906" w:type="dxa"/>
            <w:shd w:val="clear" w:color="auto" w:fill="D9E2F3" w:themeFill="accent5" w:themeFillTint="33"/>
            <w:vAlign w:val="center"/>
          </w:tcPr>
          <w:p w14:paraId="37AC7F77" w14:textId="77777777" w:rsidR="003E291B" w:rsidRPr="009E5B39" w:rsidRDefault="003E291B" w:rsidP="003E291B">
            <w:pPr>
              <w:spacing w:line="276" w:lineRule="auto"/>
              <w:jc w:val="center"/>
              <w:rPr>
                <w:rFonts w:asciiTheme="majorHAnsi" w:hAnsiTheme="majorHAnsi" w:cstheme="majorHAnsi"/>
                <w:b/>
                <w:bCs/>
                <w:sz w:val="16"/>
                <w:szCs w:val="16"/>
                <w:lang w:val="ro-MD"/>
              </w:rPr>
            </w:pPr>
            <w:r w:rsidRPr="009E5B39">
              <w:rPr>
                <w:rFonts w:asciiTheme="majorHAnsi" w:hAnsiTheme="majorHAnsi" w:cstheme="majorHAnsi"/>
                <w:b/>
                <w:bCs/>
                <w:sz w:val="16"/>
                <w:szCs w:val="16"/>
                <w:lang w:val="ro-MD"/>
              </w:rPr>
              <w:t>Suprafața (m.p.)</w:t>
            </w:r>
          </w:p>
        </w:tc>
        <w:tc>
          <w:tcPr>
            <w:tcW w:w="1642" w:type="dxa"/>
            <w:shd w:val="clear" w:color="auto" w:fill="D9E2F3" w:themeFill="accent5" w:themeFillTint="33"/>
            <w:vAlign w:val="center"/>
          </w:tcPr>
          <w:p w14:paraId="6FA2D19E" w14:textId="77777777" w:rsidR="003E291B" w:rsidRPr="009E5B39" w:rsidRDefault="003E291B" w:rsidP="003E291B">
            <w:pPr>
              <w:spacing w:line="276" w:lineRule="auto"/>
              <w:jc w:val="center"/>
              <w:rPr>
                <w:rFonts w:asciiTheme="majorHAnsi" w:hAnsiTheme="majorHAnsi" w:cstheme="majorHAnsi"/>
                <w:b/>
                <w:bCs/>
                <w:sz w:val="16"/>
                <w:szCs w:val="16"/>
                <w:lang w:val="ro-MD"/>
              </w:rPr>
            </w:pPr>
            <w:r w:rsidRPr="009E5B39">
              <w:rPr>
                <w:rFonts w:asciiTheme="majorHAnsi" w:hAnsiTheme="majorHAnsi" w:cstheme="majorHAnsi"/>
                <w:b/>
                <w:bCs/>
                <w:sz w:val="16"/>
                <w:szCs w:val="16"/>
                <w:lang w:val="ro-MD"/>
              </w:rPr>
              <w:t>Valoarea din evidența contabilă a DGLCA</w:t>
            </w:r>
          </w:p>
          <w:p w14:paraId="54508EFC" w14:textId="77777777" w:rsidR="003E291B" w:rsidRPr="009E5B39" w:rsidRDefault="003E291B" w:rsidP="003E291B">
            <w:pPr>
              <w:spacing w:line="276" w:lineRule="auto"/>
              <w:jc w:val="center"/>
              <w:rPr>
                <w:rFonts w:asciiTheme="majorHAnsi" w:hAnsiTheme="majorHAnsi" w:cstheme="majorHAnsi"/>
                <w:b/>
                <w:bCs/>
                <w:sz w:val="16"/>
                <w:szCs w:val="16"/>
                <w:lang w:val="ro-MD"/>
              </w:rPr>
            </w:pPr>
            <w:r w:rsidRPr="009E5B39">
              <w:rPr>
                <w:rFonts w:asciiTheme="majorHAnsi" w:hAnsiTheme="majorHAnsi" w:cstheme="majorHAnsi"/>
                <w:b/>
                <w:bCs/>
                <w:sz w:val="16"/>
                <w:szCs w:val="16"/>
                <w:lang w:val="ro-MD"/>
              </w:rPr>
              <w:t>(mii lei)</w:t>
            </w:r>
          </w:p>
        </w:tc>
      </w:tr>
      <w:tr w:rsidR="003E291B" w:rsidRPr="009E5B39" w14:paraId="0AC21661" w14:textId="77777777" w:rsidTr="003E291B">
        <w:trPr>
          <w:gridAfter w:val="1"/>
          <w:wAfter w:w="6" w:type="dxa"/>
        </w:trPr>
        <w:tc>
          <w:tcPr>
            <w:tcW w:w="505" w:type="dxa"/>
            <w:vAlign w:val="center"/>
          </w:tcPr>
          <w:p w14:paraId="218584BD" w14:textId="77777777" w:rsidR="003E291B" w:rsidRPr="009E5B39" w:rsidRDefault="003E291B" w:rsidP="003E291B">
            <w:pPr>
              <w:spacing w:line="276" w:lineRule="auto"/>
              <w:jc w:val="center"/>
              <w:rPr>
                <w:rFonts w:asciiTheme="majorHAnsi" w:hAnsiTheme="majorHAnsi" w:cstheme="majorHAnsi"/>
                <w:sz w:val="16"/>
                <w:szCs w:val="16"/>
                <w:lang w:val="ro-MD"/>
              </w:rPr>
            </w:pPr>
            <w:r w:rsidRPr="009E5B39">
              <w:rPr>
                <w:rFonts w:asciiTheme="majorHAnsi" w:hAnsiTheme="majorHAnsi" w:cstheme="majorHAnsi"/>
                <w:sz w:val="16"/>
                <w:szCs w:val="16"/>
                <w:lang w:val="ro-MD"/>
              </w:rPr>
              <w:t>1</w:t>
            </w:r>
          </w:p>
        </w:tc>
        <w:tc>
          <w:tcPr>
            <w:tcW w:w="1565" w:type="dxa"/>
            <w:vAlign w:val="center"/>
          </w:tcPr>
          <w:p w14:paraId="1A42012F" w14:textId="77777777" w:rsidR="003E291B" w:rsidRPr="009E5B39" w:rsidRDefault="003E291B" w:rsidP="003E291B">
            <w:pPr>
              <w:spacing w:line="276" w:lineRule="auto"/>
              <w:rPr>
                <w:rFonts w:asciiTheme="majorHAnsi" w:hAnsiTheme="majorHAnsi" w:cstheme="majorHAnsi"/>
                <w:sz w:val="16"/>
                <w:szCs w:val="16"/>
                <w:lang w:val="ro-MD"/>
              </w:rPr>
            </w:pPr>
            <w:r w:rsidRPr="009E5B39">
              <w:rPr>
                <w:rFonts w:asciiTheme="majorHAnsi" w:hAnsiTheme="majorHAnsi" w:cstheme="majorHAnsi"/>
                <w:sz w:val="16"/>
                <w:szCs w:val="16"/>
                <w:lang w:val="ro-MD"/>
              </w:rPr>
              <w:t>Încăpere (locativă)</w:t>
            </w:r>
          </w:p>
        </w:tc>
        <w:tc>
          <w:tcPr>
            <w:tcW w:w="1550" w:type="dxa"/>
            <w:vAlign w:val="center"/>
          </w:tcPr>
          <w:p w14:paraId="7134163A" w14:textId="77777777" w:rsidR="003E291B" w:rsidRPr="009E5B39" w:rsidRDefault="003E291B" w:rsidP="003E291B">
            <w:pPr>
              <w:spacing w:line="276" w:lineRule="auto"/>
              <w:jc w:val="center"/>
              <w:rPr>
                <w:rFonts w:asciiTheme="majorHAnsi" w:hAnsiTheme="majorHAnsi" w:cstheme="majorHAnsi"/>
                <w:sz w:val="16"/>
                <w:szCs w:val="16"/>
                <w:lang w:val="ro-MD"/>
              </w:rPr>
            </w:pPr>
            <w:r w:rsidRPr="009E5B39">
              <w:rPr>
                <w:rFonts w:asciiTheme="majorHAnsi" w:hAnsiTheme="majorHAnsi" w:cstheme="majorHAnsi"/>
                <w:sz w:val="16"/>
                <w:szCs w:val="16"/>
                <w:lang w:val="ro-MD"/>
              </w:rPr>
              <w:t>0100306.108.01.201</w:t>
            </w:r>
          </w:p>
        </w:tc>
        <w:tc>
          <w:tcPr>
            <w:tcW w:w="3038" w:type="dxa"/>
            <w:vAlign w:val="center"/>
          </w:tcPr>
          <w:p w14:paraId="7645AB13" w14:textId="77777777" w:rsidR="003E291B" w:rsidRPr="009E5B39" w:rsidRDefault="003E291B" w:rsidP="003E291B">
            <w:pPr>
              <w:spacing w:line="276" w:lineRule="auto"/>
              <w:rPr>
                <w:rFonts w:asciiTheme="majorHAnsi" w:hAnsiTheme="majorHAnsi" w:cstheme="majorHAnsi"/>
                <w:sz w:val="16"/>
                <w:szCs w:val="16"/>
                <w:lang w:val="ro-MD"/>
              </w:rPr>
            </w:pPr>
            <w:r w:rsidRPr="009E5B39">
              <w:rPr>
                <w:rFonts w:asciiTheme="majorHAnsi" w:hAnsiTheme="majorHAnsi" w:cstheme="majorHAnsi"/>
                <w:sz w:val="16"/>
                <w:szCs w:val="16"/>
                <w:lang w:val="ro-MD"/>
              </w:rPr>
              <w:t>Chișinău, str. Maria Drăgan 30/1, ap. 201</w:t>
            </w:r>
          </w:p>
        </w:tc>
        <w:tc>
          <w:tcPr>
            <w:tcW w:w="906" w:type="dxa"/>
            <w:vAlign w:val="center"/>
          </w:tcPr>
          <w:p w14:paraId="69C0E96B" w14:textId="77777777" w:rsidR="003E291B" w:rsidRPr="009E5B39" w:rsidRDefault="003E291B" w:rsidP="003E291B">
            <w:pPr>
              <w:spacing w:line="276" w:lineRule="auto"/>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64,60</w:t>
            </w:r>
          </w:p>
        </w:tc>
        <w:tc>
          <w:tcPr>
            <w:tcW w:w="1642" w:type="dxa"/>
            <w:vAlign w:val="center"/>
          </w:tcPr>
          <w:p w14:paraId="28C78EE8" w14:textId="77777777" w:rsidR="003E291B" w:rsidRPr="009E5B39" w:rsidRDefault="003E291B" w:rsidP="003E291B">
            <w:pPr>
              <w:spacing w:line="276" w:lineRule="auto"/>
              <w:jc w:val="center"/>
              <w:rPr>
                <w:rFonts w:asciiTheme="majorHAnsi" w:hAnsiTheme="majorHAnsi" w:cstheme="majorHAnsi"/>
                <w:sz w:val="16"/>
                <w:szCs w:val="16"/>
                <w:lang w:val="ro-MD"/>
              </w:rPr>
            </w:pPr>
            <w:r w:rsidRPr="009E5B39">
              <w:rPr>
                <w:rFonts w:asciiTheme="majorHAnsi" w:hAnsiTheme="majorHAnsi" w:cstheme="majorHAnsi"/>
                <w:sz w:val="16"/>
                <w:szCs w:val="16"/>
                <w:lang w:val="ro-MD"/>
              </w:rPr>
              <w:t>Nu este înregistrat</w:t>
            </w:r>
          </w:p>
        </w:tc>
      </w:tr>
      <w:tr w:rsidR="003E291B" w:rsidRPr="009E5B39" w14:paraId="4924DA7A" w14:textId="77777777" w:rsidTr="003E291B">
        <w:trPr>
          <w:gridAfter w:val="1"/>
          <w:wAfter w:w="6" w:type="dxa"/>
        </w:trPr>
        <w:tc>
          <w:tcPr>
            <w:tcW w:w="505" w:type="dxa"/>
            <w:vAlign w:val="center"/>
          </w:tcPr>
          <w:p w14:paraId="52E12E46" w14:textId="77777777" w:rsidR="003E291B" w:rsidRPr="009E5B39" w:rsidRDefault="003E291B" w:rsidP="003E291B">
            <w:pPr>
              <w:spacing w:line="276" w:lineRule="auto"/>
              <w:jc w:val="center"/>
              <w:rPr>
                <w:rFonts w:asciiTheme="majorHAnsi" w:hAnsiTheme="majorHAnsi" w:cstheme="majorHAnsi"/>
                <w:sz w:val="16"/>
                <w:szCs w:val="16"/>
                <w:lang w:val="ro-MD"/>
              </w:rPr>
            </w:pPr>
            <w:r w:rsidRPr="009E5B39">
              <w:rPr>
                <w:rFonts w:asciiTheme="majorHAnsi" w:hAnsiTheme="majorHAnsi" w:cstheme="majorHAnsi"/>
                <w:sz w:val="16"/>
                <w:szCs w:val="16"/>
                <w:lang w:val="ro-MD"/>
              </w:rPr>
              <w:t>2</w:t>
            </w:r>
          </w:p>
        </w:tc>
        <w:tc>
          <w:tcPr>
            <w:tcW w:w="1565" w:type="dxa"/>
            <w:vAlign w:val="center"/>
          </w:tcPr>
          <w:p w14:paraId="23B9259F" w14:textId="77777777" w:rsidR="003E291B" w:rsidRPr="009E5B39" w:rsidRDefault="003E291B" w:rsidP="003E291B">
            <w:pPr>
              <w:spacing w:line="276" w:lineRule="auto"/>
              <w:rPr>
                <w:rFonts w:asciiTheme="majorHAnsi" w:hAnsiTheme="majorHAnsi" w:cstheme="majorHAnsi"/>
                <w:sz w:val="16"/>
                <w:szCs w:val="16"/>
                <w:lang w:val="ro-MD"/>
              </w:rPr>
            </w:pPr>
            <w:r w:rsidRPr="009E5B39">
              <w:rPr>
                <w:rFonts w:asciiTheme="majorHAnsi" w:hAnsiTheme="majorHAnsi" w:cstheme="majorHAnsi"/>
                <w:sz w:val="16"/>
                <w:szCs w:val="16"/>
                <w:lang w:val="ro-MD"/>
              </w:rPr>
              <w:t>Încăpere (locativă)</w:t>
            </w:r>
          </w:p>
        </w:tc>
        <w:tc>
          <w:tcPr>
            <w:tcW w:w="1550" w:type="dxa"/>
            <w:vAlign w:val="center"/>
          </w:tcPr>
          <w:p w14:paraId="10E517B6" w14:textId="77777777" w:rsidR="003E291B" w:rsidRPr="009E5B39" w:rsidRDefault="003E291B" w:rsidP="003E291B">
            <w:pPr>
              <w:spacing w:line="276" w:lineRule="auto"/>
              <w:jc w:val="center"/>
              <w:rPr>
                <w:rFonts w:asciiTheme="majorHAnsi" w:hAnsiTheme="majorHAnsi" w:cstheme="majorHAnsi"/>
                <w:sz w:val="16"/>
                <w:szCs w:val="16"/>
                <w:lang w:val="ro-MD"/>
              </w:rPr>
            </w:pPr>
            <w:r w:rsidRPr="009E5B39">
              <w:rPr>
                <w:rFonts w:asciiTheme="majorHAnsi" w:hAnsiTheme="majorHAnsi" w:cstheme="majorHAnsi"/>
                <w:sz w:val="16"/>
                <w:szCs w:val="16"/>
                <w:lang w:val="ro-MD"/>
              </w:rPr>
              <w:t>0100313.224.04.056</w:t>
            </w:r>
          </w:p>
        </w:tc>
        <w:tc>
          <w:tcPr>
            <w:tcW w:w="3038" w:type="dxa"/>
            <w:vAlign w:val="center"/>
          </w:tcPr>
          <w:p w14:paraId="3FCB5784" w14:textId="77777777" w:rsidR="003E291B" w:rsidRPr="009E5B39" w:rsidRDefault="003E291B" w:rsidP="003E291B">
            <w:pPr>
              <w:spacing w:line="276" w:lineRule="auto"/>
              <w:rPr>
                <w:rFonts w:asciiTheme="majorHAnsi" w:hAnsiTheme="majorHAnsi" w:cstheme="majorHAnsi"/>
                <w:sz w:val="16"/>
                <w:szCs w:val="16"/>
                <w:lang w:val="ro-MD"/>
              </w:rPr>
            </w:pPr>
            <w:r w:rsidRPr="009E5B39">
              <w:rPr>
                <w:rFonts w:asciiTheme="majorHAnsi" w:hAnsiTheme="majorHAnsi" w:cstheme="majorHAnsi"/>
                <w:sz w:val="16"/>
                <w:szCs w:val="16"/>
                <w:lang w:val="ro-MD"/>
              </w:rPr>
              <w:t>Chișinău, str. Mihail Sadoveanu 9/1, ap. 56</w:t>
            </w:r>
          </w:p>
        </w:tc>
        <w:tc>
          <w:tcPr>
            <w:tcW w:w="906" w:type="dxa"/>
            <w:vAlign w:val="center"/>
          </w:tcPr>
          <w:p w14:paraId="76E937D8" w14:textId="77777777" w:rsidR="003E291B" w:rsidRPr="009E5B39" w:rsidRDefault="003E291B" w:rsidP="003E291B">
            <w:pPr>
              <w:spacing w:line="276" w:lineRule="auto"/>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93,30</w:t>
            </w:r>
          </w:p>
        </w:tc>
        <w:tc>
          <w:tcPr>
            <w:tcW w:w="1642" w:type="dxa"/>
            <w:vAlign w:val="center"/>
          </w:tcPr>
          <w:p w14:paraId="6C1051F3" w14:textId="77777777" w:rsidR="003E291B" w:rsidRPr="009E5B39" w:rsidRDefault="003E291B" w:rsidP="003E291B">
            <w:pPr>
              <w:spacing w:line="276" w:lineRule="auto"/>
              <w:jc w:val="center"/>
              <w:rPr>
                <w:rFonts w:asciiTheme="majorHAnsi" w:hAnsiTheme="majorHAnsi" w:cstheme="majorHAnsi"/>
                <w:sz w:val="16"/>
                <w:szCs w:val="16"/>
                <w:lang w:val="ro-MD"/>
              </w:rPr>
            </w:pPr>
            <w:r w:rsidRPr="009E5B39">
              <w:rPr>
                <w:rFonts w:asciiTheme="majorHAnsi" w:hAnsiTheme="majorHAnsi" w:cstheme="majorHAnsi"/>
                <w:sz w:val="16"/>
                <w:szCs w:val="16"/>
                <w:lang w:val="ro-MD"/>
              </w:rPr>
              <w:t>1062.21 mii lei</w:t>
            </w:r>
          </w:p>
        </w:tc>
      </w:tr>
      <w:tr w:rsidR="003E291B" w:rsidRPr="009E5B39" w14:paraId="5E7F7472" w14:textId="77777777" w:rsidTr="003E291B">
        <w:trPr>
          <w:gridAfter w:val="1"/>
          <w:wAfter w:w="6" w:type="dxa"/>
        </w:trPr>
        <w:tc>
          <w:tcPr>
            <w:tcW w:w="505" w:type="dxa"/>
            <w:vAlign w:val="center"/>
          </w:tcPr>
          <w:p w14:paraId="25DE5642" w14:textId="77777777" w:rsidR="003E291B" w:rsidRPr="009E5B39" w:rsidRDefault="003E291B" w:rsidP="003E291B">
            <w:pPr>
              <w:spacing w:line="276" w:lineRule="auto"/>
              <w:jc w:val="center"/>
              <w:rPr>
                <w:rFonts w:asciiTheme="majorHAnsi" w:hAnsiTheme="majorHAnsi" w:cstheme="majorHAnsi"/>
                <w:sz w:val="16"/>
                <w:szCs w:val="16"/>
                <w:lang w:val="ro-MD"/>
              </w:rPr>
            </w:pPr>
            <w:r w:rsidRPr="009E5B39">
              <w:rPr>
                <w:rFonts w:asciiTheme="majorHAnsi" w:hAnsiTheme="majorHAnsi" w:cstheme="majorHAnsi"/>
                <w:sz w:val="16"/>
                <w:szCs w:val="16"/>
                <w:lang w:val="ro-MD"/>
              </w:rPr>
              <w:t>3</w:t>
            </w:r>
          </w:p>
        </w:tc>
        <w:tc>
          <w:tcPr>
            <w:tcW w:w="1565" w:type="dxa"/>
            <w:vAlign w:val="center"/>
          </w:tcPr>
          <w:p w14:paraId="5D9FF6F2" w14:textId="77777777" w:rsidR="003E291B" w:rsidRPr="009E5B39" w:rsidRDefault="003E291B" w:rsidP="003E291B">
            <w:pPr>
              <w:spacing w:line="276" w:lineRule="auto"/>
              <w:rPr>
                <w:rFonts w:asciiTheme="majorHAnsi" w:hAnsiTheme="majorHAnsi" w:cstheme="majorHAnsi"/>
                <w:sz w:val="16"/>
                <w:szCs w:val="16"/>
                <w:lang w:val="ro-MD"/>
              </w:rPr>
            </w:pPr>
            <w:r w:rsidRPr="009E5B39">
              <w:rPr>
                <w:rFonts w:asciiTheme="majorHAnsi" w:hAnsiTheme="majorHAnsi" w:cstheme="majorHAnsi"/>
                <w:sz w:val="16"/>
                <w:szCs w:val="16"/>
                <w:lang w:val="ro-MD"/>
              </w:rPr>
              <w:t>Încăpere (bun viitor)</w:t>
            </w:r>
          </w:p>
        </w:tc>
        <w:tc>
          <w:tcPr>
            <w:tcW w:w="1550" w:type="dxa"/>
            <w:vAlign w:val="center"/>
          </w:tcPr>
          <w:p w14:paraId="5CD17B01" w14:textId="77777777" w:rsidR="003E291B" w:rsidRPr="009E5B39" w:rsidRDefault="003E291B" w:rsidP="003E291B">
            <w:pPr>
              <w:spacing w:line="276" w:lineRule="auto"/>
              <w:jc w:val="center"/>
              <w:rPr>
                <w:rFonts w:asciiTheme="majorHAnsi" w:hAnsiTheme="majorHAnsi" w:cstheme="majorHAnsi"/>
                <w:sz w:val="16"/>
                <w:szCs w:val="16"/>
                <w:lang w:val="ro-MD"/>
              </w:rPr>
            </w:pPr>
            <w:r w:rsidRPr="009E5B39">
              <w:rPr>
                <w:rFonts w:asciiTheme="majorHAnsi" w:hAnsiTheme="majorHAnsi" w:cstheme="majorHAnsi"/>
                <w:sz w:val="16"/>
                <w:szCs w:val="16"/>
                <w:lang w:val="ro-MD"/>
              </w:rPr>
              <w:t>0100424.266.01.070</w:t>
            </w:r>
          </w:p>
        </w:tc>
        <w:tc>
          <w:tcPr>
            <w:tcW w:w="3038" w:type="dxa"/>
            <w:vAlign w:val="center"/>
          </w:tcPr>
          <w:p w14:paraId="6B68AE13" w14:textId="77777777" w:rsidR="003E291B" w:rsidRPr="009E5B39" w:rsidRDefault="003E291B" w:rsidP="003E291B">
            <w:pPr>
              <w:spacing w:line="276" w:lineRule="auto"/>
              <w:rPr>
                <w:rFonts w:asciiTheme="majorHAnsi" w:hAnsiTheme="majorHAnsi" w:cstheme="majorHAnsi"/>
                <w:sz w:val="16"/>
                <w:szCs w:val="16"/>
                <w:lang w:val="ro-MD"/>
              </w:rPr>
            </w:pPr>
            <w:r w:rsidRPr="009E5B39">
              <w:rPr>
                <w:rFonts w:asciiTheme="majorHAnsi" w:hAnsiTheme="majorHAnsi" w:cstheme="majorHAnsi"/>
                <w:sz w:val="16"/>
                <w:szCs w:val="16"/>
                <w:lang w:val="ro-MD"/>
              </w:rPr>
              <w:t>Chișinău, str. Dumitru Rîșcanu 29/2, ap. 70</w:t>
            </w:r>
          </w:p>
        </w:tc>
        <w:tc>
          <w:tcPr>
            <w:tcW w:w="906" w:type="dxa"/>
            <w:vAlign w:val="center"/>
          </w:tcPr>
          <w:p w14:paraId="29EB1181" w14:textId="77777777" w:rsidR="003E291B" w:rsidRPr="009E5B39" w:rsidRDefault="003E291B" w:rsidP="003E291B">
            <w:pPr>
              <w:spacing w:line="276" w:lineRule="auto"/>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60,00</w:t>
            </w:r>
          </w:p>
        </w:tc>
        <w:tc>
          <w:tcPr>
            <w:tcW w:w="1642" w:type="dxa"/>
            <w:vAlign w:val="center"/>
          </w:tcPr>
          <w:p w14:paraId="3A0B4C6B" w14:textId="77777777" w:rsidR="003E291B" w:rsidRPr="009E5B39" w:rsidRDefault="003E291B" w:rsidP="003E291B">
            <w:pPr>
              <w:spacing w:line="276" w:lineRule="auto"/>
              <w:jc w:val="center"/>
              <w:rPr>
                <w:rFonts w:asciiTheme="majorHAnsi" w:hAnsiTheme="majorHAnsi" w:cstheme="majorHAnsi"/>
                <w:sz w:val="16"/>
                <w:szCs w:val="16"/>
                <w:lang w:val="ro-MD"/>
              </w:rPr>
            </w:pPr>
            <w:r w:rsidRPr="009E5B39">
              <w:rPr>
                <w:rFonts w:asciiTheme="majorHAnsi" w:hAnsiTheme="majorHAnsi" w:cstheme="majorHAnsi"/>
                <w:sz w:val="16"/>
                <w:szCs w:val="16"/>
                <w:lang w:val="ro-MD"/>
              </w:rPr>
              <w:t>Nu este înregistrat</w:t>
            </w:r>
          </w:p>
        </w:tc>
      </w:tr>
      <w:tr w:rsidR="003E291B" w:rsidRPr="009E5B39" w14:paraId="24A905A7" w14:textId="77777777" w:rsidTr="003E291B">
        <w:trPr>
          <w:gridAfter w:val="1"/>
          <w:wAfter w:w="6" w:type="dxa"/>
        </w:trPr>
        <w:tc>
          <w:tcPr>
            <w:tcW w:w="505" w:type="dxa"/>
            <w:vAlign w:val="center"/>
          </w:tcPr>
          <w:p w14:paraId="5AA30F81" w14:textId="77777777" w:rsidR="003E291B" w:rsidRPr="009E5B39" w:rsidRDefault="003E291B" w:rsidP="003E291B">
            <w:pPr>
              <w:spacing w:line="276" w:lineRule="auto"/>
              <w:jc w:val="center"/>
              <w:rPr>
                <w:rFonts w:asciiTheme="majorHAnsi" w:hAnsiTheme="majorHAnsi" w:cstheme="majorHAnsi"/>
                <w:sz w:val="16"/>
                <w:szCs w:val="16"/>
                <w:lang w:val="ro-MD"/>
              </w:rPr>
            </w:pPr>
            <w:r w:rsidRPr="009E5B39">
              <w:rPr>
                <w:rFonts w:asciiTheme="majorHAnsi" w:hAnsiTheme="majorHAnsi" w:cstheme="majorHAnsi"/>
                <w:sz w:val="16"/>
                <w:szCs w:val="16"/>
                <w:lang w:val="ro-MD"/>
              </w:rPr>
              <w:t>4</w:t>
            </w:r>
          </w:p>
        </w:tc>
        <w:tc>
          <w:tcPr>
            <w:tcW w:w="1565" w:type="dxa"/>
            <w:vAlign w:val="center"/>
          </w:tcPr>
          <w:p w14:paraId="3C96BCC0" w14:textId="77777777" w:rsidR="003E291B" w:rsidRPr="009E5B39" w:rsidRDefault="003E291B" w:rsidP="003E291B">
            <w:pPr>
              <w:spacing w:line="276" w:lineRule="auto"/>
              <w:rPr>
                <w:rFonts w:asciiTheme="majorHAnsi" w:hAnsiTheme="majorHAnsi" w:cstheme="majorHAnsi"/>
                <w:sz w:val="16"/>
                <w:szCs w:val="16"/>
                <w:lang w:val="ro-MD"/>
              </w:rPr>
            </w:pPr>
            <w:r w:rsidRPr="009E5B39">
              <w:rPr>
                <w:rFonts w:asciiTheme="majorHAnsi" w:hAnsiTheme="majorHAnsi" w:cstheme="majorHAnsi"/>
                <w:sz w:val="16"/>
                <w:szCs w:val="16"/>
                <w:lang w:val="ro-MD"/>
              </w:rPr>
              <w:t>Încăpere (bun viitor)</w:t>
            </w:r>
          </w:p>
        </w:tc>
        <w:tc>
          <w:tcPr>
            <w:tcW w:w="1550" w:type="dxa"/>
            <w:vAlign w:val="center"/>
          </w:tcPr>
          <w:p w14:paraId="7DD3F95F" w14:textId="77777777" w:rsidR="003E291B" w:rsidRPr="009E5B39" w:rsidRDefault="003E291B" w:rsidP="003E291B">
            <w:pPr>
              <w:spacing w:line="276" w:lineRule="auto"/>
              <w:jc w:val="center"/>
              <w:rPr>
                <w:rFonts w:asciiTheme="majorHAnsi" w:hAnsiTheme="majorHAnsi" w:cstheme="majorHAnsi"/>
                <w:sz w:val="16"/>
                <w:szCs w:val="16"/>
                <w:lang w:val="ro-MD"/>
              </w:rPr>
            </w:pPr>
            <w:r w:rsidRPr="009E5B39">
              <w:rPr>
                <w:rFonts w:asciiTheme="majorHAnsi" w:hAnsiTheme="majorHAnsi" w:cstheme="majorHAnsi"/>
                <w:sz w:val="16"/>
                <w:szCs w:val="16"/>
                <w:lang w:val="ro-MD"/>
              </w:rPr>
              <w:t>0100424.266.01.073</w:t>
            </w:r>
          </w:p>
        </w:tc>
        <w:tc>
          <w:tcPr>
            <w:tcW w:w="3038" w:type="dxa"/>
            <w:vAlign w:val="center"/>
          </w:tcPr>
          <w:p w14:paraId="4812B9BB" w14:textId="77777777" w:rsidR="003E291B" w:rsidRPr="009E5B39" w:rsidRDefault="003E291B" w:rsidP="003E291B">
            <w:pPr>
              <w:spacing w:line="276" w:lineRule="auto"/>
              <w:rPr>
                <w:rFonts w:asciiTheme="majorHAnsi" w:hAnsiTheme="majorHAnsi" w:cstheme="majorHAnsi"/>
                <w:sz w:val="16"/>
                <w:szCs w:val="16"/>
                <w:lang w:val="ro-MD"/>
              </w:rPr>
            </w:pPr>
            <w:r w:rsidRPr="009E5B39">
              <w:rPr>
                <w:rFonts w:asciiTheme="majorHAnsi" w:hAnsiTheme="majorHAnsi" w:cstheme="majorHAnsi"/>
                <w:sz w:val="16"/>
                <w:szCs w:val="16"/>
                <w:lang w:val="ro-MD"/>
              </w:rPr>
              <w:t>Chișinău, str. Dumitru Rîșcanu 29/2, ap. 73</w:t>
            </w:r>
          </w:p>
        </w:tc>
        <w:tc>
          <w:tcPr>
            <w:tcW w:w="906" w:type="dxa"/>
            <w:vAlign w:val="center"/>
          </w:tcPr>
          <w:p w14:paraId="116C1D78" w14:textId="77777777" w:rsidR="003E291B" w:rsidRPr="009E5B39" w:rsidRDefault="003E291B" w:rsidP="003E291B">
            <w:pPr>
              <w:spacing w:line="276" w:lineRule="auto"/>
              <w:jc w:val="right"/>
              <w:rPr>
                <w:rFonts w:asciiTheme="majorHAnsi" w:hAnsiTheme="majorHAnsi" w:cstheme="majorHAnsi"/>
                <w:sz w:val="16"/>
                <w:szCs w:val="16"/>
                <w:lang w:val="ro-MD"/>
              </w:rPr>
            </w:pPr>
            <w:r w:rsidRPr="009E5B39">
              <w:rPr>
                <w:rFonts w:asciiTheme="majorHAnsi" w:hAnsiTheme="majorHAnsi" w:cstheme="majorHAnsi"/>
                <w:sz w:val="16"/>
                <w:szCs w:val="16"/>
                <w:lang w:val="ro-MD"/>
              </w:rPr>
              <w:t>102,95</w:t>
            </w:r>
          </w:p>
        </w:tc>
        <w:tc>
          <w:tcPr>
            <w:tcW w:w="1642" w:type="dxa"/>
            <w:vAlign w:val="center"/>
          </w:tcPr>
          <w:p w14:paraId="7BB33299" w14:textId="77777777" w:rsidR="003E291B" w:rsidRPr="009E5B39" w:rsidRDefault="003E291B" w:rsidP="003E291B">
            <w:pPr>
              <w:spacing w:line="276" w:lineRule="auto"/>
              <w:jc w:val="center"/>
              <w:rPr>
                <w:rFonts w:asciiTheme="majorHAnsi" w:hAnsiTheme="majorHAnsi" w:cstheme="majorHAnsi"/>
                <w:sz w:val="16"/>
                <w:szCs w:val="16"/>
                <w:lang w:val="ro-MD"/>
              </w:rPr>
            </w:pPr>
            <w:r w:rsidRPr="009E5B39">
              <w:rPr>
                <w:rFonts w:asciiTheme="majorHAnsi" w:hAnsiTheme="majorHAnsi" w:cstheme="majorHAnsi"/>
                <w:sz w:val="16"/>
                <w:szCs w:val="16"/>
                <w:lang w:val="ro-MD"/>
              </w:rPr>
              <w:t>Nu este înregistrat</w:t>
            </w:r>
          </w:p>
        </w:tc>
      </w:tr>
      <w:tr w:rsidR="003E291B" w:rsidRPr="009E5B39" w14:paraId="0BD368B5" w14:textId="77777777" w:rsidTr="003E291B">
        <w:trPr>
          <w:gridAfter w:val="1"/>
          <w:wAfter w:w="6" w:type="dxa"/>
        </w:trPr>
        <w:tc>
          <w:tcPr>
            <w:tcW w:w="6658" w:type="dxa"/>
            <w:gridSpan w:val="4"/>
            <w:shd w:val="clear" w:color="auto" w:fill="FFFF00"/>
            <w:vAlign w:val="center"/>
          </w:tcPr>
          <w:p w14:paraId="034AAB11" w14:textId="77777777" w:rsidR="003E291B" w:rsidRPr="009E5B39" w:rsidRDefault="003E291B" w:rsidP="003E291B">
            <w:pPr>
              <w:spacing w:line="276" w:lineRule="auto"/>
              <w:jc w:val="center"/>
              <w:rPr>
                <w:rFonts w:asciiTheme="majorHAnsi" w:hAnsiTheme="majorHAnsi" w:cstheme="majorHAnsi"/>
                <w:b/>
                <w:bCs/>
                <w:sz w:val="16"/>
                <w:szCs w:val="16"/>
                <w:lang w:val="ro-MD"/>
              </w:rPr>
            </w:pPr>
            <w:r w:rsidRPr="009E5B39">
              <w:rPr>
                <w:rFonts w:asciiTheme="majorHAnsi" w:hAnsiTheme="majorHAnsi" w:cstheme="majorHAnsi"/>
                <w:b/>
                <w:bCs/>
                <w:sz w:val="16"/>
                <w:szCs w:val="16"/>
                <w:lang w:val="ro-MD"/>
              </w:rPr>
              <w:t>TOTAL</w:t>
            </w:r>
          </w:p>
        </w:tc>
        <w:tc>
          <w:tcPr>
            <w:tcW w:w="906" w:type="dxa"/>
            <w:shd w:val="clear" w:color="auto" w:fill="FFFF00"/>
            <w:vAlign w:val="center"/>
          </w:tcPr>
          <w:p w14:paraId="62916505" w14:textId="77777777" w:rsidR="003E291B" w:rsidRPr="009E5B39" w:rsidRDefault="003E291B" w:rsidP="003E291B">
            <w:pPr>
              <w:spacing w:line="276" w:lineRule="auto"/>
              <w:jc w:val="right"/>
              <w:rPr>
                <w:rFonts w:asciiTheme="majorHAnsi" w:hAnsiTheme="majorHAnsi" w:cstheme="majorHAnsi"/>
                <w:b/>
                <w:bCs/>
                <w:sz w:val="16"/>
                <w:szCs w:val="16"/>
                <w:lang w:val="ro-MD"/>
              </w:rPr>
            </w:pPr>
            <w:r w:rsidRPr="009E5B39">
              <w:rPr>
                <w:rFonts w:asciiTheme="majorHAnsi" w:hAnsiTheme="majorHAnsi" w:cstheme="majorHAnsi"/>
                <w:b/>
                <w:bCs/>
                <w:sz w:val="16"/>
                <w:szCs w:val="16"/>
                <w:lang w:val="ro-MD"/>
              </w:rPr>
              <w:t>320,85</w:t>
            </w:r>
          </w:p>
        </w:tc>
        <w:tc>
          <w:tcPr>
            <w:tcW w:w="1642" w:type="dxa"/>
            <w:shd w:val="clear" w:color="auto" w:fill="FFFF00"/>
            <w:vAlign w:val="center"/>
          </w:tcPr>
          <w:p w14:paraId="7EDD5359" w14:textId="77777777" w:rsidR="003E291B" w:rsidRPr="009E5B39" w:rsidRDefault="003E291B" w:rsidP="003E291B">
            <w:pPr>
              <w:spacing w:line="276" w:lineRule="auto"/>
              <w:jc w:val="center"/>
              <w:rPr>
                <w:rFonts w:asciiTheme="majorHAnsi" w:hAnsiTheme="majorHAnsi" w:cstheme="majorHAnsi"/>
                <w:b/>
                <w:bCs/>
                <w:sz w:val="16"/>
                <w:szCs w:val="16"/>
                <w:lang w:val="ro-MD"/>
              </w:rPr>
            </w:pPr>
          </w:p>
        </w:tc>
      </w:tr>
      <w:tr w:rsidR="003E291B" w:rsidRPr="009E5B39" w14:paraId="585324B5" w14:textId="77777777" w:rsidTr="003E291B">
        <w:tc>
          <w:tcPr>
            <w:tcW w:w="9212" w:type="dxa"/>
            <w:gridSpan w:val="7"/>
            <w:tcBorders>
              <w:left w:val="single" w:sz="4" w:space="0" w:color="FFFFFF" w:themeColor="background1"/>
              <w:bottom w:val="single" w:sz="4" w:space="0" w:color="FFFFFF" w:themeColor="background1"/>
              <w:right w:val="single" w:sz="4" w:space="0" w:color="FFFFFF" w:themeColor="background1"/>
            </w:tcBorders>
            <w:vAlign w:val="center"/>
          </w:tcPr>
          <w:p w14:paraId="4864A678" w14:textId="36562402" w:rsidR="003E291B" w:rsidRPr="009E5B39" w:rsidRDefault="003E291B" w:rsidP="00D862D1">
            <w:pPr>
              <w:spacing w:line="276" w:lineRule="auto"/>
              <w:rPr>
                <w:rFonts w:asciiTheme="majorHAnsi" w:hAnsiTheme="majorHAnsi" w:cstheme="majorHAnsi"/>
                <w:i/>
                <w:iCs/>
                <w:sz w:val="16"/>
                <w:szCs w:val="16"/>
                <w:lang w:val="ro-MD"/>
              </w:rPr>
            </w:pPr>
            <w:r w:rsidRPr="009E5B39">
              <w:rPr>
                <w:rFonts w:asciiTheme="majorHAnsi" w:hAnsiTheme="majorHAnsi" w:cstheme="majorHAnsi"/>
                <w:b/>
                <w:bCs/>
                <w:i/>
                <w:iCs/>
                <w:sz w:val="16"/>
                <w:szCs w:val="16"/>
                <w:lang w:val="ro-MD"/>
              </w:rPr>
              <w:t>Sursa:</w:t>
            </w:r>
            <w:r w:rsidRPr="009E5B39">
              <w:rPr>
                <w:rFonts w:asciiTheme="majorHAnsi" w:hAnsiTheme="majorHAnsi" w:cstheme="majorHAnsi"/>
                <w:i/>
                <w:iCs/>
                <w:sz w:val="16"/>
                <w:szCs w:val="16"/>
                <w:lang w:val="ro-MD"/>
              </w:rPr>
              <w:t xml:space="preserve"> Datele din Registrul bunurilor imobile și evidența contabilă a DGLCA</w:t>
            </w:r>
            <w:r w:rsidR="00F9673D" w:rsidRPr="009E5B39">
              <w:rPr>
                <w:rFonts w:asciiTheme="majorHAnsi" w:hAnsiTheme="majorHAnsi" w:cstheme="majorHAnsi"/>
                <w:i/>
                <w:iCs/>
                <w:sz w:val="16"/>
                <w:szCs w:val="16"/>
                <w:lang w:val="ro-MD"/>
              </w:rPr>
              <w:t>.</w:t>
            </w:r>
          </w:p>
        </w:tc>
      </w:tr>
    </w:tbl>
    <w:p w14:paraId="08B408CD" w14:textId="0FD406E4" w:rsidR="003E291B" w:rsidRPr="009E5B39" w:rsidRDefault="003E291B" w:rsidP="003E291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Analizând cauzele neînregistrării în evidența contabilă a DGLCA a imobilelor, drepturile de proprietate asupra cărora aparțin DGLCA, auditul a </w:t>
      </w:r>
      <w:r w:rsidR="00F9673D" w:rsidRPr="009E5B39">
        <w:rPr>
          <w:rFonts w:asciiTheme="majorHAnsi" w:hAnsiTheme="majorHAnsi" w:cstheme="majorHAnsi"/>
          <w:sz w:val="24"/>
          <w:szCs w:val="24"/>
          <w:lang w:val="ro-MD"/>
        </w:rPr>
        <w:t>constatat</w:t>
      </w:r>
      <w:r w:rsidRPr="009E5B39">
        <w:rPr>
          <w:rFonts w:asciiTheme="majorHAnsi" w:hAnsiTheme="majorHAnsi" w:cstheme="majorHAnsi"/>
          <w:sz w:val="24"/>
          <w:szCs w:val="24"/>
          <w:lang w:val="ro-MD"/>
        </w:rPr>
        <w:t xml:space="preserve"> următoarele: </w:t>
      </w:r>
    </w:p>
    <w:p w14:paraId="7DC25A2A" w14:textId="7B45941A" w:rsidR="003E291B" w:rsidRPr="009E5B39" w:rsidRDefault="003E291B" w:rsidP="003C5073">
      <w:pPr>
        <w:pStyle w:val="ListParagraph"/>
        <w:numPr>
          <w:ilvl w:val="0"/>
          <w:numId w:val="122"/>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Dreptul de proprietate al DGLCA asupra apartamentului nr. 201 din str. Maria Drăgan 30/1</w:t>
      </w:r>
      <w:r w:rsidR="00F9673D"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 a fost înregistrat în temeiul Deciziei CMC nr. 11/11 din 31.10.2017</w:t>
      </w:r>
      <w:r w:rsidRPr="009E5B39">
        <w:rPr>
          <w:vertAlign w:val="superscript"/>
          <w:lang w:val="ro-MD"/>
        </w:rPr>
        <w:footnoteReference w:id="273"/>
      </w:r>
      <w:r w:rsidRPr="009E5B39">
        <w:rPr>
          <w:rFonts w:asciiTheme="majorHAnsi" w:hAnsiTheme="majorHAnsi" w:cstheme="majorHAnsi"/>
          <w:sz w:val="24"/>
          <w:szCs w:val="24"/>
          <w:lang w:val="ro-MD"/>
        </w:rPr>
        <w:t xml:space="preserve"> și  Contractului de schimb nr. 0100/21/1762 din 11.01.2021, potrivit cărora</w:t>
      </w:r>
      <w:r w:rsidR="00F9673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DGLCA a transmis, în proprietatea </w:t>
      </w:r>
      <w:r w:rsidR="008C085F" w:rsidRPr="009E5B39">
        <w:rPr>
          <w:rFonts w:asciiTheme="majorHAnsi" w:hAnsiTheme="majorHAnsi" w:cstheme="majorHAnsi"/>
          <w:sz w:val="24"/>
          <w:szCs w:val="24"/>
          <w:lang w:val="ro-MD"/>
        </w:rPr>
        <w:t xml:space="preserve">unei </w:t>
      </w:r>
      <w:r w:rsidRPr="009E5B39">
        <w:rPr>
          <w:rFonts w:asciiTheme="majorHAnsi" w:hAnsiTheme="majorHAnsi" w:cstheme="majorHAnsi"/>
          <w:sz w:val="24"/>
          <w:szCs w:val="24"/>
          <w:lang w:val="ro-MD"/>
        </w:rPr>
        <w:t>familii, apartamentul cu nr. 63 din str. Mihail Sadoveanu 9/1 (93,40 m</w:t>
      </w:r>
      <w:r w:rsidR="00F9673D"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în schimbul apartamentului nr. 201 din str. Maria Drăgan 30/1 (64,60 m</w:t>
      </w:r>
      <w:r w:rsidR="00F9673D"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evaluat la 136,51 mii lei, și a plății achitate adăugător în sumă de 145,15 mii lei.  </w:t>
      </w:r>
    </w:p>
    <w:p w14:paraId="2409F838" w14:textId="374F9B90" w:rsidR="003E291B" w:rsidRPr="009E5B39" w:rsidRDefault="003E291B" w:rsidP="003E291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Auditul denotă că</w:t>
      </w:r>
      <w:r w:rsidR="00F9673D"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la moment, în evidența contabilă a DGLCA este înregistrat doar apartamentul nr. 63 din str. Mihail Sadoveanu 9/1, cu suprafața de 93,40 m</w:t>
      </w:r>
      <w:r w:rsidR="00F9673D"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și valoarea de intrare în sumă de 1.063,34 mii lei, dreptul de proprietate asupra căruia aparține familie</w:t>
      </w:r>
      <w:r w:rsidR="00F9673D" w:rsidRPr="009E5B39">
        <w:rPr>
          <w:rFonts w:asciiTheme="majorHAnsi" w:hAnsiTheme="majorHAnsi" w:cstheme="majorHAnsi"/>
          <w:sz w:val="24"/>
          <w:szCs w:val="24"/>
          <w:lang w:val="ro-MD"/>
        </w:rPr>
        <w:t>i</w:t>
      </w:r>
      <w:r w:rsidR="005F08AB" w:rsidRPr="009E5B39">
        <w:rPr>
          <w:rFonts w:asciiTheme="majorHAnsi" w:hAnsiTheme="majorHAnsi" w:cstheme="majorHAnsi"/>
          <w:sz w:val="24"/>
          <w:szCs w:val="24"/>
          <w:lang w:val="ro-MD"/>
        </w:rPr>
        <w:t xml:space="preserve"> indicate</w:t>
      </w:r>
      <w:r w:rsidRPr="009E5B39">
        <w:rPr>
          <w:rFonts w:asciiTheme="majorHAnsi" w:hAnsiTheme="majorHAnsi" w:cstheme="majorHAnsi"/>
          <w:sz w:val="24"/>
          <w:szCs w:val="24"/>
          <w:lang w:val="ro-MD"/>
        </w:rPr>
        <w:t xml:space="preserve">, iar apartamentul nr.201 din str. Maria Drăgan 30/1, dreptul de proprietate asupra căruia aparține DGLCA, nu se regăsește în evidența contabilă a instituției publice. </w:t>
      </w:r>
    </w:p>
    <w:p w14:paraId="2D8432AB" w14:textId="7F578893" w:rsidR="003E291B" w:rsidRPr="009E5B39" w:rsidRDefault="003E291B" w:rsidP="003C5073">
      <w:pPr>
        <w:pStyle w:val="ListParagraph"/>
        <w:numPr>
          <w:ilvl w:val="0"/>
          <w:numId w:val="122"/>
        </w:numPr>
        <w:spacing w:after="0" w:line="276" w:lineRule="auto"/>
        <w:ind w:left="0" w:firstLine="0"/>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Dreptul de proprietate asupra bunurilor viitoare din str. D. Rîșcanu 29/2 (apartamentele nr.70 și </w:t>
      </w:r>
      <w:r w:rsidR="005A3646" w:rsidRPr="009E5B39">
        <w:rPr>
          <w:rFonts w:asciiTheme="majorHAnsi" w:hAnsiTheme="majorHAnsi" w:cstheme="majorHAnsi"/>
          <w:sz w:val="24"/>
          <w:szCs w:val="24"/>
          <w:lang w:val="ro-MD"/>
        </w:rPr>
        <w:t>nr.</w:t>
      </w:r>
      <w:r w:rsidRPr="009E5B39">
        <w:rPr>
          <w:rFonts w:asciiTheme="majorHAnsi" w:hAnsiTheme="majorHAnsi" w:cstheme="majorHAnsi"/>
          <w:sz w:val="24"/>
          <w:szCs w:val="24"/>
          <w:lang w:val="ro-MD"/>
        </w:rPr>
        <w:t xml:space="preserve">73) a fost înregistrat în temeiul Contractului de investiție nr.4R/12 din 31.07.2012, semnat între DGLCA, în calitate de gestionar al fondului locativ, și SRL „ARHIMANAGEMENT” (c/f 1008600035375), în calitate de investitor. Analizând prevederile contractului de investiție nr. 4R/12 din 31.07.2012, auditul a </w:t>
      </w:r>
      <w:r w:rsidR="005A3646" w:rsidRPr="009E5B39">
        <w:rPr>
          <w:rFonts w:asciiTheme="majorHAnsi" w:hAnsiTheme="majorHAnsi" w:cstheme="majorHAnsi"/>
          <w:sz w:val="24"/>
          <w:szCs w:val="24"/>
          <w:lang w:val="ro-MD"/>
        </w:rPr>
        <w:t>constatat</w:t>
      </w:r>
      <w:r w:rsidRPr="009E5B39">
        <w:rPr>
          <w:rFonts w:asciiTheme="majorHAnsi" w:hAnsiTheme="majorHAnsi" w:cstheme="majorHAnsi"/>
          <w:sz w:val="24"/>
          <w:szCs w:val="24"/>
          <w:lang w:val="ro-MD"/>
        </w:rPr>
        <w:t xml:space="preserve"> că</w:t>
      </w:r>
      <w:r w:rsidR="005A3646"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potrivit pct. 4.2.2. din Contract, în urma lucrărilor de reabilitare și supraetajare a blocului de locuit amplasat în str. Dumitru Rîșcanu 29/2 din sectorul Rîșcani, 5 % din spațiul locativ construit urma a fi acordat Primăriei mun. Chișinău</w:t>
      </w:r>
      <w:r w:rsidR="005A3646"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pentru destinație socială. De menționat că, potrivit pct. 4.2.6 din Contract, investitorului i-a fost delegat dreptul de a organiza și </w:t>
      </w:r>
      <w:r w:rsidR="005A3646"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 xml:space="preserve">finanța lucrările de proiectare, precum și de a alege, </w:t>
      </w:r>
      <w:r w:rsidR="005A3646"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 xml:space="preserve">aproba și </w:t>
      </w:r>
      <w:r w:rsidR="005A3646"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 xml:space="preserve">încheia un contract cu un antreprenor general, pentru executarea lucrărilor de reabilitare a blocului de locuit. </w:t>
      </w:r>
    </w:p>
    <w:p w14:paraId="4398980C" w14:textId="040FAF5E" w:rsidR="003E291B" w:rsidRPr="009E5B39" w:rsidRDefault="003E291B" w:rsidP="003E291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Folosindu-se de drepturile delegate, SRL „ARHIMANAGEMENT” a încheiat cu SRL „KIRSAN COM” SRL (c/f 1003600025092) Contractul de societate civilă din 16.06.2015, prin care s-a stabilit că</w:t>
      </w:r>
      <w:r w:rsidR="005A3646"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urma atingerii scopului contractului, dreptul de proprietate asupra complexului urma a fi repartizat în modul următor:</w:t>
      </w:r>
    </w:p>
    <w:p w14:paraId="500DDA9A" w14:textId="3A601DC8" w:rsidR="003E291B" w:rsidRPr="009E5B39" w:rsidRDefault="003E291B" w:rsidP="003E291B">
      <w:pPr>
        <w:numPr>
          <w:ilvl w:val="0"/>
          <w:numId w:val="44"/>
        </w:numPr>
        <w:spacing w:after="0" w:line="276" w:lineRule="auto"/>
        <w:ind w:left="0" w:firstLine="426"/>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SRL „ARHIMANAGEMENT” va obține cu titlu de proprietate apartamentele cu nr: 14, 15, 16, 22, 23, 25, 31, 36, 70, 73 – cu suprafața totală de 626.05 m</w:t>
      </w:r>
      <w:r w:rsidR="005A3646"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w:t>
      </w:r>
      <w:r w:rsidR="005A3646"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iar după finisarea complexului, apartamentele nr. 70 și </w:t>
      </w:r>
      <w:r w:rsidR="005A3646" w:rsidRPr="009E5B39">
        <w:rPr>
          <w:rFonts w:asciiTheme="majorHAnsi" w:hAnsiTheme="majorHAnsi" w:cstheme="majorHAnsi"/>
          <w:sz w:val="24"/>
          <w:szCs w:val="24"/>
          <w:lang w:val="ro-MD"/>
        </w:rPr>
        <w:t>nr.</w:t>
      </w:r>
      <w:r w:rsidRPr="009E5B39">
        <w:rPr>
          <w:rFonts w:asciiTheme="majorHAnsi" w:hAnsiTheme="majorHAnsi" w:cstheme="majorHAnsi"/>
          <w:sz w:val="24"/>
          <w:szCs w:val="24"/>
          <w:lang w:val="ro-MD"/>
        </w:rPr>
        <w:t>73 vor fi transmise, cu titlu gratuit, către Primăria mun. Chișinău;</w:t>
      </w:r>
    </w:p>
    <w:p w14:paraId="3E882268" w14:textId="77777777" w:rsidR="003E291B" w:rsidRPr="009E5B39" w:rsidRDefault="003E291B" w:rsidP="003E291B">
      <w:pPr>
        <w:numPr>
          <w:ilvl w:val="0"/>
          <w:numId w:val="44"/>
        </w:numPr>
        <w:spacing w:after="0" w:line="276" w:lineRule="auto"/>
        <w:ind w:left="0" w:firstLine="426"/>
        <w:contextualSpacing/>
        <w:jc w:val="both"/>
        <w:rPr>
          <w:rFonts w:asciiTheme="majorHAnsi" w:hAnsiTheme="majorHAnsi" w:cstheme="majorHAnsi"/>
          <w:sz w:val="24"/>
          <w:szCs w:val="24"/>
          <w:lang w:val="ro-MD"/>
        </w:rPr>
      </w:pPr>
      <w:r w:rsidRPr="009E5B39">
        <w:rPr>
          <w:rFonts w:asciiTheme="majorHAnsi" w:hAnsiTheme="majorHAnsi" w:cstheme="majorHAnsi"/>
          <w:noProof/>
        </w:rPr>
        <w:drawing>
          <wp:anchor distT="0" distB="0" distL="114300" distR="114300" simplePos="0" relativeHeight="251659264" behindDoc="0" locked="0" layoutInCell="1" allowOverlap="1" wp14:anchorId="2FD09B32" wp14:editId="70DE8FEC">
            <wp:simplePos x="0" y="0"/>
            <wp:positionH relativeFrom="column">
              <wp:posOffset>4111625</wp:posOffset>
            </wp:positionH>
            <wp:positionV relativeFrom="paragraph">
              <wp:posOffset>510540</wp:posOffset>
            </wp:positionV>
            <wp:extent cx="1817370" cy="1993900"/>
            <wp:effectExtent l="19050" t="19050" r="11430" b="25400"/>
            <wp:wrapSquare wrapText="bothSides"/>
            <wp:docPr id="5" name="Picture 5" descr="20220622_12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622_122945"/>
                    <pic:cNvPicPr>
                      <a:picLocks noChangeAspect="1" noChangeArrowheads="1"/>
                    </pic:cNvPicPr>
                  </pic:nvPicPr>
                  <pic:blipFill>
                    <a:blip r:embed="rId29" cstate="print">
                      <a:extLst>
                        <a:ext uri="{28A0092B-C50C-407E-A947-70E740481C1C}">
                          <a14:useLocalDpi xmlns:a14="http://schemas.microsoft.com/office/drawing/2010/main" val="0"/>
                        </a:ext>
                      </a:extLst>
                    </a:blip>
                    <a:srcRect t="1656" b="5408"/>
                    <a:stretch>
                      <a:fillRect/>
                    </a:stretch>
                  </pic:blipFill>
                  <pic:spPr bwMode="auto">
                    <a:xfrm>
                      <a:off x="0" y="0"/>
                      <a:ext cx="1817370" cy="19939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E5B39">
        <w:rPr>
          <w:rFonts w:asciiTheme="majorHAnsi" w:hAnsiTheme="majorHAnsi" w:cstheme="majorHAnsi"/>
          <w:sz w:val="24"/>
          <w:szCs w:val="24"/>
          <w:lang w:val="ro-MD"/>
        </w:rPr>
        <w:t xml:space="preserve">SRL „ KIRSAN COM” SRL (c/f 1003600025092) va obține cu titlu de proprietate restul suprafeței totale a complexului, cu excepția anexelor locative construite pentru locatari (de la nivelul spațiului locativ et. 1- et.2). </w:t>
      </w:r>
    </w:p>
    <w:p w14:paraId="079CCF2B" w14:textId="77777777" w:rsidR="003E291B" w:rsidRPr="009E5B39" w:rsidRDefault="003E291B" w:rsidP="003E291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Potrivit autorizației de construire nr. 272-C/14 din 30.12.2014 și Certificatului de urbanism pentru proiectare nr. 347/14 din 10.06.2014,  blocul de locuit renovat urma să nu depășească 10 etaje (S+P+8E). </w:t>
      </w:r>
    </w:p>
    <w:p w14:paraId="25C460DE" w14:textId="28770732" w:rsidR="003E291B" w:rsidRPr="009E5B39" w:rsidRDefault="003E291B" w:rsidP="003E291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În realitate</w:t>
      </w:r>
      <w:r w:rsidR="005A3646"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005A3646" w:rsidRPr="009E5B39">
        <w:rPr>
          <w:rFonts w:asciiTheme="majorHAnsi" w:hAnsiTheme="majorHAnsi" w:cstheme="majorHAnsi"/>
          <w:sz w:val="24"/>
          <w:szCs w:val="24"/>
          <w:lang w:val="ro-MD"/>
        </w:rPr>
        <w:t>s-</w:t>
      </w:r>
      <w:r w:rsidRPr="009E5B39">
        <w:rPr>
          <w:rFonts w:asciiTheme="majorHAnsi" w:hAnsiTheme="majorHAnsi" w:cstheme="majorHAnsi"/>
          <w:sz w:val="24"/>
          <w:szCs w:val="24"/>
          <w:lang w:val="ro-MD"/>
        </w:rPr>
        <w:t xml:space="preserve">au construit 11 etaje (S+P+9E), fiind modificată și numerotarea apartamentelor, </w:t>
      </w:r>
      <w:r w:rsidR="005A3646" w:rsidRPr="009E5B39">
        <w:rPr>
          <w:rFonts w:asciiTheme="majorHAnsi" w:hAnsiTheme="majorHAnsi" w:cstheme="majorHAnsi"/>
          <w:sz w:val="24"/>
          <w:szCs w:val="24"/>
          <w:lang w:val="ro-MD"/>
        </w:rPr>
        <w:t xml:space="preserve">fără a fi informată </w:t>
      </w:r>
      <w:r w:rsidRPr="009E5B39">
        <w:rPr>
          <w:rFonts w:asciiTheme="majorHAnsi" w:hAnsiTheme="majorHAnsi" w:cstheme="majorHAnsi"/>
          <w:sz w:val="24"/>
          <w:szCs w:val="24"/>
          <w:lang w:val="ro-MD"/>
        </w:rPr>
        <w:t xml:space="preserve">Primăria mun. Chișinău despre modificările parvenite. </w:t>
      </w:r>
    </w:p>
    <w:p w14:paraId="79C4D99F" w14:textId="53B07F97" w:rsidR="003E291B" w:rsidRPr="009E5B39" w:rsidRDefault="003E291B" w:rsidP="003E291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noProof/>
          <w:sz w:val="24"/>
          <w:szCs w:val="24"/>
        </w:rPr>
        <mc:AlternateContent>
          <mc:Choice Requires="wps">
            <w:drawing>
              <wp:anchor distT="0" distB="0" distL="114300" distR="114300" simplePos="0" relativeHeight="251660288" behindDoc="0" locked="0" layoutInCell="1" allowOverlap="1" wp14:anchorId="25444ADF" wp14:editId="47F9037C">
                <wp:simplePos x="0" y="0"/>
                <wp:positionH relativeFrom="column">
                  <wp:posOffset>4095750</wp:posOffset>
                </wp:positionH>
                <wp:positionV relativeFrom="paragraph">
                  <wp:posOffset>234950</wp:posOffset>
                </wp:positionV>
                <wp:extent cx="1825068" cy="233680"/>
                <wp:effectExtent l="0" t="0" r="22860" b="13970"/>
                <wp:wrapNone/>
                <wp:docPr id="4" name="Text Box 4"/>
                <wp:cNvGraphicFramePr/>
                <a:graphic xmlns:a="http://schemas.openxmlformats.org/drawingml/2006/main">
                  <a:graphicData uri="http://schemas.microsoft.com/office/word/2010/wordprocessingShape">
                    <wps:wsp>
                      <wps:cNvSpPr txBox="1"/>
                      <wps:spPr>
                        <a:xfrm>
                          <a:off x="0" y="0"/>
                          <a:ext cx="1825068" cy="233680"/>
                        </a:xfrm>
                        <a:prstGeom prst="rect">
                          <a:avLst/>
                        </a:prstGeom>
                        <a:solidFill>
                          <a:sysClr val="window" lastClr="FFFFFF"/>
                        </a:solidFill>
                        <a:ln w="12700">
                          <a:solidFill>
                            <a:prstClr val="black"/>
                          </a:solidFill>
                        </a:ln>
                      </wps:spPr>
                      <wps:txbx>
                        <w:txbxContent>
                          <w:p w14:paraId="4962553D" w14:textId="77777777" w:rsidR="00F14EEC" w:rsidRPr="00041DF6" w:rsidRDefault="00F14EEC" w:rsidP="003E291B">
                            <w:pPr>
                              <w:jc w:val="center"/>
                              <w:rPr>
                                <w:b/>
                                <w:bCs/>
                                <w:sz w:val="16"/>
                                <w:szCs w:val="16"/>
                                <w:lang w:val="ro-RO"/>
                              </w:rPr>
                            </w:pPr>
                            <w:r w:rsidRPr="00041DF6">
                              <w:rPr>
                                <w:b/>
                                <w:bCs/>
                                <w:sz w:val="16"/>
                                <w:szCs w:val="16"/>
                                <w:lang w:val="ro-RO"/>
                              </w:rPr>
                              <w:t>Blocul locativ din str. D. Rîșcanu 29/2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44ADF" id="_x0000_t202" coordsize="21600,21600" o:spt="202" path="m,l,21600r21600,l21600,xe">
                <v:stroke joinstyle="miter"/>
                <v:path gradientshapeok="t" o:connecttype="rect"/>
              </v:shapetype>
              <v:shape id="Text Box 4" o:spid="_x0000_s1026" type="#_x0000_t202" style="position:absolute;left:0;text-align:left;margin-left:322.5pt;margin-top:18.5pt;width:143.7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" fillcolor="window" strokeweight="1pt">
                <v:textbox>
                  <w:txbxContent>
                    <w:p w14:paraId="4962553D" w14:textId="77777777" w:rsidR="00F14EEC" w:rsidRPr="00041DF6" w:rsidRDefault="00F14EEC" w:rsidP="003E291B">
                      <w:pPr>
                        <w:jc w:val="center"/>
                        <w:rPr>
                          <w:b/>
                          <w:bCs/>
                          <w:sz w:val="16"/>
                          <w:szCs w:val="16"/>
                          <w:lang w:val="ro-RO"/>
                        </w:rPr>
                      </w:pPr>
                      <w:r w:rsidRPr="00041DF6">
                        <w:rPr>
                          <w:b/>
                          <w:bCs/>
                          <w:sz w:val="16"/>
                          <w:szCs w:val="16"/>
                          <w:lang w:val="ro-RO"/>
                        </w:rPr>
                        <w:t xml:space="preserve">Blocul locativ din str. D. </w:t>
                      </w:r>
                      <w:proofErr w:type="spellStart"/>
                      <w:r w:rsidRPr="00041DF6">
                        <w:rPr>
                          <w:b/>
                          <w:bCs/>
                          <w:sz w:val="16"/>
                          <w:szCs w:val="16"/>
                          <w:lang w:val="ro-RO"/>
                        </w:rPr>
                        <w:t>Rîșcanu</w:t>
                      </w:r>
                      <w:proofErr w:type="spellEnd"/>
                      <w:r w:rsidRPr="00041DF6">
                        <w:rPr>
                          <w:b/>
                          <w:bCs/>
                          <w:sz w:val="16"/>
                          <w:szCs w:val="16"/>
                          <w:lang w:val="ro-RO"/>
                        </w:rPr>
                        <w:t xml:space="preserve"> 29/2</w:t>
                      </w:r>
                    </w:p>
                  </w:txbxContent>
                </v:textbox>
              </v:shape>
            </w:pict>
          </mc:Fallback>
        </mc:AlternateContent>
      </w:r>
      <w:r w:rsidRPr="009E5B39">
        <w:rPr>
          <w:rFonts w:asciiTheme="majorHAnsi" w:hAnsiTheme="majorHAnsi" w:cstheme="majorHAnsi"/>
          <w:sz w:val="24"/>
          <w:szCs w:val="24"/>
          <w:lang w:val="ro-MD"/>
        </w:rPr>
        <w:t>În acest context, Primăria mun. Chișinău a solicitat de la ASP precizarea numărului apartamentelor din str. D. Rîșcanu 29/2</w:t>
      </w:r>
      <w:r w:rsidR="005A3646"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care urmează să fie înregistrate în proprietatea Primăriei. </w:t>
      </w:r>
    </w:p>
    <w:p w14:paraId="0FDD92B7" w14:textId="316F2E11" w:rsidR="003E291B" w:rsidRPr="009E5B39" w:rsidRDefault="003E291B" w:rsidP="003E291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Potrivit Scrisorii ASP nr. 11-03/4749/2018 din 03.03.2018, modificările în proiect au fost efectuate în baza Acordului adițional f/n din 08.02.2016 la Contractul de societate civilă nr. 5229 din 16.06.2015, prin care părțile au solicitat radierea din </w:t>
      </w:r>
      <w:r w:rsidR="005A3646" w:rsidRPr="009E5B39">
        <w:rPr>
          <w:rFonts w:asciiTheme="majorHAnsi" w:hAnsiTheme="majorHAnsi" w:cstheme="majorHAnsi"/>
          <w:sz w:val="24"/>
          <w:szCs w:val="24"/>
          <w:lang w:val="ro-MD"/>
        </w:rPr>
        <w:t>R</w:t>
      </w:r>
      <w:r w:rsidRPr="009E5B39">
        <w:rPr>
          <w:rFonts w:asciiTheme="majorHAnsi" w:hAnsiTheme="majorHAnsi" w:cstheme="majorHAnsi"/>
          <w:sz w:val="24"/>
          <w:szCs w:val="24"/>
          <w:lang w:val="ro-MD"/>
        </w:rPr>
        <w:t>egistrul bunurilor imobile a unui șir de apartamente înregistrate ca bunuri viitoare (de la nr. 66 până la nr. 75). Potrivit listei apartamentelor și proiectului anexat la Acordul adițional respectiv, Primărie</w:t>
      </w:r>
      <w:r w:rsidR="003811E0" w:rsidRPr="009E5B39">
        <w:rPr>
          <w:rFonts w:asciiTheme="majorHAnsi" w:hAnsiTheme="majorHAnsi" w:cstheme="majorHAnsi"/>
          <w:sz w:val="24"/>
          <w:szCs w:val="24"/>
          <w:lang w:val="ro-MD"/>
        </w:rPr>
        <w:t>i</w:t>
      </w:r>
      <w:r w:rsidRPr="009E5B39">
        <w:rPr>
          <w:rFonts w:asciiTheme="majorHAnsi" w:hAnsiTheme="majorHAnsi" w:cstheme="majorHAnsi"/>
          <w:sz w:val="24"/>
          <w:szCs w:val="24"/>
          <w:lang w:val="ro-MD"/>
        </w:rPr>
        <w:t xml:space="preserve"> mun. Chișinău îi revin apartamentele nr. 58, </w:t>
      </w:r>
      <w:r w:rsidR="003811E0" w:rsidRPr="009E5B39">
        <w:rPr>
          <w:rFonts w:asciiTheme="majorHAnsi" w:hAnsiTheme="majorHAnsi" w:cstheme="majorHAnsi"/>
          <w:sz w:val="24"/>
          <w:szCs w:val="24"/>
          <w:lang w:val="ro-MD"/>
        </w:rPr>
        <w:t>nr.</w:t>
      </w:r>
      <w:r w:rsidRPr="009E5B39">
        <w:rPr>
          <w:rFonts w:asciiTheme="majorHAnsi" w:hAnsiTheme="majorHAnsi" w:cstheme="majorHAnsi"/>
          <w:sz w:val="24"/>
          <w:szCs w:val="24"/>
          <w:lang w:val="ro-MD"/>
        </w:rPr>
        <w:t xml:space="preserve">64 și </w:t>
      </w:r>
      <w:r w:rsidR="003811E0" w:rsidRPr="009E5B39">
        <w:rPr>
          <w:rFonts w:asciiTheme="majorHAnsi" w:hAnsiTheme="majorHAnsi" w:cstheme="majorHAnsi"/>
          <w:sz w:val="24"/>
          <w:szCs w:val="24"/>
          <w:lang w:val="ro-MD"/>
        </w:rPr>
        <w:t>nr.</w:t>
      </w:r>
      <w:r w:rsidRPr="009E5B39">
        <w:rPr>
          <w:rFonts w:asciiTheme="majorHAnsi" w:hAnsiTheme="majorHAnsi" w:cstheme="majorHAnsi"/>
          <w:sz w:val="24"/>
          <w:szCs w:val="24"/>
          <w:lang w:val="ro-MD"/>
        </w:rPr>
        <w:t xml:space="preserve">65. </w:t>
      </w:r>
    </w:p>
    <w:p w14:paraId="425223F6" w14:textId="686C9865" w:rsidR="003E291B" w:rsidRPr="009E5B39" w:rsidRDefault="003E291B" w:rsidP="003E291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Totodată, ASP a menționat că, la data de 01.08.2016, SRL „ARHIMANAGEMENT” a încheiat cu SRL „MOBILATA” (c/f 1009600013505)</w:t>
      </w:r>
      <w:r w:rsidRPr="009E5B39">
        <w:rPr>
          <w:rFonts w:asciiTheme="majorHAnsi" w:hAnsiTheme="majorHAnsi" w:cstheme="majorHAnsi"/>
          <w:sz w:val="24"/>
          <w:szCs w:val="24"/>
          <w:vertAlign w:val="superscript"/>
          <w:lang w:val="ro-MD"/>
        </w:rPr>
        <w:footnoteReference w:id="274"/>
      </w:r>
      <w:r w:rsidRPr="009E5B39">
        <w:rPr>
          <w:rFonts w:asciiTheme="majorHAnsi" w:hAnsiTheme="majorHAnsi" w:cstheme="majorHAnsi"/>
          <w:sz w:val="24"/>
          <w:szCs w:val="24"/>
          <w:lang w:val="ro-MD"/>
        </w:rPr>
        <w:t xml:space="preserve"> Contractul de cesiune nr. 159</w:t>
      </w:r>
      <w:r w:rsidR="003811E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unde obiectul contractului l-au constituit apartamentele nr. 58 și </w:t>
      </w:r>
      <w:r w:rsidR="003811E0" w:rsidRPr="009E5B39">
        <w:rPr>
          <w:rFonts w:asciiTheme="majorHAnsi" w:hAnsiTheme="majorHAnsi" w:cstheme="majorHAnsi"/>
          <w:sz w:val="24"/>
          <w:szCs w:val="24"/>
          <w:lang w:val="ro-MD"/>
        </w:rPr>
        <w:t>nr.</w:t>
      </w:r>
      <w:r w:rsidRPr="009E5B39">
        <w:rPr>
          <w:rFonts w:asciiTheme="majorHAnsi" w:hAnsiTheme="majorHAnsi" w:cstheme="majorHAnsi"/>
          <w:sz w:val="24"/>
          <w:szCs w:val="24"/>
          <w:lang w:val="ro-MD"/>
        </w:rPr>
        <w:t>64, situate în blocul locativ din str. D. Rîșcanu 29/2. Ulterior, în urma executării lucrărilor cadastrale la nivel de clădiri</w:t>
      </w:r>
      <w:r w:rsidR="003811E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scopul recepției (inventarierea blocului locativ) bunului imobil nominalizat, ASP a constatat că etajul 9 este compus din 8 apartamente, dintre care fac parte și apartamentele nr. 70 (suprafața de 34</w:t>
      </w:r>
      <w:r w:rsidR="00A07C1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3 m</w:t>
      </w:r>
      <w:r w:rsidR="00A07C1F"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și nr. 73 (suprafața 64.90 m</w:t>
      </w:r>
      <w:r w:rsidR="00A07C1F"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Procesul-verbal de recepție finală a lucrărilor a fost înregistrat în RBI la data de 24.05.2017 (0100/17/101534). </w:t>
      </w:r>
    </w:p>
    <w:p w14:paraId="643A7805" w14:textId="291F50DB" w:rsidR="003E291B" w:rsidRPr="009E5B39" w:rsidRDefault="003E291B" w:rsidP="003E291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Analizând datele din Registru</w:t>
      </w:r>
      <w:r w:rsidR="00A07C1F" w:rsidRPr="009E5B39">
        <w:rPr>
          <w:rFonts w:asciiTheme="majorHAnsi" w:hAnsiTheme="majorHAnsi" w:cstheme="majorHAnsi"/>
          <w:sz w:val="24"/>
          <w:szCs w:val="24"/>
          <w:lang w:val="ro-MD"/>
        </w:rPr>
        <w:t>l</w:t>
      </w:r>
      <w:r w:rsidRPr="009E5B39">
        <w:rPr>
          <w:rFonts w:asciiTheme="majorHAnsi" w:hAnsiTheme="majorHAnsi" w:cstheme="majorHAnsi"/>
          <w:sz w:val="24"/>
          <w:szCs w:val="24"/>
          <w:lang w:val="ro-MD"/>
        </w:rPr>
        <w:t xml:space="preserve"> bunurilor imobile, auditul a </w:t>
      </w:r>
      <w:r w:rsidR="00A07C1F" w:rsidRPr="009E5B39">
        <w:rPr>
          <w:rFonts w:asciiTheme="majorHAnsi" w:hAnsiTheme="majorHAnsi" w:cstheme="majorHAnsi"/>
          <w:sz w:val="24"/>
          <w:szCs w:val="24"/>
          <w:lang w:val="ro-MD"/>
        </w:rPr>
        <w:t>constatat</w:t>
      </w:r>
      <w:r w:rsidRPr="009E5B39">
        <w:rPr>
          <w:rFonts w:asciiTheme="majorHAnsi" w:hAnsiTheme="majorHAnsi" w:cstheme="majorHAnsi"/>
          <w:sz w:val="24"/>
          <w:szCs w:val="24"/>
          <w:lang w:val="ro-MD"/>
        </w:rPr>
        <w:t xml:space="preserve"> următoarele: </w:t>
      </w:r>
    </w:p>
    <w:p w14:paraId="321B47FC" w14:textId="0F99EEE8" w:rsidR="003E291B" w:rsidRPr="009E5B39" w:rsidRDefault="003E291B" w:rsidP="003E291B">
      <w:pPr>
        <w:numPr>
          <w:ilvl w:val="0"/>
          <w:numId w:val="44"/>
        </w:numPr>
        <w:spacing w:after="0" w:line="276" w:lineRule="auto"/>
        <w:ind w:left="0" w:firstLine="426"/>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Proprietarul apartamentului nr. 58 (bun viitor) cu suprafața de 50</w:t>
      </w:r>
      <w:r w:rsidR="00A07C1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58 m</w:t>
      </w:r>
      <w:r w:rsidR="00A07C1F"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începând cu 02.04.2015, este SRL </w:t>
      </w:r>
      <w:r w:rsidR="00A07C1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M</w:t>
      </w:r>
      <w:r w:rsidR="00A07C1F" w:rsidRPr="009E5B39">
        <w:rPr>
          <w:rFonts w:asciiTheme="majorHAnsi" w:hAnsiTheme="majorHAnsi" w:cstheme="majorHAnsi"/>
          <w:sz w:val="24"/>
          <w:szCs w:val="24"/>
          <w:lang w:val="ro-MD"/>
        </w:rPr>
        <w:t>OBILATA”</w:t>
      </w:r>
      <w:r w:rsidRPr="009E5B39">
        <w:rPr>
          <w:rFonts w:asciiTheme="majorHAnsi" w:hAnsiTheme="majorHAnsi" w:cstheme="majorHAnsi"/>
          <w:sz w:val="24"/>
          <w:szCs w:val="24"/>
          <w:lang w:val="ro-MD"/>
        </w:rPr>
        <w:t>, iar titularul grevării este DGLCA (înregistrată la 09.02.2016). Totodată, prin Încheierea executorului judecătoresc Cațer Victor nr.100-R1518/2018, începând cu 04.06.2018</w:t>
      </w:r>
      <w:r w:rsidR="00A07C1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este aplicată interdicția de înstrăinare a bunului nominalizat; </w:t>
      </w:r>
    </w:p>
    <w:p w14:paraId="5BA5652A" w14:textId="630DA0A4" w:rsidR="003E291B" w:rsidRPr="009E5B39" w:rsidRDefault="003E291B" w:rsidP="003E291B">
      <w:pPr>
        <w:numPr>
          <w:ilvl w:val="0"/>
          <w:numId w:val="44"/>
        </w:numPr>
        <w:spacing w:after="0" w:line="276" w:lineRule="auto"/>
        <w:ind w:left="0" w:firstLine="426"/>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Proprietarul apartamentului nr. 64 (locativ)</w:t>
      </w:r>
      <w:r w:rsidR="00A07C1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suprafața de 52</w:t>
      </w:r>
      <w:r w:rsidR="00A07C1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90 m</w:t>
      </w:r>
      <w:r w:rsidR="00A07C1F"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începând cu 05.02.2018</w:t>
      </w:r>
      <w:r w:rsidR="00A07C1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este </w:t>
      </w:r>
      <w:r w:rsidR="005F08AB" w:rsidRPr="009E5B39">
        <w:rPr>
          <w:rFonts w:asciiTheme="majorHAnsi" w:hAnsiTheme="majorHAnsi" w:cstheme="majorHAnsi"/>
          <w:sz w:val="24"/>
          <w:szCs w:val="24"/>
          <w:lang w:val="ro-MD"/>
        </w:rPr>
        <w:t xml:space="preserve">o </w:t>
      </w:r>
      <w:r w:rsidRPr="009E5B39">
        <w:rPr>
          <w:rFonts w:asciiTheme="majorHAnsi" w:hAnsiTheme="majorHAnsi" w:cstheme="majorHAnsi"/>
          <w:sz w:val="24"/>
          <w:szCs w:val="24"/>
          <w:lang w:val="ro-MD"/>
        </w:rPr>
        <w:t>persoan</w:t>
      </w:r>
      <w:r w:rsidR="005F08AB"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fizică, anterior proprietarii apartamentului fiind: SRL </w:t>
      </w:r>
      <w:r w:rsidR="00A07C1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M</w:t>
      </w:r>
      <w:r w:rsidR="00A07C1F" w:rsidRPr="009E5B39">
        <w:rPr>
          <w:rFonts w:asciiTheme="majorHAnsi" w:hAnsiTheme="majorHAnsi" w:cstheme="majorHAnsi"/>
          <w:sz w:val="24"/>
          <w:szCs w:val="24"/>
          <w:lang w:val="ro-MD"/>
        </w:rPr>
        <w:t>OBILATA”</w:t>
      </w:r>
      <w:r w:rsidRPr="009E5B39">
        <w:rPr>
          <w:rFonts w:asciiTheme="majorHAnsi" w:hAnsiTheme="majorHAnsi" w:cstheme="majorHAnsi"/>
          <w:sz w:val="24"/>
          <w:szCs w:val="24"/>
          <w:lang w:val="ro-MD"/>
        </w:rPr>
        <w:t xml:space="preserve"> (dreptul de proprietate înregistrat la 05.08.2016), </w:t>
      </w:r>
      <w:r w:rsidR="005F08AB" w:rsidRPr="009E5B39">
        <w:rPr>
          <w:rFonts w:asciiTheme="majorHAnsi" w:hAnsiTheme="majorHAnsi" w:cstheme="majorHAnsi"/>
          <w:sz w:val="24"/>
          <w:szCs w:val="24"/>
          <w:lang w:val="ro-MD"/>
        </w:rPr>
        <w:t xml:space="preserve">și </w:t>
      </w:r>
      <w:r w:rsidRPr="009E5B39">
        <w:rPr>
          <w:rFonts w:asciiTheme="majorHAnsi" w:hAnsiTheme="majorHAnsi" w:cstheme="majorHAnsi"/>
          <w:sz w:val="24"/>
          <w:szCs w:val="24"/>
          <w:lang w:val="ro-MD"/>
        </w:rPr>
        <w:t>persoane fizice (dreptul de proprietate înregistrat la 20.12.2017);</w:t>
      </w:r>
    </w:p>
    <w:p w14:paraId="7326D532" w14:textId="3D6514A2" w:rsidR="003E291B" w:rsidRPr="009E5B39" w:rsidRDefault="003E291B" w:rsidP="003E291B">
      <w:pPr>
        <w:numPr>
          <w:ilvl w:val="0"/>
          <w:numId w:val="44"/>
        </w:numPr>
        <w:spacing w:after="0" w:line="276" w:lineRule="auto"/>
        <w:ind w:left="0" w:firstLine="426"/>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Proprietarii apartamentului nr. 65 (locativ)</w:t>
      </w:r>
      <w:r w:rsidR="00A07C1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cu suprafața de 65</w:t>
      </w:r>
      <w:r w:rsidR="00A07C1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70 m</w:t>
      </w:r>
      <w:r w:rsidR="00A07C1F"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începând cu 12.01.2018, sunt </w:t>
      </w:r>
      <w:r w:rsidR="005F08AB" w:rsidRPr="009E5B39">
        <w:rPr>
          <w:rFonts w:asciiTheme="majorHAnsi" w:hAnsiTheme="majorHAnsi" w:cstheme="majorHAnsi"/>
          <w:sz w:val="24"/>
          <w:szCs w:val="24"/>
          <w:lang w:val="ro-MD"/>
        </w:rPr>
        <w:t xml:space="preserve">două </w:t>
      </w:r>
      <w:r w:rsidRPr="009E5B39">
        <w:rPr>
          <w:rFonts w:asciiTheme="majorHAnsi" w:hAnsiTheme="majorHAnsi" w:cstheme="majorHAnsi"/>
          <w:sz w:val="24"/>
          <w:szCs w:val="24"/>
          <w:lang w:val="ro-MD"/>
        </w:rPr>
        <w:t>persoane fizice, temeiul înscrierii dreptului de proprietate fiind Contractul privind investițiile în construcții nr. 3270 din 28.04.2016. Anterior, proprietari ai apartamentului au fost: SRL „ KIRSAN COM” (dreptul de proprietate înregistrat la 04.08.2015) și SRL „ARHIMANAGEMENT” (dreptul de proprietate înregistrat la 02.04.2015);</w:t>
      </w:r>
    </w:p>
    <w:p w14:paraId="33CDD04F" w14:textId="2E40BC82" w:rsidR="003E291B" w:rsidRPr="009E5B39" w:rsidRDefault="003E291B" w:rsidP="003E291B">
      <w:pPr>
        <w:numPr>
          <w:ilvl w:val="0"/>
          <w:numId w:val="44"/>
        </w:numPr>
        <w:spacing w:after="0" w:line="276" w:lineRule="auto"/>
        <w:ind w:left="0" w:firstLine="284"/>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Proprietarul apartamentului nr. 70 (bun viitor) cu suprafața de 60</w:t>
      </w:r>
      <w:r w:rsidR="00A07C1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00 m</w:t>
      </w:r>
      <w:r w:rsidR="00A07C1F"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este DGLCA, dreptul de proprietate fiind înregistrat la 02.04.2015</w:t>
      </w:r>
      <w:r w:rsidR="00A07C1F" w:rsidRPr="009E5B39">
        <w:rPr>
          <w:rFonts w:asciiTheme="majorHAnsi" w:hAnsiTheme="majorHAnsi" w:cstheme="majorHAnsi"/>
          <w:sz w:val="24"/>
          <w:szCs w:val="24"/>
          <w:lang w:val="ro-MD"/>
        </w:rPr>
        <w:t>;</w:t>
      </w:r>
    </w:p>
    <w:p w14:paraId="79BD24F6" w14:textId="1F93774D" w:rsidR="003E291B" w:rsidRPr="009E5B39" w:rsidRDefault="003E291B" w:rsidP="003E291B">
      <w:pPr>
        <w:numPr>
          <w:ilvl w:val="0"/>
          <w:numId w:val="44"/>
        </w:numPr>
        <w:spacing w:after="0" w:line="276" w:lineRule="auto"/>
        <w:ind w:left="0" w:firstLine="284"/>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Proprietarul apartamentului nr. 73 (bun viitor) cu suprafața de 102</w:t>
      </w:r>
      <w:r w:rsidR="00A07C1F"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95 m</w:t>
      </w:r>
      <w:r w:rsidR="00A07C1F" w:rsidRPr="009E5B39">
        <w:rPr>
          <w:rFonts w:asciiTheme="majorHAnsi" w:hAnsiTheme="majorHAnsi" w:cstheme="majorHAnsi"/>
          <w:sz w:val="24"/>
          <w:szCs w:val="24"/>
          <w:vertAlign w:val="superscript"/>
          <w:lang w:val="ro-MD"/>
        </w:rPr>
        <w:t>2</w:t>
      </w:r>
      <w:r w:rsidRPr="009E5B39">
        <w:rPr>
          <w:rFonts w:asciiTheme="majorHAnsi" w:hAnsiTheme="majorHAnsi" w:cstheme="majorHAnsi"/>
          <w:sz w:val="24"/>
          <w:szCs w:val="24"/>
          <w:lang w:val="ro-MD"/>
        </w:rPr>
        <w:t xml:space="preserve"> este DGLCA, dreptul de proprietate fiind înregistrat la 02.04.2015.</w:t>
      </w:r>
    </w:p>
    <w:p w14:paraId="683FEF65" w14:textId="7C588F65" w:rsidR="003E291B" w:rsidRPr="009E5B39" w:rsidRDefault="003E291B" w:rsidP="003E291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La data de 17.05.2018, SRL „ARHIMANAGEMENT” a intrat în proces de insolvabilitate, iar la data de 13.07.2018, DGLCA a inițiat și </w:t>
      </w:r>
      <w:r w:rsidR="00A07C1F" w:rsidRPr="009E5B39">
        <w:rPr>
          <w:rFonts w:asciiTheme="majorHAnsi" w:hAnsiTheme="majorHAnsi" w:cstheme="majorHAnsi"/>
          <w:sz w:val="24"/>
          <w:szCs w:val="24"/>
          <w:lang w:val="ro-MD"/>
        </w:rPr>
        <w:t xml:space="preserve">a </w:t>
      </w:r>
      <w:r w:rsidRPr="009E5B39">
        <w:rPr>
          <w:rFonts w:asciiTheme="majorHAnsi" w:hAnsiTheme="majorHAnsi" w:cstheme="majorHAnsi"/>
          <w:sz w:val="24"/>
          <w:szCs w:val="24"/>
          <w:lang w:val="ro-MD"/>
        </w:rPr>
        <w:t>depus în instanța de insolvabilitate cererea cu privire la repunerea în termen și recunoașterea DGLCA a CMC în calitate de creditor în procedura de insolvabilitate a SRL „ARHIMANAGEMENT”, cu creanța în mărime de 5 % din spațiul locativ construit, conform contractului de investiții nr. 4R/12 din 31.07.2012 și Contractului de societate civilă nr. 5229 din 16.06.2015. Administratorul pentru insolvabilitate a SRL „ARHIMANAGEMENT” (dl Mitev Vitalie) a inclus DGLCA a CMC în tabelul definitiv al creanțelor cu creanța „0” (zero), motivând decizia sa prin faptul că, potrivit răspunsului nr. 11-06/3/7777 din 10.04.2018, eliberat de către IP ASP, Departamentul Cadastru, la ziua intentării procesului de insolvabilitate față de SRL „ARHIMANAGEMENT”, apartamentele cu nr. 58, 64, 65, 70 și 73 din str. Dumitru Rîșcanu 29/2 au fost vândute (transmise), drepturile reale a</w:t>
      </w:r>
      <w:r w:rsidR="004209E0" w:rsidRPr="009E5B39">
        <w:rPr>
          <w:rFonts w:asciiTheme="majorHAnsi" w:hAnsiTheme="majorHAnsi" w:cstheme="majorHAnsi"/>
          <w:sz w:val="24"/>
          <w:szCs w:val="24"/>
          <w:lang w:val="ro-MD"/>
        </w:rPr>
        <w:t>le</w:t>
      </w:r>
      <w:r w:rsidRPr="009E5B39">
        <w:rPr>
          <w:rFonts w:asciiTheme="majorHAnsi" w:hAnsiTheme="majorHAnsi" w:cstheme="majorHAnsi"/>
          <w:sz w:val="24"/>
          <w:szCs w:val="24"/>
          <w:lang w:val="ro-MD"/>
        </w:rPr>
        <w:t xml:space="preserve"> SRL „ARHIMANAGEMENT” asupra acestor apartamente fiind stinse, </w:t>
      </w:r>
      <w:r w:rsidR="004209E0" w:rsidRPr="009E5B39">
        <w:rPr>
          <w:rFonts w:asciiTheme="majorHAnsi" w:hAnsiTheme="majorHAnsi" w:cstheme="majorHAnsi"/>
          <w:sz w:val="24"/>
          <w:szCs w:val="24"/>
          <w:lang w:val="ro-MD"/>
        </w:rPr>
        <w:t xml:space="preserve">iar </w:t>
      </w:r>
      <w:r w:rsidRPr="009E5B39">
        <w:rPr>
          <w:rFonts w:asciiTheme="majorHAnsi" w:hAnsiTheme="majorHAnsi" w:cstheme="majorHAnsi"/>
          <w:sz w:val="24"/>
          <w:szCs w:val="24"/>
          <w:lang w:val="ro-MD"/>
        </w:rPr>
        <w:t>ca urmare aceste apartamente nu fac parte din masa debitoare. Totodată, administratorul pentru insolvabilitate a menționat</w:t>
      </w:r>
      <w:r w:rsidR="004209E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în motivația sa</w:t>
      </w:r>
      <w:r w:rsidR="004209E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că părțile contractante nu au convenit </w:t>
      </w:r>
      <w:r w:rsidR="004209E0" w:rsidRPr="009E5B39">
        <w:rPr>
          <w:rFonts w:asciiTheme="majorHAnsi" w:hAnsiTheme="majorHAnsi" w:cstheme="majorHAnsi"/>
          <w:sz w:val="24"/>
          <w:szCs w:val="24"/>
          <w:lang w:val="ro-MD"/>
        </w:rPr>
        <w:t>asupra</w:t>
      </w:r>
      <w:r w:rsidRPr="009E5B39">
        <w:rPr>
          <w:rFonts w:asciiTheme="majorHAnsi" w:hAnsiTheme="majorHAnsi" w:cstheme="majorHAnsi"/>
          <w:sz w:val="24"/>
          <w:szCs w:val="24"/>
          <w:lang w:val="ro-MD"/>
        </w:rPr>
        <w:t xml:space="preserve"> sum</w:t>
      </w:r>
      <w:r w:rsidR="004209E0" w:rsidRPr="009E5B39">
        <w:rPr>
          <w:rFonts w:asciiTheme="majorHAnsi" w:hAnsiTheme="majorHAnsi" w:cstheme="majorHAnsi"/>
          <w:sz w:val="24"/>
          <w:szCs w:val="24"/>
          <w:lang w:val="ro-MD"/>
        </w:rPr>
        <w:t>ei</w:t>
      </w:r>
      <w:r w:rsidRPr="009E5B39">
        <w:rPr>
          <w:rFonts w:asciiTheme="majorHAnsi" w:hAnsiTheme="majorHAnsi" w:cstheme="majorHAnsi"/>
          <w:sz w:val="24"/>
          <w:szCs w:val="24"/>
          <w:lang w:val="ro-MD"/>
        </w:rPr>
        <w:t xml:space="preserve"> care ar constitui noile apartamente, în astfel de cazuri. </w:t>
      </w:r>
    </w:p>
    <w:p w14:paraId="77CFE39C" w14:textId="546C8801" w:rsidR="003E291B" w:rsidRPr="009E5B39" w:rsidRDefault="003E291B" w:rsidP="003E291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La data de 08.10.2018, DGLCA a depus un demers la Centrul Național Anticorupție, iar la  04.12.2018 a fost pornită cauza penală nr. 2018970767, conform elementelor constitutive ale componenței de infracțiune</w:t>
      </w:r>
      <w:r w:rsidR="004209E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prevăzute de art. 190 alin. (5) Cod </w:t>
      </w:r>
      <w:r w:rsidR="004209E0" w:rsidRPr="009E5B39">
        <w:rPr>
          <w:rFonts w:asciiTheme="majorHAnsi" w:hAnsiTheme="majorHAnsi" w:cstheme="majorHAnsi"/>
          <w:sz w:val="24"/>
          <w:szCs w:val="24"/>
          <w:lang w:val="ro-MD"/>
        </w:rPr>
        <w:t>p</w:t>
      </w:r>
      <w:r w:rsidRPr="009E5B39">
        <w:rPr>
          <w:rFonts w:asciiTheme="majorHAnsi" w:hAnsiTheme="majorHAnsi" w:cstheme="majorHAnsi"/>
          <w:sz w:val="24"/>
          <w:szCs w:val="24"/>
          <w:lang w:val="ro-MD"/>
        </w:rPr>
        <w:t>enal. Prin Scrisoarea DGLCA nr. 212-i din 10.03.2020</w:t>
      </w:r>
      <w:r w:rsidR="004209E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emisă către Inspectoratul de Poliție Centru, DGLCA a depus o cerere privind recunoașterea DGLCA în calitate de parte vătămată pe marginea cauzei penale nr. 2018970767, suma pagubei materiale constituind 1.465,00 mii lei, conform evaluării estimative efectuate de către Bursa imobiliară „Lara”. </w:t>
      </w:r>
    </w:p>
    <w:p w14:paraId="7D5BC36A" w14:textId="4CFB6E50" w:rsidR="003E291B" w:rsidRPr="009E5B39" w:rsidRDefault="003E291B" w:rsidP="003E291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Totodată, auditul denotă că</w:t>
      </w:r>
      <w:r w:rsidR="004209E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prin Hotărârea Judecătoriei Chișinău sediul Rîșcani din 03.08.2021, a fost admisă parțial cererea de chemare în judecată depusă de către SRL „MOBILATA” împotriva IP ASP terți DGLCA și acțiunea intentată de către SRL „KIRSAN COM” împotriva IP ASP terți DGLCA, obligând IP ASP </w:t>
      </w:r>
      <w:r w:rsidR="004209E0" w:rsidRPr="009E5B39">
        <w:rPr>
          <w:rFonts w:asciiTheme="majorHAnsi" w:hAnsiTheme="majorHAnsi" w:cstheme="majorHAnsi"/>
          <w:sz w:val="24"/>
          <w:szCs w:val="24"/>
          <w:lang w:val="ro-MD"/>
        </w:rPr>
        <w:t>să</w:t>
      </w:r>
      <w:r w:rsidRPr="009E5B39">
        <w:rPr>
          <w:rFonts w:asciiTheme="majorHAnsi" w:hAnsiTheme="majorHAnsi" w:cstheme="majorHAnsi"/>
          <w:sz w:val="24"/>
          <w:szCs w:val="24"/>
          <w:lang w:val="ro-MD"/>
        </w:rPr>
        <w:t xml:space="preserve"> înregistr</w:t>
      </w:r>
      <w:r w:rsidR="004209E0" w:rsidRPr="009E5B39">
        <w:rPr>
          <w:rFonts w:asciiTheme="majorHAnsi" w:hAnsiTheme="majorHAnsi" w:cstheme="majorHAnsi"/>
          <w:sz w:val="24"/>
          <w:szCs w:val="24"/>
          <w:lang w:val="ro-MD"/>
        </w:rPr>
        <w:t>eze</w:t>
      </w:r>
      <w:r w:rsidRPr="009E5B39">
        <w:rPr>
          <w:rFonts w:asciiTheme="majorHAnsi" w:hAnsiTheme="majorHAnsi" w:cstheme="majorHAnsi"/>
          <w:sz w:val="24"/>
          <w:szCs w:val="24"/>
          <w:lang w:val="ro-MD"/>
        </w:rPr>
        <w:t xml:space="preserve"> dreptul de proprietate asupra apartamentului nr. 58 din str. D. Rîșcanu 29/2 după SRL „MOBILATA” și</w:t>
      </w:r>
      <w:r w:rsidR="004209E0"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respectiv</w:t>
      </w:r>
      <w:r w:rsidR="004209E0"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dreptul de proprietate asupra apartamentelor nr. 70 și nr. 73 din str. D. Rîșcanu 29/2 după SRL „KIRSAN COM”. </w:t>
      </w:r>
    </w:p>
    <w:p w14:paraId="4464C181" w14:textId="58EAE190" w:rsidR="003E291B" w:rsidRPr="009E5B39" w:rsidRDefault="003E291B" w:rsidP="003E291B">
      <w:pPr>
        <w:spacing w:after="0" w:line="276" w:lineRule="auto"/>
        <w:ind w:firstLine="567"/>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Decizia </w:t>
      </w:r>
      <w:r w:rsidR="00D862D1" w:rsidRPr="009E5B39">
        <w:rPr>
          <w:rFonts w:asciiTheme="majorHAnsi" w:hAnsiTheme="majorHAnsi" w:cstheme="majorHAnsi"/>
          <w:sz w:val="24"/>
          <w:szCs w:val="24"/>
          <w:lang w:val="ro-MD"/>
        </w:rPr>
        <w:t>Hotărârii</w:t>
      </w:r>
      <w:r w:rsidRPr="009E5B39">
        <w:rPr>
          <w:rFonts w:asciiTheme="majorHAnsi" w:hAnsiTheme="majorHAnsi" w:cstheme="majorHAnsi"/>
          <w:sz w:val="24"/>
          <w:szCs w:val="24"/>
          <w:lang w:val="ro-MD"/>
        </w:rPr>
        <w:t xml:space="preserve"> Judecătoriei Chișinău sediul Rîșcani din 03.08.2021 a fost contestată de către DGLCA la Curtea de Apel Chișinău, cererea de apel nemotivată fiind înregistrată </w:t>
      </w:r>
      <w:r w:rsidR="00F4644F" w:rsidRPr="009E5B39">
        <w:rPr>
          <w:rFonts w:asciiTheme="majorHAnsi" w:hAnsiTheme="majorHAnsi" w:cstheme="majorHAnsi"/>
          <w:sz w:val="24"/>
          <w:szCs w:val="24"/>
          <w:lang w:val="ro-MD"/>
        </w:rPr>
        <w:t>cu</w:t>
      </w:r>
      <w:r w:rsidRPr="009E5B39">
        <w:rPr>
          <w:rFonts w:asciiTheme="majorHAnsi" w:hAnsiTheme="majorHAnsi" w:cstheme="majorHAnsi"/>
          <w:sz w:val="24"/>
          <w:szCs w:val="24"/>
          <w:lang w:val="ro-MD"/>
        </w:rPr>
        <w:t xml:space="preserve"> nr.22726 din 02.09.2021, iar cererea de apel motivată – </w:t>
      </w:r>
      <w:r w:rsidR="00F4644F" w:rsidRPr="009E5B39">
        <w:rPr>
          <w:rFonts w:asciiTheme="majorHAnsi" w:hAnsiTheme="majorHAnsi" w:cstheme="majorHAnsi"/>
          <w:sz w:val="24"/>
          <w:szCs w:val="24"/>
          <w:lang w:val="ro-MD"/>
        </w:rPr>
        <w:t>cu</w:t>
      </w:r>
      <w:r w:rsidRPr="009E5B39">
        <w:rPr>
          <w:rFonts w:asciiTheme="majorHAnsi" w:hAnsiTheme="majorHAnsi" w:cstheme="majorHAnsi"/>
          <w:sz w:val="24"/>
          <w:szCs w:val="24"/>
          <w:lang w:val="ro-MD"/>
        </w:rPr>
        <w:t xml:space="preserve"> nr.32583 din 21.12.2021.</w:t>
      </w:r>
      <w:r w:rsidRPr="009E5B39">
        <w:rPr>
          <w:rFonts w:asciiTheme="majorHAnsi" w:hAnsiTheme="majorHAnsi" w:cstheme="majorHAnsi"/>
          <w:sz w:val="24"/>
          <w:szCs w:val="24"/>
          <w:shd w:val="clear" w:color="auto" w:fill="FFFFFF"/>
          <w:lang w:val="ro-MD"/>
        </w:rPr>
        <w:t xml:space="preserve"> </w:t>
      </w:r>
    </w:p>
    <w:p w14:paraId="68603F69" w14:textId="77777777" w:rsidR="003E291B" w:rsidRPr="009E5B39" w:rsidRDefault="003E291B" w:rsidP="003E291B">
      <w:pPr>
        <w:spacing w:after="0"/>
        <w:jc w:val="right"/>
        <w:rPr>
          <w:rFonts w:asciiTheme="majorHAnsi" w:hAnsiTheme="majorHAnsi" w:cstheme="majorHAnsi"/>
          <w:b/>
          <w:i/>
          <w:sz w:val="24"/>
          <w:szCs w:val="24"/>
          <w:lang w:val="ro-MD"/>
        </w:rPr>
        <w:sectPr w:rsidR="003E291B" w:rsidRPr="009E5B39" w:rsidSect="003E291B">
          <w:pgSz w:w="11907" w:h="16840" w:code="9"/>
          <w:pgMar w:top="1134" w:right="851" w:bottom="1134" w:left="1701" w:header="709" w:footer="709" w:gutter="0"/>
          <w:cols w:space="708"/>
          <w:docGrid w:linePitch="360"/>
        </w:sectPr>
      </w:pPr>
    </w:p>
    <w:p w14:paraId="4F6D9F45" w14:textId="77777777" w:rsidR="003E291B" w:rsidRPr="009E5B39" w:rsidRDefault="003E291B" w:rsidP="003E291B">
      <w:pPr>
        <w:keepNext/>
        <w:keepLines/>
        <w:spacing w:after="0"/>
        <w:jc w:val="right"/>
        <w:outlineLvl w:val="0"/>
        <w:rPr>
          <w:rFonts w:asciiTheme="majorHAnsi" w:eastAsia="Times New Roman" w:hAnsiTheme="majorHAnsi" w:cstheme="majorHAnsi"/>
          <w:b/>
          <w:sz w:val="32"/>
          <w:szCs w:val="32"/>
          <w:lang w:val="ro-MD"/>
        </w:rPr>
      </w:pPr>
      <w:bookmarkStart w:id="34" w:name="_Toc116026899"/>
      <w:r w:rsidRPr="009E5B39">
        <w:rPr>
          <w:rFonts w:asciiTheme="majorHAnsi" w:eastAsia="Times New Roman" w:hAnsiTheme="majorHAnsi" w:cstheme="majorHAnsi"/>
          <w:b/>
          <w:sz w:val="32"/>
          <w:szCs w:val="32"/>
          <w:lang w:val="ro-MD"/>
        </w:rPr>
        <w:t>Anexa nr.17</w:t>
      </w:r>
      <w:bookmarkEnd w:id="34"/>
    </w:p>
    <w:p w14:paraId="3B840B22" w14:textId="07BD5B72" w:rsidR="003E291B" w:rsidRPr="009E5B39" w:rsidRDefault="003E291B" w:rsidP="003E291B">
      <w:pPr>
        <w:spacing w:after="0" w:line="276" w:lineRule="auto"/>
        <w:ind w:firstLine="567"/>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 xml:space="preserve"> </w:t>
      </w:r>
      <w:r w:rsidRPr="009E5B39">
        <w:rPr>
          <w:rFonts w:asciiTheme="majorHAnsi" w:eastAsia="Times New Roman" w:hAnsiTheme="majorHAnsi" w:cstheme="majorHAnsi"/>
          <w:b/>
          <w:bCs/>
          <w:sz w:val="24"/>
          <w:szCs w:val="24"/>
          <w:lang w:val="ro-MD"/>
        </w:rPr>
        <w:t>Privind înstrăinarea terenurilor fără participarea Consiliului municipal Chişinău, organ decisiv în administrarea fondului funciar</w:t>
      </w:r>
      <w:r w:rsidRPr="009E5B39">
        <w:rPr>
          <w:rFonts w:asciiTheme="majorHAnsi" w:eastAsia="Times New Roman" w:hAnsiTheme="majorHAnsi" w:cstheme="majorHAnsi"/>
          <w:sz w:val="24"/>
          <w:szCs w:val="24"/>
          <w:lang w:val="ro-MD"/>
        </w:rPr>
        <w:t xml:space="preserve"> </w:t>
      </w:r>
    </w:p>
    <w:p w14:paraId="53ABF4DC" w14:textId="1A1F97B2" w:rsidR="003E291B" w:rsidRPr="009E5B39" w:rsidRDefault="003E291B" w:rsidP="003E291B">
      <w:pPr>
        <w:spacing w:after="0" w:line="276" w:lineRule="auto"/>
        <w:ind w:firstLine="567"/>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În octombrie 2013, un judecător de la Judecătoria sect.</w:t>
      </w:r>
      <w:r w:rsidR="00697728">
        <w:rPr>
          <w:rFonts w:asciiTheme="majorHAnsi" w:eastAsia="Times New Roman" w:hAnsiTheme="majorHAnsi" w:cstheme="majorHAnsi"/>
          <w:sz w:val="24"/>
          <w:szCs w:val="24"/>
          <w:lang w:val="ro-MD"/>
        </w:rPr>
        <w:t xml:space="preserve"> </w:t>
      </w:r>
      <w:r w:rsidRPr="009E5B39">
        <w:rPr>
          <w:rFonts w:asciiTheme="majorHAnsi" w:eastAsia="Times New Roman" w:hAnsiTheme="majorHAnsi" w:cstheme="majorHAnsi"/>
          <w:sz w:val="24"/>
          <w:szCs w:val="24"/>
          <w:lang w:val="ro-MD"/>
        </w:rPr>
        <w:t>R</w:t>
      </w:r>
      <w:r w:rsidR="00EC524A" w:rsidRPr="009E5B39">
        <w:rPr>
          <w:rFonts w:asciiTheme="majorHAnsi" w:eastAsia="Times New Roman" w:hAnsiTheme="majorHAnsi" w:cstheme="majorHAnsi"/>
          <w:sz w:val="24"/>
          <w:szCs w:val="24"/>
          <w:lang w:val="ro-MD"/>
        </w:rPr>
        <w:t>î</w:t>
      </w:r>
      <w:r w:rsidRPr="009E5B39">
        <w:rPr>
          <w:rFonts w:asciiTheme="majorHAnsi" w:eastAsia="Times New Roman" w:hAnsiTheme="majorHAnsi" w:cstheme="majorHAnsi"/>
          <w:sz w:val="24"/>
          <w:szCs w:val="24"/>
          <w:lang w:val="ro-MD"/>
        </w:rPr>
        <w:t>şcani, mun.</w:t>
      </w:r>
      <w:r w:rsidR="00697728">
        <w:rPr>
          <w:rFonts w:asciiTheme="majorHAnsi" w:eastAsia="Times New Roman" w:hAnsiTheme="majorHAnsi" w:cstheme="majorHAnsi"/>
          <w:sz w:val="24"/>
          <w:szCs w:val="24"/>
          <w:lang w:val="ro-MD"/>
        </w:rPr>
        <w:t xml:space="preserve"> </w:t>
      </w:r>
      <w:r w:rsidRPr="009E5B39">
        <w:rPr>
          <w:rFonts w:asciiTheme="majorHAnsi" w:eastAsia="Times New Roman" w:hAnsiTheme="majorHAnsi" w:cstheme="majorHAnsi"/>
          <w:sz w:val="24"/>
          <w:szCs w:val="24"/>
          <w:lang w:val="ro-MD"/>
        </w:rPr>
        <w:t>Chişinău, a emis o încheiere</w:t>
      </w:r>
      <w:r w:rsidR="00E33C1E"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prin care CMC era obligat să organizeze </w:t>
      </w:r>
      <w:r w:rsidR="00697728" w:rsidRPr="009E5B39">
        <w:rPr>
          <w:rFonts w:asciiTheme="majorHAnsi" w:eastAsia="Times New Roman" w:hAnsiTheme="majorHAnsi" w:cstheme="majorHAnsi"/>
          <w:sz w:val="24"/>
          <w:szCs w:val="24"/>
          <w:lang w:val="ro-MD"/>
        </w:rPr>
        <w:t>licitații</w:t>
      </w:r>
      <w:r w:rsidRPr="009E5B39">
        <w:rPr>
          <w:rFonts w:asciiTheme="majorHAnsi" w:eastAsia="Times New Roman" w:hAnsiTheme="majorHAnsi" w:cstheme="majorHAnsi"/>
          <w:sz w:val="24"/>
          <w:szCs w:val="24"/>
          <w:lang w:val="ro-MD"/>
        </w:rPr>
        <w:t xml:space="preserve"> publice privind darea în arendă a terenurilor publice, în </w:t>
      </w:r>
      <w:r w:rsidR="00697728" w:rsidRPr="009E5B39">
        <w:rPr>
          <w:rFonts w:asciiTheme="majorHAnsi" w:eastAsia="Times New Roman" w:hAnsiTheme="majorHAnsi" w:cstheme="majorHAnsi"/>
          <w:sz w:val="24"/>
          <w:szCs w:val="24"/>
          <w:lang w:val="ro-MD"/>
        </w:rPr>
        <w:t>locațiune</w:t>
      </w:r>
      <w:r w:rsidRPr="009E5B39">
        <w:rPr>
          <w:rFonts w:asciiTheme="majorHAnsi" w:eastAsia="Times New Roman" w:hAnsiTheme="majorHAnsi" w:cstheme="majorHAnsi"/>
          <w:sz w:val="24"/>
          <w:szCs w:val="24"/>
          <w:lang w:val="ro-MD"/>
        </w:rPr>
        <w:t xml:space="preserve"> funciară sau în proprietate. Ulterior, în decembrie 2013</w:t>
      </w:r>
      <w:r w:rsidR="00E33C1E"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a emis </w:t>
      </w:r>
      <w:r w:rsidR="00697728" w:rsidRPr="009E5B39">
        <w:rPr>
          <w:rFonts w:asciiTheme="majorHAnsi" w:eastAsia="Times New Roman" w:hAnsiTheme="majorHAnsi" w:cstheme="majorHAnsi"/>
          <w:sz w:val="24"/>
          <w:szCs w:val="24"/>
          <w:lang w:val="ro-MD"/>
        </w:rPr>
        <w:t>și</w:t>
      </w:r>
      <w:r w:rsidRPr="009E5B39">
        <w:rPr>
          <w:rFonts w:asciiTheme="majorHAnsi" w:eastAsia="Times New Roman" w:hAnsiTheme="majorHAnsi" w:cstheme="majorHAnsi"/>
          <w:sz w:val="24"/>
          <w:szCs w:val="24"/>
          <w:lang w:val="ro-MD"/>
        </w:rPr>
        <w:t xml:space="preserve"> o încheiere explicativă</w:t>
      </w:r>
      <w:r w:rsidR="00E33C1E"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prin care a descris modul cum va fi executată încheierea dacă </w:t>
      </w:r>
      <w:r w:rsidR="00697728" w:rsidRPr="009E5B39">
        <w:rPr>
          <w:rFonts w:asciiTheme="majorHAnsi" w:eastAsia="Times New Roman" w:hAnsiTheme="majorHAnsi" w:cstheme="majorHAnsi"/>
          <w:sz w:val="24"/>
          <w:szCs w:val="24"/>
          <w:lang w:val="ro-MD"/>
        </w:rPr>
        <w:t>autoritățile</w:t>
      </w:r>
      <w:r w:rsidRPr="009E5B39">
        <w:rPr>
          <w:rFonts w:asciiTheme="majorHAnsi" w:eastAsia="Times New Roman" w:hAnsiTheme="majorHAnsi" w:cstheme="majorHAnsi"/>
          <w:sz w:val="24"/>
          <w:szCs w:val="24"/>
          <w:lang w:val="ro-MD"/>
        </w:rPr>
        <w:t xml:space="preserve"> locale vor refuza organizarea </w:t>
      </w:r>
      <w:r w:rsidR="00697728" w:rsidRPr="009E5B39">
        <w:rPr>
          <w:rFonts w:asciiTheme="majorHAnsi" w:eastAsia="Times New Roman" w:hAnsiTheme="majorHAnsi" w:cstheme="majorHAnsi"/>
          <w:sz w:val="24"/>
          <w:szCs w:val="24"/>
          <w:lang w:val="ro-MD"/>
        </w:rPr>
        <w:t>licitațiilor</w:t>
      </w:r>
      <w:r w:rsidRPr="009E5B39">
        <w:rPr>
          <w:rFonts w:asciiTheme="majorHAnsi" w:eastAsia="Times New Roman" w:hAnsiTheme="majorHAnsi" w:cstheme="majorHAnsi"/>
          <w:sz w:val="24"/>
          <w:szCs w:val="24"/>
          <w:lang w:val="ro-MD"/>
        </w:rPr>
        <w:t xml:space="preserve">. Atunci judecătorul a stabilit că, dacă </w:t>
      </w:r>
      <w:r w:rsidR="00697728" w:rsidRPr="009E5B39">
        <w:rPr>
          <w:rFonts w:asciiTheme="majorHAnsi" w:eastAsia="Times New Roman" w:hAnsiTheme="majorHAnsi" w:cstheme="majorHAnsi"/>
          <w:sz w:val="24"/>
          <w:szCs w:val="24"/>
          <w:lang w:val="ro-MD"/>
        </w:rPr>
        <w:t>autoritățile</w:t>
      </w:r>
      <w:r w:rsidRPr="009E5B39">
        <w:rPr>
          <w:rFonts w:asciiTheme="majorHAnsi" w:eastAsia="Times New Roman" w:hAnsiTheme="majorHAnsi" w:cstheme="majorHAnsi"/>
          <w:sz w:val="24"/>
          <w:szCs w:val="24"/>
          <w:lang w:val="ro-MD"/>
        </w:rPr>
        <w:t xml:space="preserve"> nu organizează </w:t>
      </w:r>
      <w:r w:rsidR="00697728" w:rsidRPr="009E5B39">
        <w:rPr>
          <w:rFonts w:asciiTheme="majorHAnsi" w:eastAsia="Times New Roman" w:hAnsiTheme="majorHAnsi" w:cstheme="majorHAnsi"/>
          <w:sz w:val="24"/>
          <w:szCs w:val="24"/>
          <w:lang w:val="ro-MD"/>
        </w:rPr>
        <w:t>licitații</w:t>
      </w:r>
      <w:r w:rsidRPr="009E5B39">
        <w:rPr>
          <w:rFonts w:asciiTheme="majorHAnsi" w:eastAsia="Times New Roman" w:hAnsiTheme="majorHAnsi" w:cstheme="majorHAnsi"/>
          <w:sz w:val="24"/>
          <w:szCs w:val="24"/>
          <w:lang w:val="ro-MD"/>
        </w:rPr>
        <w:t xml:space="preserve">, încheierea sa poate fi executată de un executor judecătoresc, iar terenurile care urmau a fi licitate puteau fi alese de creditor, adică de persoana care ceruse </w:t>
      </w:r>
      <w:r w:rsidR="00697728" w:rsidRPr="009E5B39">
        <w:rPr>
          <w:rFonts w:asciiTheme="majorHAnsi" w:eastAsia="Times New Roman" w:hAnsiTheme="majorHAnsi" w:cstheme="majorHAnsi"/>
          <w:sz w:val="24"/>
          <w:szCs w:val="24"/>
          <w:lang w:val="ro-MD"/>
        </w:rPr>
        <w:t>autorităților</w:t>
      </w:r>
      <w:r w:rsidRPr="009E5B39">
        <w:rPr>
          <w:rFonts w:asciiTheme="majorHAnsi" w:eastAsia="Times New Roman" w:hAnsiTheme="majorHAnsi" w:cstheme="majorHAnsi"/>
          <w:sz w:val="24"/>
          <w:szCs w:val="24"/>
          <w:lang w:val="ro-MD"/>
        </w:rPr>
        <w:t xml:space="preserve"> publice acordarea de terenuri. În 2014, s-au organizat două </w:t>
      </w:r>
      <w:r w:rsidR="00697728" w:rsidRPr="009E5B39">
        <w:rPr>
          <w:rFonts w:asciiTheme="majorHAnsi" w:eastAsia="Times New Roman" w:hAnsiTheme="majorHAnsi" w:cstheme="majorHAnsi"/>
          <w:sz w:val="24"/>
          <w:szCs w:val="24"/>
          <w:lang w:val="ro-MD"/>
        </w:rPr>
        <w:t>licitații</w:t>
      </w:r>
      <w:r w:rsidRPr="009E5B39">
        <w:rPr>
          <w:rFonts w:asciiTheme="majorHAnsi" w:eastAsia="Times New Roman" w:hAnsiTheme="majorHAnsi" w:cstheme="majorHAnsi"/>
          <w:sz w:val="24"/>
          <w:szCs w:val="24"/>
          <w:lang w:val="ro-MD"/>
        </w:rPr>
        <w:t xml:space="preserve"> de către un executor judecătoresc, terenurile publice trecând în proprietate privată. La finele a.2016, judecătorii au suspendat încheierea judecătorului de la Judecătoria sect. R</w:t>
      </w:r>
      <w:r w:rsidR="00EC524A" w:rsidRPr="009E5B39">
        <w:rPr>
          <w:rFonts w:asciiTheme="majorHAnsi" w:eastAsia="Times New Roman" w:hAnsiTheme="majorHAnsi" w:cstheme="majorHAnsi"/>
          <w:sz w:val="24"/>
          <w:szCs w:val="24"/>
          <w:lang w:val="ro-MD"/>
        </w:rPr>
        <w:t>î</w:t>
      </w:r>
      <w:r w:rsidRPr="009E5B39">
        <w:rPr>
          <w:rFonts w:asciiTheme="majorHAnsi" w:eastAsia="Times New Roman" w:hAnsiTheme="majorHAnsi" w:cstheme="majorHAnsi"/>
          <w:sz w:val="24"/>
          <w:szCs w:val="24"/>
          <w:lang w:val="ro-MD"/>
        </w:rPr>
        <w:t xml:space="preserve">şcani, doar că, între timp, în august 2016, Curtea de Apel </w:t>
      </w:r>
      <w:r w:rsidR="00697728" w:rsidRPr="009E5B39">
        <w:rPr>
          <w:rFonts w:asciiTheme="majorHAnsi" w:eastAsia="Times New Roman" w:hAnsiTheme="majorHAnsi" w:cstheme="majorHAnsi"/>
          <w:sz w:val="24"/>
          <w:szCs w:val="24"/>
          <w:lang w:val="ro-MD"/>
        </w:rPr>
        <w:t>Chișinău</w:t>
      </w:r>
      <w:r w:rsidRPr="009E5B39">
        <w:rPr>
          <w:rFonts w:asciiTheme="majorHAnsi" w:eastAsia="Times New Roman" w:hAnsiTheme="majorHAnsi" w:cstheme="majorHAnsi"/>
          <w:sz w:val="24"/>
          <w:szCs w:val="24"/>
          <w:lang w:val="ro-MD"/>
        </w:rPr>
        <w:t xml:space="preserve"> a decis că nimeni nu mai poate pretinde la acele terenuri</w:t>
      </w:r>
      <w:r w:rsidR="00E33C1E"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pentru că proprietarii ar fi de bună-</w:t>
      </w:r>
      <w:r w:rsidR="00697728" w:rsidRPr="009E5B39">
        <w:rPr>
          <w:rFonts w:asciiTheme="majorHAnsi" w:eastAsia="Times New Roman" w:hAnsiTheme="majorHAnsi" w:cstheme="majorHAnsi"/>
          <w:sz w:val="24"/>
          <w:szCs w:val="24"/>
          <w:lang w:val="ro-MD"/>
        </w:rPr>
        <w:t>credință</w:t>
      </w:r>
      <w:r w:rsidRPr="009E5B39">
        <w:rPr>
          <w:rFonts w:asciiTheme="majorHAnsi" w:eastAsia="Times New Roman" w:hAnsiTheme="majorHAnsi" w:cstheme="majorHAnsi"/>
          <w:sz w:val="24"/>
          <w:szCs w:val="24"/>
          <w:lang w:val="ro-MD"/>
        </w:rPr>
        <w:t xml:space="preserve">. </w:t>
      </w:r>
      <w:r w:rsidR="00697728" w:rsidRPr="009E5B39">
        <w:rPr>
          <w:rFonts w:asciiTheme="majorHAnsi" w:eastAsia="Times New Roman" w:hAnsiTheme="majorHAnsi" w:cstheme="majorHAnsi"/>
          <w:sz w:val="24"/>
          <w:szCs w:val="24"/>
          <w:lang w:val="ro-MD"/>
        </w:rPr>
        <w:t>Deși</w:t>
      </w:r>
      <w:r w:rsidRPr="009E5B39">
        <w:rPr>
          <w:rFonts w:asciiTheme="majorHAnsi" w:eastAsia="Times New Roman" w:hAnsiTheme="majorHAnsi" w:cstheme="majorHAnsi"/>
          <w:sz w:val="24"/>
          <w:szCs w:val="24"/>
          <w:lang w:val="ro-MD"/>
        </w:rPr>
        <w:t xml:space="preserve"> CNA </w:t>
      </w:r>
      <w:r w:rsidR="00697728" w:rsidRPr="009E5B39">
        <w:rPr>
          <w:rFonts w:asciiTheme="majorHAnsi" w:eastAsia="Times New Roman" w:hAnsiTheme="majorHAnsi" w:cstheme="majorHAnsi"/>
          <w:sz w:val="24"/>
          <w:szCs w:val="24"/>
          <w:lang w:val="ro-MD"/>
        </w:rPr>
        <w:t>și</w:t>
      </w:r>
      <w:r w:rsidRPr="009E5B39">
        <w:rPr>
          <w:rFonts w:asciiTheme="majorHAnsi" w:eastAsia="Times New Roman" w:hAnsiTheme="majorHAnsi" w:cstheme="majorHAnsi"/>
          <w:sz w:val="24"/>
          <w:szCs w:val="24"/>
          <w:lang w:val="ro-MD"/>
        </w:rPr>
        <w:t xml:space="preserve"> Procuratura </w:t>
      </w:r>
      <w:r w:rsidR="00697728" w:rsidRPr="009E5B39">
        <w:rPr>
          <w:rFonts w:asciiTheme="majorHAnsi" w:eastAsia="Times New Roman" w:hAnsiTheme="majorHAnsi" w:cstheme="majorHAnsi"/>
          <w:sz w:val="24"/>
          <w:szCs w:val="24"/>
          <w:lang w:val="ro-MD"/>
        </w:rPr>
        <w:t>Anticorupție</w:t>
      </w:r>
      <w:r w:rsidRPr="009E5B39">
        <w:rPr>
          <w:rFonts w:asciiTheme="majorHAnsi" w:eastAsia="Times New Roman" w:hAnsiTheme="majorHAnsi" w:cstheme="majorHAnsi"/>
          <w:sz w:val="24"/>
          <w:szCs w:val="24"/>
          <w:lang w:val="ro-MD"/>
        </w:rPr>
        <w:t xml:space="preserve"> au deschis dosare penale pe marginea cazului, schema a continuat să </w:t>
      </w:r>
      <w:r w:rsidR="00697728" w:rsidRPr="009E5B39">
        <w:rPr>
          <w:rFonts w:asciiTheme="majorHAnsi" w:eastAsia="Times New Roman" w:hAnsiTheme="majorHAnsi" w:cstheme="majorHAnsi"/>
          <w:sz w:val="24"/>
          <w:szCs w:val="24"/>
          <w:lang w:val="ro-MD"/>
        </w:rPr>
        <w:t>funcționeze</w:t>
      </w:r>
      <w:r w:rsidRPr="009E5B39">
        <w:rPr>
          <w:rFonts w:asciiTheme="majorHAnsi" w:eastAsia="Times New Roman" w:hAnsiTheme="majorHAnsi" w:cstheme="majorHAnsi"/>
          <w:sz w:val="24"/>
          <w:szCs w:val="24"/>
          <w:lang w:val="ro-MD"/>
        </w:rPr>
        <w:t xml:space="preserve">. </w:t>
      </w:r>
    </w:p>
    <w:p w14:paraId="06DD9024" w14:textId="6D1BB5B9" w:rsidR="003E291B" w:rsidRPr="009E5B39" w:rsidRDefault="003E291B" w:rsidP="003E291B">
      <w:pPr>
        <w:spacing w:after="0" w:line="276" w:lineRule="auto"/>
        <w:ind w:firstLine="567"/>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Judecătoarea de la Judecătoria sect.</w:t>
      </w:r>
      <w:r w:rsidR="00697728">
        <w:rPr>
          <w:rFonts w:asciiTheme="majorHAnsi" w:eastAsia="Times New Roman" w:hAnsiTheme="majorHAnsi" w:cstheme="majorHAnsi"/>
          <w:sz w:val="24"/>
          <w:szCs w:val="24"/>
          <w:lang w:val="ro-MD"/>
        </w:rPr>
        <w:t xml:space="preserve"> </w:t>
      </w:r>
      <w:r w:rsidRPr="009E5B39">
        <w:rPr>
          <w:rFonts w:asciiTheme="majorHAnsi" w:eastAsia="Times New Roman" w:hAnsiTheme="majorHAnsi" w:cstheme="majorHAnsi"/>
          <w:sz w:val="24"/>
          <w:szCs w:val="24"/>
          <w:lang w:val="ro-MD"/>
        </w:rPr>
        <w:t xml:space="preserve">Centru, prin adoptarea Hotărârii din 26.08.2016, a legalizat </w:t>
      </w:r>
      <w:r w:rsidR="00697728" w:rsidRPr="009E5B39">
        <w:rPr>
          <w:rFonts w:asciiTheme="majorHAnsi" w:eastAsia="Times New Roman" w:hAnsiTheme="majorHAnsi" w:cstheme="majorHAnsi"/>
          <w:sz w:val="24"/>
          <w:szCs w:val="24"/>
          <w:lang w:val="ro-MD"/>
        </w:rPr>
        <w:t>desfășurarea</w:t>
      </w:r>
      <w:r w:rsidRPr="009E5B39">
        <w:rPr>
          <w:rFonts w:asciiTheme="majorHAnsi" w:eastAsia="Times New Roman" w:hAnsiTheme="majorHAnsi" w:cstheme="majorHAnsi"/>
          <w:sz w:val="24"/>
          <w:szCs w:val="24"/>
          <w:lang w:val="ro-MD"/>
        </w:rPr>
        <w:t xml:space="preserve"> unei </w:t>
      </w:r>
      <w:r w:rsidR="00697728" w:rsidRPr="009E5B39">
        <w:rPr>
          <w:rFonts w:asciiTheme="majorHAnsi" w:eastAsia="Times New Roman" w:hAnsiTheme="majorHAnsi" w:cstheme="majorHAnsi"/>
          <w:sz w:val="24"/>
          <w:szCs w:val="24"/>
          <w:lang w:val="ro-MD"/>
        </w:rPr>
        <w:t>licitații</w:t>
      </w:r>
      <w:r w:rsidRPr="009E5B39">
        <w:rPr>
          <w:rFonts w:asciiTheme="majorHAnsi" w:eastAsia="Times New Roman" w:hAnsiTheme="majorHAnsi" w:cstheme="majorHAnsi"/>
          <w:sz w:val="24"/>
          <w:szCs w:val="24"/>
          <w:lang w:val="ro-MD"/>
        </w:rPr>
        <w:t xml:space="preserve"> dubioase</w:t>
      </w:r>
      <w:r w:rsidR="00B95D24"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organizată de un executor judecătoresc. PMC a depus cererea de revizuire a hotărârii indicate mai sus, prin care s-a solicitat aplicarea sechestrului pe terenurile înstrăinate către trei </w:t>
      </w:r>
      <w:r w:rsidR="00697728" w:rsidRPr="009E5B39">
        <w:rPr>
          <w:rFonts w:asciiTheme="majorHAnsi" w:eastAsia="Times New Roman" w:hAnsiTheme="majorHAnsi" w:cstheme="majorHAnsi"/>
          <w:sz w:val="24"/>
          <w:szCs w:val="24"/>
          <w:lang w:val="ro-MD"/>
        </w:rPr>
        <w:t>agenți</w:t>
      </w:r>
      <w:r w:rsidRPr="009E5B39">
        <w:rPr>
          <w:rFonts w:asciiTheme="majorHAnsi" w:eastAsia="Times New Roman" w:hAnsiTheme="majorHAnsi" w:cstheme="majorHAnsi"/>
          <w:sz w:val="24"/>
          <w:szCs w:val="24"/>
          <w:lang w:val="ro-MD"/>
        </w:rPr>
        <w:t xml:space="preserve"> economici. </w:t>
      </w:r>
      <w:r w:rsidR="00697728" w:rsidRPr="009E5B39">
        <w:rPr>
          <w:rFonts w:asciiTheme="majorHAnsi" w:eastAsia="Times New Roman" w:hAnsiTheme="majorHAnsi" w:cstheme="majorHAnsi"/>
          <w:sz w:val="24"/>
          <w:szCs w:val="24"/>
          <w:lang w:val="ro-MD"/>
        </w:rPr>
        <w:t>Ședințele</w:t>
      </w:r>
      <w:r w:rsidRPr="009E5B39">
        <w:rPr>
          <w:rFonts w:asciiTheme="majorHAnsi" w:eastAsia="Times New Roman" w:hAnsiTheme="majorHAnsi" w:cstheme="majorHAnsi"/>
          <w:sz w:val="24"/>
          <w:szCs w:val="24"/>
          <w:lang w:val="ro-MD"/>
        </w:rPr>
        <w:t xml:space="preserve"> de judecată se amânau din diverse motive, unul din care a fost </w:t>
      </w:r>
      <w:r w:rsidR="00697728" w:rsidRPr="009E5B39">
        <w:rPr>
          <w:rFonts w:asciiTheme="majorHAnsi" w:eastAsia="Times New Roman" w:hAnsiTheme="majorHAnsi" w:cstheme="majorHAnsi"/>
          <w:sz w:val="24"/>
          <w:szCs w:val="24"/>
          <w:lang w:val="ro-MD"/>
        </w:rPr>
        <w:t>și</w:t>
      </w:r>
      <w:r w:rsidRPr="009E5B39">
        <w:rPr>
          <w:rFonts w:asciiTheme="majorHAnsi" w:eastAsia="Times New Roman" w:hAnsiTheme="majorHAnsi" w:cstheme="majorHAnsi"/>
          <w:sz w:val="24"/>
          <w:szCs w:val="24"/>
          <w:lang w:val="ro-MD"/>
        </w:rPr>
        <w:t xml:space="preserve"> ridicarea dosarului aflat pe rol, de către procuror. </w:t>
      </w:r>
      <w:r w:rsidR="00697728" w:rsidRPr="009E5B39">
        <w:rPr>
          <w:rFonts w:asciiTheme="majorHAnsi" w:eastAsia="Times New Roman" w:hAnsiTheme="majorHAnsi" w:cstheme="majorHAnsi"/>
          <w:sz w:val="24"/>
          <w:szCs w:val="24"/>
          <w:lang w:val="ro-MD"/>
        </w:rPr>
        <w:t>Instanța</w:t>
      </w:r>
      <w:r w:rsidRPr="009E5B39">
        <w:rPr>
          <w:rFonts w:asciiTheme="majorHAnsi" w:eastAsia="Times New Roman" w:hAnsiTheme="majorHAnsi" w:cstheme="majorHAnsi"/>
          <w:sz w:val="24"/>
          <w:szCs w:val="24"/>
          <w:lang w:val="ro-MD"/>
        </w:rPr>
        <w:t xml:space="preserve"> a decis să fie aplicat sechestrul abia pe 20.01.2017, însă ÎS „Cadastru” l-a aplicat pe 23.01.2017. În acest interval de timp s-a </w:t>
      </w:r>
      <w:r w:rsidR="00697728" w:rsidRPr="009E5B39">
        <w:rPr>
          <w:rFonts w:asciiTheme="majorHAnsi" w:eastAsia="Times New Roman" w:hAnsiTheme="majorHAnsi" w:cstheme="majorHAnsi"/>
          <w:sz w:val="24"/>
          <w:szCs w:val="24"/>
          <w:lang w:val="ro-MD"/>
        </w:rPr>
        <w:t>reușit</w:t>
      </w:r>
      <w:r w:rsidRPr="009E5B39">
        <w:rPr>
          <w:rFonts w:asciiTheme="majorHAnsi" w:eastAsia="Times New Roman" w:hAnsiTheme="majorHAnsi" w:cstheme="majorHAnsi"/>
          <w:sz w:val="24"/>
          <w:szCs w:val="24"/>
          <w:lang w:val="ro-MD"/>
        </w:rPr>
        <w:t xml:space="preserve"> înstrăinarea de câteva ori a terenurilor, schimbul proprietarilor </w:t>
      </w:r>
      <w:r w:rsidR="00697728" w:rsidRPr="009E5B39">
        <w:rPr>
          <w:rFonts w:asciiTheme="majorHAnsi" w:eastAsia="Times New Roman" w:hAnsiTheme="majorHAnsi" w:cstheme="majorHAnsi"/>
          <w:sz w:val="24"/>
          <w:szCs w:val="24"/>
          <w:lang w:val="ro-MD"/>
        </w:rPr>
        <w:t>și</w:t>
      </w:r>
      <w:r w:rsidRPr="009E5B39">
        <w:rPr>
          <w:rFonts w:asciiTheme="majorHAnsi" w:eastAsia="Times New Roman" w:hAnsiTheme="majorHAnsi" w:cstheme="majorHAnsi"/>
          <w:sz w:val="24"/>
          <w:szCs w:val="24"/>
          <w:lang w:val="ro-MD"/>
        </w:rPr>
        <w:t xml:space="preserve"> înregistrarea drepturilor acestora în RBI. </w:t>
      </w:r>
      <w:r w:rsidR="00697728" w:rsidRPr="009E5B39">
        <w:rPr>
          <w:rFonts w:asciiTheme="majorHAnsi" w:eastAsia="Times New Roman" w:hAnsiTheme="majorHAnsi" w:cstheme="majorHAnsi"/>
          <w:sz w:val="24"/>
          <w:szCs w:val="24"/>
          <w:lang w:val="ro-MD"/>
        </w:rPr>
        <w:t>Deși</w:t>
      </w:r>
      <w:r w:rsidRPr="009E5B39">
        <w:rPr>
          <w:rFonts w:asciiTheme="majorHAnsi" w:eastAsia="Times New Roman" w:hAnsiTheme="majorHAnsi" w:cstheme="majorHAnsi"/>
          <w:sz w:val="24"/>
          <w:szCs w:val="24"/>
          <w:lang w:val="ro-MD"/>
        </w:rPr>
        <w:t xml:space="preserve"> litigiul privind modalitatea de înstrăinare a terenurilor încă este pe rol de judecare, </w:t>
      </w:r>
      <w:r w:rsidR="00697728" w:rsidRPr="009E5B39">
        <w:rPr>
          <w:rFonts w:asciiTheme="majorHAnsi" w:eastAsia="Times New Roman" w:hAnsiTheme="majorHAnsi" w:cstheme="majorHAnsi"/>
          <w:sz w:val="24"/>
          <w:szCs w:val="24"/>
          <w:lang w:val="ro-MD"/>
        </w:rPr>
        <w:t>tranzacțiile</w:t>
      </w:r>
      <w:r w:rsidRPr="009E5B39">
        <w:rPr>
          <w:rFonts w:asciiTheme="majorHAnsi" w:eastAsia="Times New Roman" w:hAnsiTheme="majorHAnsi" w:cstheme="majorHAnsi"/>
          <w:sz w:val="24"/>
          <w:szCs w:val="24"/>
          <w:lang w:val="ro-MD"/>
        </w:rPr>
        <w:t xml:space="preserve"> cu terenurile date sunt deja înfăptuite, </w:t>
      </w:r>
      <w:r w:rsidR="00697728" w:rsidRPr="009E5B39">
        <w:rPr>
          <w:rFonts w:asciiTheme="majorHAnsi" w:eastAsia="Times New Roman" w:hAnsiTheme="majorHAnsi" w:cstheme="majorHAnsi"/>
          <w:sz w:val="24"/>
          <w:szCs w:val="24"/>
          <w:lang w:val="ro-MD"/>
        </w:rPr>
        <w:t>situație</w:t>
      </w:r>
      <w:r w:rsidRPr="009E5B39">
        <w:rPr>
          <w:rFonts w:asciiTheme="majorHAnsi" w:eastAsia="Times New Roman" w:hAnsiTheme="majorHAnsi" w:cstheme="majorHAnsi"/>
          <w:sz w:val="24"/>
          <w:szCs w:val="24"/>
          <w:lang w:val="ro-MD"/>
        </w:rPr>
        <w:t xml:space="preserve"> care permite beneficiarilor finali invocarea bunei</w:t>
      </w:r>
      <w:r w:rsidR="00B95D24" w:rsidRPr="009E5B39">
        <w:rPr>
          <w:rFonts w:asciiTheme="majorHAnsi" w:eastAsia="Times New Roman" w:hAnsiTheme="majorHAnsi" w:cstheme="majorHAnsi"/>
          <w:sz w:val="24"/>
          <w:szCs w:val="24"/>
          <w:lang w:val="ro-MD"/>
        </w:rPr>
        <w:t>-</w:t>
      </w:r>
      <w:r w:rsidR="00697728" w:rsidRPr="009E5B39">
        <w:rPr>
          <w:rFonts w:asciiTheme="majorHAnsi" w:eastAsia="Times New Roman" w:hAnsiTheme="majorHAnsi" w:cstheme="majorHAnsi"/>
          <w:sz w:val="24"/>
          <w:szCs w:val="24"/>
          <w:lang w:val="ro-MD"/>
        </w:rPr>
        <w:t>credințe</w:t>
      </w:r>
      <w:r w:rsidRPr="009E5B39">
        <w:rPr>
          <w:rFonts w:asciiTheme="majorHAnsi" w:eastAsia="Times New Roman" w:hAnsiTheme="majorHAnsi" w:cstheme="majorHAnsi"/>
          <w:sz w:val="24"/>
          <w:szCs w:val="24"/>
          <w:lang w:val="ro-MD"/>
        </w:rPr>
        <w:t xml:space="preserve">. Astfel, 20 terenuri municipale cu </w:t>
      </w:r>
      <w:r w:rsidR="00697728" w:rsidRPr="009E5B39">
        <w:rPr>
          <w:rFonts w:asciiTheme="majorHAnsi" w:eastAsia="Times New Roman" w:hAnsiTheme="majorHAnsi" w:cstheme="majorHAnsi"/>
          <w:sz w:val="24"/>
          <w:szCs w:val="24"/>
          <w:lang w:val="ro-MD"/>
        </w:rPr>
        <w:t>suprafața</w:t>
      </w:r>
      <w:r w:rsidRPr="009E5B39">
        <w:rPr>
          <w:rFonts w:asciiTheme="majorHAnsi" w:eastAsia="Times New Roman" w:hAnsiTheme="majorHAnsi" w:cstheme="majorHAnsi"/>
          <w:sz w:val="24"/>
          <w:szCs w:val="24"/>
          <w:lang w:val="ro-MD"/>
        </w:rPr>
        <w:t xml:space="preserve"> totală de 2,7991 ha au deja proprietari noi: „HEROIC GLOBAL LP” S.C. (c/f 44254013) – 1,3804 ha</w:t>
      </w:r>
      <w:r w:rsidRPr="009E5B39">
        <w:rPr>
          <w:rFonts w:asciiTheme="majorHAnsi" w:eastAsia="Times New Roman" w:hAnsiTheme="majorHAnsi" w:cstheme="majorHAnsi"/>
          <w:sz w:val="24"/>
          <w:szCs w:val="24"/>
          <w:vertAlign w:val="superscript"/>
          <w:lang w:val="ro-MD"/>
        </w:rPr>
        <w:footnoteReference w:id="275"/>
      </w:r>
      <w:r w:rsidRPr="009E5B39">
        <w:rPr>
          <w:rFonts w:asciiTheme="majorHAnsi" w:eastAsia="Times New Roman" w:hAnsiTheme="majorHAnsi" w:cstheme="majorHAnsi"/>
          <w:sz w:val="24"/>
          <w:szCs w:val="24"/>
          <w:lang w:val="ro-MD"/>
        </w:rPr>
        <w:t>, FUERTE GROUP (c/f 44191017) – 1,3181 ha</w:t>
      </w:r>
      <w:r w:rsidRPr="009E5B39">
        <w:rPr>
          <w:rFonts w:asciiTheme="majorHAnsi" w:eastAsia="Times New Roman" w:hAnsiTheme="majorHAnsi" w:cstheme="majorHAnsi"/>
          <w:sz w:val="24"/>
          <w:szCs w:val="24"/>
          <w:vertAlign w:val="superscript"/>
          <w:lang w:val="ro-MD"/>
        </w:rPr>
        <w:footnoteReference w:id="276"/>
      </w:r>
      <w:r w:rsidR="00B95D24" w:rsidRPr="009E5B39">
        <w:rPr>
          <w:rFonts w:asciiTheme="majorHAnsi" w:eastAsia="Times New Roman" w:hAnsiTheme="majorHAnsi" w:cstheme="majorHAnsi"/>
          <w:sz w:val="24"/>
          <w:szCs w:val="24"/>
          <w:lang w:val="ro-MD"/>
        </w:rPr>
        <w:t>,</w:t>
      </w:r>
      <w:r w:rsidRPr="009E5B39">
        <w:rPr>
          <w:rFonts w:asciiTheme="majorHAnsi" w:eastAsia="Times New Roman" w:hAnsiTheme="majorHAnsi" w:cstheme="majorHAnsi"/>
          <w:sz w:val="24"/>
          <w:szCs w:val="24"/>
          <w:lang w:val="ro-MD"/>
        </w:rPr>
        <w:t xml:space="preserve"> şi SRL MMM (c/f 1002600048847) – 0,1006 ha</w:t>
      </w:r>
      <w:r w:rsidRPr="009E5B39">
        <w:rPr>
          <w:rFonts w:asciiTheme="majorHAnsi" w:eastAsia="Times New Roman" w:hAnsiTheme="majorHAnsi" w:cstheme="majorHAnsi"/>
          <w:sz w:val="24"/>
          <w:szCs w:val="24"/>
          <w:vertAlign w:val="superscript"/>
          <w:lang w:val="ro-MD"/>
        </w:rPr>
        <w:footnoteReference w:id="277"/>
      </w:r>
      <w:r w:rsidRPr="009E5B39">
        <w:rPr>
          <w:rFonts w:asciiTheme="majorHAnsi" w:eastAsia="Times New Roman" w:hAnsiTheme="majorHAnsi" w:cstheme="majorHAnsi"/>
          <w:sz w:val="24"/>
          <w:szCs w:val="24"/>
          <w:lang w:val="ro-MD"/>
        </w:rPr>
        <w:t xml:space="preserve">, doar un teren nu a fost vândut. Prejudiciul cauzat, estimat la </w:t>
      </w:r>
      <w:r w:rsidR="00697728" w:rsidRPr="009E5B39">
        <w:rPr>
          <w:rFonts w:asciiTheme="majorHAnsi" w:eastAsia="Times New Roman" w:hAnsiTheme="majorHAnsi" w:cstheme="majorHAnsi"/>
          <w:sz w:val="24"/>
          <w:szCs w:val="24"/>
          <w:lang w:val="ro-MD"/>
        </w:rPr>
        <w:t>prețul</w:t>
      </w:r>
      <w:r w:rsidRPr="009E5B39">
        <w:rPr>
          <w:rFonts w:asciiTheme="majorHAnsi" w:eastAsia="Times New Roman" w:hAnsiTheme="majorHAnsi" w:cstheme="majorHAnsi"/>
          <w:sz w:val="24"/>
          <w:szCs w:val="24"/>
          <w:lang w:val="ro-MD"/>
        </w:rPr>
        <w:t xml:space="preserve"> de </w:t>
      </w:r>
      <w:r w:rsidR="00697728" w:rsidRPr="009E5B39">
        <w:rPr>
          <w:rFonts w:asciiTheme="majorHAnsi" w:eastAsia="Times New Roman" w:hAnsiTheme="majorHAnsi" w:cstheme="majorHAnsi"/>
          <w:sz w:val="24"/>
          <w:szCs w:val="24"/>
          <w:lang w:val="ro-MD"/>
        </w:rPr>
        <w:t>piață</w:t>
      </w:r>
      <w:r w:rsidRPr="009E5B39">
        <w:rPr>
          <w:rFonts w:asciiTheme="majorHAnsi" w:eastAsia="Times New Roman" w:hAnsiTheme="majorHAnsi" w:cstheme="majorHAnsi"/>
          <w:sz w:val="24"/>
          <w:szCs w:val="24"/>
          <w:lang w:val="ro-MD"/>
        </w:rPr>
        <w:t xml:space="preserve"> (</w:t>
      </w:r>
      <w:r w:rsidR="00697728" w:rsidRPr="009E5B39">
        <w:rPr>
          <w:rFonts w:asciiTheme="majorHAnsi" w:eastAsia="Times New Roman" w:hAnsiTheme="majorHAnsi" w:cstheme="majorHAnsi"/>
          <w:sz w:val="24"/>
          <w:szCs w:val="24"/>
          <w:lang w:val="ro-MD"/>
        </w:rPr>
        <w:t>reieșind</w:t>
      </w:r>
      <w:r w:rsidRPr="009E5B39">
        <w:rPr>
          <w:rFonts w:asciiTheme="majorHAnsi" w:eastAsia="Times New Roman" w:hAnsiTheme="majorHAnsi" w:cstheme="majorHAnsi"/>
          <w:sz w:val="24"/>
          <w:szCs w:val="24"/>
          <w:lang w:val="ro-MD"/>
        </w:rPr>
        <w:t xml:space="preserve"> din amplasare</w:t>
      </w:r>
      <w:r w:rsidR="00B95D24" w:rsidRPr="009E5B39">
        <w:rPr>
          <w:rFonts w:asciiTheme="majorHAnsi" w:eastAsia="Times New Roman" w:hAnsiTheme="majorHAnsi" w:cstheme="majorHAnsi"/>
          <w:sz w:val="24"/>
          <w:szCs w:val="24"/>
          <w:lang w:val="ro-MD"/>
        </w:rPr>
        <w:t>a</w:t>
      </w:r>
      <w:r w:rsidRPr="009E5B39">
        <w:rPr>
          <w:rFonts w:asciiTheme="majorHAnsi" w:eastAsia="Times New Roman" w:hAnsiTheme="majorHAnsi" w:cstheme="majorHAnsi"/>
          <w:sz w:val="24"/>
          <w:szCs w:val="24"/>
          <w:lang w:val="ro-MD"/>
        </w:rPr>
        <w:t xml:space="preserve"> </w:t>
      </w:r>
      <w:r w:rsidR="009B5922" w:rsidRPr="009E5B39">
        <w:rPr>
          <w:rFonts w:asciiTheme="majorHAnsi" w:eastAsia="Times New Roman" w:hAnsiTheme="majorHAnsi" w:cstheme="majorHAnsi"/>
          <w:sz w:val="24"/>
          <w:szCs w:val="24"/>
          <w:lang w:val="ro-MD"/>
        </w:rPr>
        <w:t>bunului imobil</w:t>
      </w:r>
      <w:r w:rsidRPr="009E5B39">
        <w:rPr>
          <w:rFonts w:asciiTheme="majorHAnsi" w:eastAsia="Times New Roman" w:hAnsiTheme="majorHAnsi" w:cstheme="majorHAnsi"/>
          <w:sz w:val="24"/>
          <w:szCs w:val="24"/>
          <w:lang w:val="ro-MD"/>
        </w:rPr>
        <w:t>) constituie circa 5,5 mil. euro, echivalentul a 117,2 mil.lei.</w:t>
      </w:r>
    </w:p>
    <w:p w14:paraId="7CEF5DFC" w14:textId="1E40EF8E" w:rsidR="003E291B" w:rsidRPr="009E5B39" w:rsidRDefault="003E291B" w:rsidP="003E291B">
      <w:pPr>
        <w:spacing w:after="0" w:line="276" w:lineRule="auto"/>
        <w:ind w:firstLine="567"/>
        <w:jc w:val="both"/>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 xml:space="preserve">Deposedarea municipiului de proprietatea sa s-a efectuat prin hotărâri </w:t>
      </w:r>
      <w:r w:rsidR="00697728" w:rsidRPr="009E5B39">
        <w:rPr>
          <w:rFonts w:asciiTheme="majorHAnsi" w:eastAsia="Times New Roman" w:hAnsiTheme="majorHAnsi" w:cstheme="majorHAnsi"/>
          <w:sz w:val="24"/>
          <w:szCs w:val="24"/>
          <w:lang w:val="ro-MD"/>
        </w:rPr>
        <w:t>judecătorești</w:t>
      </w:r>
      <w:r w:rsidRPr="009E5B39">
        <w:rPr>
          <w:rFonts w:asciiTheme="majorHAnsi" w:eastAsia="Times New Roman" w:hAnsiTheme="majorHAnsi" w:cstheme="majorHAnsi"/>
          <w:sz w:val="24"/>
          <w:szCs w:val="24"/>
          <w:lang w:val="ro-MD"/>
        </w:rPr>
        <w:t>, în pofida recomandărilor emise de către CSJ cu privire la aplicarea normelor de drept referitoare la domeniul funciar</w:t>
      </w:r>
      <w:r w:rsidR="00BE21CC" w:rsidRPr="009E5B39">
        <w:rPr>
          <w:vertAlign w:val="superscript"/>
          <w:lang w:val="ro-MD"/>
        </w:rPr>
        <w:footnoteReference w:id="278"/>
      </w:r>
      <w:r w:rsidRPr="009E5B39">
        <w:rPr>
          <w:rFonts w:asciiTheme="majorHAnsi" w:eastAsia="Times New Roman" w:hAnsiTheme="majorHAnsi" w:cstheme="majorHAnsi"/>
          <w:sz w:val="24"/>
          <w:szCs w:val="24"/>
          <w:lang w:val="ro-MD"/>
        </w:rPr>
        <w:t xml:space="preserve">, cu implicarea executorilor </w:t>
      </w:r>
      <w:r w:rsidR="00697728" w:rsidRPr="009E5B39">
        <w:rPr>
          <w:rFonts w:asciiTheme="majorHAnsi" w:eastAsia="Times New Roman" w:hAnsiTheme="majorHAnsi" w:cstheme="majorHAnsi"/>
          <w:sz w:val="24"/>
          <w:szCs w:val="24"/>
          <w:lang w:val="ro-MD"/>
        </w:rPr>
        <w:t>judecătorești</w:t>
      </w:r>
      <w:r w:rsidRPr="009E5B39">
        <w:rPr>
          <w:rFonts w:asciiTheme="majorHAnsi" w:eastAsia="Times New Roman" w:hAnsiTheme="majorHAnsi" w:cstheme="majorHAnsi"/>
          <w:sz w:val="24"/>
          <w:szCs w:val="24"/>
          <w:lang w:val="ro-MD"/>
        </w:rPr>
        <w:t xml:space="preserve"> </w:t>
      </w:r>
      <w:r w:rsidR="00697728" w:rsidRPr="009E5B39">
        <w:rPr>
          <w:rFonts w:asciiTheme="majorHAnsi" w:eastAsia="Times New Roman" w:hAnsiTheme="majorHAnsi" w:cstheme="majorHAnsi"/>
          <w:sz w:val="24"/>
          <w:szCs w:val="24"/>
          <w:lang w:val="ro-MD"/>
        </w:rPr>
        <w:t>și</w:t>
      </w:r>
      <w:r w:rsidRPr="009E5B39">
        <w:rPr>
          <w:rFonts w:asciiTheme="majorHAnsi" w:eastAsia="Times New Roman" w:hAnsiTheme="majorHAnsi" w:cstheme="majorHAnsi"/>
          <w:sz w:val="24"/>
          <w:szCs w:val="24"/>
          <w:lang w:val="ro-MD"/>
        </w:rPr>
        <w:t xml:space="preserve"> ÎS „Cadastru”, folosindu-se de lacunele din </w:t>
      </w:r>
      <w:r w:rsidR="00697728" w:rsidRPr="009E5B39">
        <w:rPr>
          <w:rFonts w:asciiTheme="majorHAnsi" w:eastAsia="Times New Roman" w:hAnsiTheme="majorHAnsi" w:cstheme="majorHAnsi"/>
          <w:sz w:val="24"/>
          <w:szCs w:val="24"/>
          <w:lang w:val="ro-MD"/>
        </w:rPr>
        <w:t>legislație</w:t>
      </w:r>
      <w:r w:rsidRPr="009E5B39">
        <w:rPr>
          <w:rFonts w:asciiTheme="majorHAnsi" w:eastAsia="Times New Roman" w:hAnsiTheme="majorHAnsi" w:cstheme="majorHAnsi"/>
          <w:sz w:val="24"/>
          <w:szCs w:val="24"/>
          <w:lang w:val="ro-MD"/>
        </w:rPr>
        <w:t xml:space="preserve"> </w:t>
      </w:r>
      <w:r w:rsidR="00697728" w:rsidRPr="009E5B39">
        <w:rPr>
          <w:rFonts w:asciiTheme="majorHAnsi" w:eastAsia="Times New Roman" w:hAnsiTheme="majorHAnsi" w:cstheme="majorHAnsi"/>
          <w:sz w:val="24"/>
          <w:szCs w:val="24"/>
          <w:lang w:val="ro-MD"/>
        </w:rPr>
        <w:t>și</w:t>
      </w:r>
      <w:r w:rsidRPr="009E5B39">
        <w:rPr>
          <w:rFonts w:asciiTheme="majorHAnsi" w:eastAsia="Times New Roman" w:hAnsiTheme="majorHAnsi" w:cstheme="majorHAnsi"/>
          <w:sz w:val="24"/>
          <w:szCs w:val="24"/>
          <w:lang w:val="ro-MD"/>
        </w:rPr>
        <w:t xml:space="preserve"> de nefuncţionalitatea CMC, asigur</w:t>
      </w:r>
      <w:r w:rsidR="007B30C9" w:rsidRPr="009E5B39">
        <w:rPr>
          <w:rFonts w:asciiTheme="majorHAnsi" w:eastAsia="Times New Roman" w:hAnsiTheme="majorHAnsi" w:cstheme="majorHAnsi"/>
          <w:sz w:val="24"/>
          <w:szCs w:val="24"/>
          <w:lang w:val="ro-MD"/>
        </w:rPr>
        <w:t>â</w:t>
      </w:r>
      <w:r w:rsidRPr="009E5B39">
        <w:rPr>
          <w:rFonts w:asciiTheme="majorHAnsi" w:eastAsia="Times New Roman" w:hAnsiTheme="majorHAnsi" w:cstheme="majorHAnsi"/>
          <w:sz w:val="24"/>
          <w:szCs w:val="24"/>
          <w:lang w:val="ro-MD"/>
        </w:rPr>
        <w:t xml:space="preserve">nd excluderea totală a acestuia de </w:t>
      </w:r>
      <w:r w:rsidR="007B30C9" w:rsidRPr="009E5B39">
        <w:rPr>
          <w:rFonts w:asciiTheme="majorHAnsi" w:eastAsia="Times New Roman" w:hAnsiTheme="majorHAnsi" w:cstheme="majorHAnsi"/>
          <w:sz w:val="24"/>
          <w:szCs w:val="24"/>
          <w:lang w:val="ro-MD"/>
        </w:rPr>
        <w:t>l</w:t>
      </w:r>
      <w:r w:rsidRPr="009E5B39">
        <w:rPr>
          <w:rFonts w:asciiTheme="majorHAnsi" w:eastAsia="Times New Roman" w:hAnsiTheme="majorHAnsi" w:cstheme="majorHAnsi"/>
          <w:sz w:val="24"/>
          <w:szCs w:val="24"/>
          <w:lang w:val="ro-MD"/>
        </w:rPr>
        <w:t>a lua</w:t>
      </w:r>
      <w:r w:rsidR="007B30C9" w:rsidRPr="009E5B39">
        <w:rPr>
          <w:rFonts w:asciiTheme="majorHAnsi" w:eastAsia="Times New Roman" w:hAnsiTheme="majorHAnsi" w:cstheme="majorHAnsi"/>
          <w:sz w:val="24"/>
          <w:szCs w:val="24"/>
          <w:lang w:val="ro-MD"/>
        </w:rPr>
        <w:t>rea</w:t>
      </w:r>
      <w:r w:rsidRPr="009E5B39">
        <w:rPr>
          <w:rFonts w:asciiTheme="majorHAnsi" w:eastAsia="Times New Roman" w:hAnsiTheme="majorHAnsi" w:cstheme="majorHAnsi"/>
          <w:sz w:val="24"/>
          <w:szCs w:val="24"/>
          <w:lang w:val="ro-MD"/>
        </w:rPr>
        <w:t xml:space="preserve"> decizii</w:t>
      </w:r>
      <w:r w:rsidR="007B30C9" w:rsidRPr="009E5B39">
        <w:rPr>
          <w:rFonts w:asciiTheme="majorHAnsi" w:eastAsia="Times New Roman" w:hAnsiTheme="majorHAnsi" w:cstheme="majorHAnsi"/>
          <w:sz w:val="24"/>
          <w:szCs w:val="24"/>
          <w:lang w:val="ro-MD"/>
        </w:rPr>
        <w:t>lor</w:t>
      </w:r>
      <w:r w:rsidRPr="009E5B39">
        <w:rPr>
          <w:rFonts w:asciiTheme="majorHAnsi" w:eastAsia="Times New Roman" w:hAnsiTheme="majorHAnsi" w:cstheme="majorHAnsi"/>
          <w:sz w:val="24"/>
          <w:szCs w:val="24"/>
          <w:lang w:val="ro-MD"/>
        </w:rPr>
        <w:t xml:space="preserve"> </w:t>
      </w:r>
      <w:r w:rsidR="00697728" w:rsidRPr="009E5B39">
        <w:rPr>
          <w:rFonts w:asciiTheme="majorHAnsi" w:eastAsia="Times New Roman" w:hAnsiTheme="majorHAnsi" w:cstheme="majorHAnsi"/>
          <w:sz w:val="24"/>
          <w:szCs w:val="24"/>
          <w:lang w:val="ro-MD"/>
        </w:rPr>
        <w:t>și</w:t>
      </w:r>
      <w:r w:rsidRPr="009E5B39">
        <w:rPr>
          <w:rFonts w:asciiTheme="majorHAnsi" w:eastAsia="Times New Roman" w:hAnsiTheme="majorHAnsi" w:cstheme="majorHAnsi"/>
          <w:sz w:val="24"/>
          <w:szCs w:val="24"/>
          <w:lang w:val="ro-MD"/>
        </w:rPr>
        <w:t xml:space="preserve"> </w:t>
      </w:r>
      <w:r w:rsidR="007B30C9" w:rsidRPr="009E5B39">
        <w:rPr>
          <w:rFonts w:asciiTheme="majorHAnsi" w:eastAsia="Times New Roman" w:hAnsiTheme="majorHAnsi" w:cstheme="majorHAnsi"/>
          <w:sz w:val="24"/>
          <w:szCs w:val="24"/>
          <w:lang w:val="ro-MD"/>
        </w:rPr>
        <w:t>de la</w:t>
      </w:r>
      <w:r w:rsidRPr="009E5B39">
        <w:rPr>
          <w:rFonts w:asciiTheme="majorHAnsi" w:eastAsia="Times New Roman" w:hAnsiTheme="majorHAnsi" w:cstheme="majorHAnsi"/>
          <w:sz w:val="24"/>
          <w:szCs w:val="24"/>
          <w:lang w:val="ro-MD"/>
        </w:rPr>
        <w:t xml:space="preserve"> implica</w:t>
      </w:r>
      <w:r w:rsidR="007B30C9" w:rsidRPr="009E5B39">
        <w:rPr>
          <w:rFonts w:asciiTheme="majorHAnsi" w:eastAsia="Times New Roman" w:hAnsiTheme="majorHAnsi" w:cstheme="majorHAnsi"/>
          <w:sz w:val="24"/>
          <w:szCs w:val="24"/>
          <w:lang w:val="ro-MD"/>
        </w:rPr>
        <w:t>rea</w:t>
      </w:r>
      <w:r w:rsidRPr="009E5B39">
        <w:rPr>
          <w:rFonts w:asciiTheme="majorHAnsi" w:eastAsia="Times New Roman" w:hAnsiTheme="majorHAnsi" w:cstheme="majorHAnsi"/>
          <w:sz w:val="24"/>
          <w:szCs w:val="24"/>
          <w:lang w:val="ro-MD"/>
        </w:rPr>
        <w:t xml:space="preserve"> în exercitarea drepturilor </w:t>
      </w:r>
      <w:r w:rsidR="00697728" w:rsidRPr="009E5B39">
        <w:rPr>
          <w:rFonts w:asciiTheme="majorHAnsi" w:eastAsia="Times New Roman" w:hAnsiTheme="majorHAnsi" w:cstheme="majorHAnsi"/>
          <w:sz w:val="24"/>
          <w:szCs w:val="24"/>
          <w:lang w:val="ro-MD"/>
        </w:rPr>
        <w:t>și</w:t>
      </w:r>
      <w:r w:rsidRPr="009E5B39">
        <w:rPr>
          <w:rFonts w:asciiTheme="majorHAnsi" w:eastAsia="Times New Roman" w:hAnsiTheme="majorHAnsi" w:cstheme="majorHAnsi"/>
          <w:sz w:val="24"/>
          <w:szCs w:val="24"/>
          <w:lang w:val="ro-MD"/>
        </w:rPr>
        <w:t xml:space="preserve"> </w:t>
      </w:r>
      <w:r w:rsidR="00697728" w:rsidRPr="009E5B39">
        <w:rPr>
          <w:rFonts w:asciiTheme="majorHAnsi" w:eastAsia="Times New Roman" w:hAnsiTheme="majorHAnsi" w:cstheme="majorHAnsi"/>
          <w:sz w:val="24"/>
          <w:szCs w:val="24"/>
          <w:lang w:val="ro-MD"/>
        </w:rPr>
        <w:t>obligațiilor</w:t>
      </w:r>
      <w:r w:rsidRPr="009E5B39">
        <w:rPr>
          <w:rFonts w:asciiTheme="majorHAnsi" w:eastAsia="Times New Roman" w:hAnsiTheme="majorHAnsi" w:cstheme="majorHAnsi"/>
          <w:sz w:val="24"/>
          <w:szCs w:val="24"/>
          <w:lang w:val="ro-MD"/>
        </w:rPr>
        <w:t xml:space="preserve"> sale.</w:t>
      </w:r>
    </w:p>
    <w:p w14:paraId="0089C8AA" w14:textId="277B8666" w:rsidR="005152A6" w:rsidRPr="009E5B39" w:rsidRDefault="005152A6" w:rsidP="003E291B">
      <w:pPr>
        <w:spacing w:after="0" w:line="276" w:lineRule="auto"/>
        <w:ind w:firstLine="567"/>
        <w:jc w:val="both"/>
        <w:rPr>
          <w:rFonts w:asciiTheme="majorHAnsi" w:hAnsiTheme="majorHAnsi" w:cstheme="majorHAnsi"/>
          <w:sz w:val="24"/>
          <w:szCs w:val="24"/>
          <w:lang w:val="ro-MD"/>
        </w:rPr>
        <w:sectPr w:rsidR="005152A6" w:rsidRPr="009E5B39" w:rsidSect="003E291B">
          <w:pgSz w:w="11907" w:h="16840" w:code="9"/>
          <w:pgMar w:top="1134" w:right="851" w:bottom="1134" w:left="1701" w:header="709" w:footer="709" w:gutter="0"/>
          <w:cols w:space="708"/>
          <w:docGrid w:linePitch="360"/>
        </w:sectPr>
      </w:pPr>
    </w:p>
    <w:p w14:paraId="3F8E02F7" w14:textId="6A12C4BB" w:rsidR="008107EA" w:rsidRPr="009E5B39" w:rsidRDefault="003E291B" w:rsidP="008107EA">
      <w:pPr>
        <w:keepNext/>
        <w:keepLines/>
        <w:spacing w:after="0"/>
        <w:jc w:val="right"/>
        <w:outlineLvl w:val="0"/>
        <w:rPr>
          <w:rFonts w:asciiTheme="majorHAnsi" w:eastAsiaTheme="majorEastAsia" w:hAnsiTheme="majorHAnsi" w:cstheme="majorHAnsi"/>
          <w:b/>
          <w:sz w:val="32"/>
          <w:szCs w:val="32"/>
          <w:lang w:val="ro-MD"/>
        </w:rPr>
      </w:pPr>
      <w:bookmarkStart w:id="35" w:name="_Toc116026900"/>
      <w:r w:rsidRPr="009E5B39">
        <w:rPr>
          <w:rFonts w:asciiTheme="majorHAnsi" w:eastAsiaTheme="majorEastAsia" w:hAnsiTheme="majorHAnsi" w:cstheme="majorHAnsi"/>
          <w:b/>
          <w:sz w:val="32"/>
          <w:szCs w:val="32"/>
          <w:lang w:val="ro-MD"/>
        </w:rPr>
        <w:t>Anexa nr.18</w:t>
      </w:r>
      <w:bookmarkEnd w:id="35"/>
    </w:p>
    <w:p w14:paraId="19457EDD" w14:textId="77777777" w:rsidR="003E291B" w:rsidRPr="009E5B39" w:rsidRDefault="003E291B" w:rsidP="003E291B">
      <w:pPr>
        <w:spacing w:after="0" w:line="276" w:lineRule="auto"/>
        <w:jc w:val="center"/>
        <w:rPr>
          <w:rFonts w:asciiTheme="majorHAnsi" w:hAnsiTheme="majorHAnsi" w:cstheme="majorHAnsi"/>
          <w:b/>
          <w:i/>
          <w:sz w:val="28"/>
          <w:szCs w:val="28"/>
          <w:lang w:val="ro-MD"/>
        </w:rPr>
      </w:pPr>
      <w:r w:rsidRPr="009E5B39">
        <w:rPr>
          <w:rFonts w:asciiTheme="majorHAnsi" w:hAnsiTheme="majorHAnsi" w:cstheme="majorHAnsi"/>
          <w:b/>
          <w:i/>
          <w:sz w:val="28"/>
          <w:szCs w:val="28"/>
          <w:lang w:val="ro-MD"/>
        </w:rPr>
        <w:t>Exemple ale deficiențelor constatate la eliberarea actelor permisive</w:t>
      </w:r>
    </w:p>
    <w:p w14:paraId="1A209FB5" w14:textId="17CE3A49" w:rsidR="003E291B" w:rsidRPr="009E5B39" w:rsidRDefault="003E291B" w:rsidP="003E291B">
      <w:pPr>
        <w:spacing w:after="0" w:line="276" w:lineRule="auto"/>
        <w:contextualSpacing/>
        <w:rPr>
          <w:rFonts w:asciiTheme="majorHAnsi" w:hAnsiTheme="majorHAnsi" w:cstheme="majorHAnsi"/>
          <w:sz w:val="24"/>
          <w:szCs w:val="24"/>
          <w:lang w:val="ro-MD"/>
        </w:rPr>
      </w:pPr>
      <w:r w:rsidRPr="009E5B39">
        <w:rPr>
          <w:rFonts w:asciiTheme="majorHAnsi" w:hAnsiTheme="majorHAnsi" w:cstheme="majorHAnsi"/>
          <w:b/>
          <w:sz w:val="24"/>
          <w:szCs w:val="24"/>
          <w:lang w:val="ro-MD"/>
        </w:rPr>
        <w:t>1.Eliberarea documentelor permisive în lipsa acordului CMC asupra terenului municipal pentru construcție  sau în lipsa contractului de arendă</w:t>
      </w:r>
    </w:p>
    <w:p w14:paraId="709B97CD" w14:textId="668277E7" w:rsidR="003E291B" w:rsidRPr="009E5B39" w:rsidRDefault="003E291B" w:rsidP="003E291B">
      <w:pPr>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De către DGAURF a fost eliberată A/C 89-c/21 din 07.04.2021, pers. fizice, bd. Mircea cel Bătrân, pe terenul proprietate privată cu S-0,068 ha</w:t>
      </w:r>
      <w:r w:rsidR="007B30C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pentru construcția centrului comercial, însă </w:t>
      </w:r>
      <w:r w:rsidR="007B30C9" w:rsidRPr="009E5B39">
        <w:rPr>
          <w:rFonts w:asciiTheme="majorHAnsi" w:hAnsiTheme="majorHAnsi" w:cstheme="majorHAnsi"/>
          <w:sz w:val="24"/>
          <w:szCs w:val="24"/>
          <w:lang w:val="ro-MD"/>
        </w:rPr>
        <w:t xml:space="preserve">pentru </w:t>
      </w:r>
      <w:r w:rsidRPr="009E5B39">
        <w:rPr>
          <w:rFonts w:asciiTheme="majorHAnsi" w:hAnsiTheme="majorHAnsi" w:cstheme="majorHAnsi"/>
          <w:sz w:val="24"/>
          <w:szCs w:val="24"/>
          <w:lang w:val="ro-MD"/>
        </w:rPr>
        <w:t>amenajarea  parcării auto aferent</w:t>
      </w:r>
      <w:r w:rsidR="007B30C9" w:rsidRPr="009E5B39">
        <w:rPr>
          <w:rFonts w:asciiTheme="majorHAnsi" w:hAnsiTheme="majorHAnsi" w:cstheme="majorHAnsi"/>
          <w:sz w:val="24"/>
          <w:szCs w:val="24"/>
          <w:lang w:val="ro-MD"/>
        </w:rPr>
        <w:t>ă</w:t>
      </w:r>
      <w:r w:rsidRPr="009E5B39">
        <w:rPr>
          <w:rFonts w:asciiTheme="majorHAnsi" w:hAnsiTheme="majorHAnsi" w:cstheme="majorHAnsi"/>
          <w:sz w:val="24"/>
          <w:szCs w:val="24"/>
          <w:lang w:val="ro-MD"/>
        </w:rPr>
        <w:t xml:space="preserve"> centrului comercial urmează a fi utilizat terenul  municipal </w:t>
      </w:r>
      <w:r w:rsidR="007B30C9" w:rsidRPr="009E5B39">
        <w:rPr>
          <w:rFonts w:asciiTheme="majorHAnsi" w:hAnsiTheme="majorHAnsi" w:cstheme="majorHAnsi"/>
          <w:sz w:val="24"/>
          <w:szCs w:val="24"/>
          <w:lang w:val="ro-MD"/>
        </w:rPr>
        <w:t xml:space="preserve">cu </w:t>
      </w:r>
      <w:r w:rsidRPr="009E5B39">
        <w:rPr>
          <w:rFonts w:asciiTheme="majorHAnsi" w:hAnsiTheme="majorHAnsi" w:cstheme="majorHAnsi"/>
          <w:sz w:val="24"/>
          <w:szCs w:val="24"/>
          <w:lang w:val="ro-MD"/>
        </w:rPr>
        <w:t>nr. cad. 0100312448, pentru care lipsesc relații contractuale de arendă a terenului;</w:t>
      </w:r>
    </w:p>
    <w:p w14:paraId="1C1B8464" w14:textId="234D553F" w:rsidR="003E291B" w:rsidRPr="009E5B39" w:rsidRDefault="003E291B" w:rsidP="003E291B">
      <w:pPr>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A/C 361-c/21 din 13.09.2021, conform proiectului de execuție, pe terenul privat cu nr. cad. 0100107001 din strada Sarmisegetusa, se prevede construcția unui obiectiv comercial cu nivelul de înălțime P. Deși construcția se va efectua pe suprafața terenului privat,  pe terenul adiacent cu nr. cad. 0100107445-teren municipal, va fi amenajată o parcare auto pentru clienții centrului comercial, fără a fi încheiat contract de arendă funciară a terenului municipal;</w:t>
      </w:r>
    </w:p>
    <w:p w14:paraId="66B2BFFA" w14:textId="7A1E229A" w:rsidR="003E291B" w:rsidRPr="009E5B39" w:rsidRDefault="003E291B" w:rsidP="003E291B">
      <w:pPr>
        <w:tabs>
          <w:tab w:val="left" w:pos="0"/>
        </w:tabs>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A/C 05-c/21 din 05.01.2021</w:t>
      </w:r>
      <w:r w:rsidR="007B30C9" w:rsidRPr="009E5B39">
        <w:rPr>
          <w:rFonts w:asciiTheme="majorHAnsi" w:hAnsiTheme="majorHAnsi" w:cstheme="majorHAnsi"/>
          <w:sz w:val="24"/>
          <w:szCs w:val="24"/>
          <w:lang w:val="ro-MD"/>
        </w:rPr>
        <w:t>,</w:t>
      </w:r>
      <w:r w:rsidR="00572EA9"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str. Albișoara, colț cu Mihai Viteazul 20/3, pentru amenajarea terenului adiacent 0100417806 cu parcare auto pentru utilitate publică, fără a avea careva relații contractuale  de arendă a terenului municipal</w:t>
      </w:r>
      <w:r w:rsidR="007B30C9" w:rsidRPr="009E5B39">
        <w:rPr>
          <w:rFonts w:asciiTheme="majorHAnsi" w:hAnsiTheme="majorHAnsi" w:cstheme="majorHAnsi"/>
          <w:sz w:val="24"/>
          <w:szCs w:val="24"/>
          <w:lang w:val="ro-MD"/>
        </w:rPr>
        <w:t>.</w:t>
      </w:r>
    </w:p>
    <w:p w14:paraId="727BB6E1" w14:textId="77777777" w:rsidR="003E291B" w:rsidRPr="009E5B39" w:rsidRDefault="003E291B" w:rsidP="003E291B">
      <w:pPr>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2.Eliberarea autorizației de construire în baza unui certificat de urbanism expirat</w:t>
      </w:r>
    </w:p>
    <w:p w14:paraId="0F23C682" w14:textId="1228441F" w:rsidR="003E291B" w:rsidRPr="009E5B39" w:rsidRDefault="003E291B" w:rsidP="003E291B">
      <w:pPr>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w:t>
      </w:r>
      <w:r w:rsidRPr="009E5B39">
        <w:rPr>
          <w:rFonts w:asciiTheme="majorHAnsi" w:hAnsiTheme="majorHAnsi" w:cstheme="majorHAnsi"/>
          <w:sz w:val="24"/>
          <w:szCs w:val="24"/>
          <w:lang w:val="ro-MD"/>
        </w:rPr>
        <w:t xml:space="preserve"> În baza CUP 643/19 din 27.11.2019,</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a fost eliberată A/C 05-c/21 din 05.01.2021, SRL „Lexcolet Consulting”</w:t>
      </w:r>
      <w:r w:rsidR="007B30C9" w:rsidRPr="009E5B39">
        <w:rPr>
          <w:rFonts w:asciiTheme="majorHAnsi" w:hAnsiTheme="majorHAnsi" w:cstheme="majorHAnsi"/>
          <w:sz w:val="24"/>
          <w:szCs w:val="24"/>
          <w:lang w:val="ro-MD"/>
        </w:rPr>
        <w:t>;</w:t>
      </w:r>
    </w:p>
    <w:p w14:paraId="6A832AF0" w14:textId="13AF431B" w:rsidR="003E291B" w:rsidRPr="009E5B39" w:rsidRDefault="003E291B" w:rsidP="003E291B">
      <w:pPr>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În baza CUP 538/19 din 12.09.2019, a</w:t>
      </w:r>
      <w:r w:rsidR="007B30C9" w:rsidRPr="009E5B39">
        <w:rPr>
          <w:rFonts w:asciiTheme="majorHAnsi" w:hAnsiTheme="majorHAnsi" w:cstheme="majorHAnsi"/>
          <w:sz w:val="24"/>
          <w:szCs w:val="24"/>
          <w:lang w:val="ro-MD"/>
        </w:rPr>
        <w:t>u</w:t>
      </w:r>
      <w:r w:rsidRPr="009E5B39">
        <w:rPr>
          <w:rFonts w:asciiTheme="majorHAnsi" w:hAnsiTheme="majorHAnsi" w:cstheme="majorHAnsi"/>
          <w:sz w:val="24"/>
          <w:szCs w:val="24"/>
          <w:lang w:val="ro-MD"/>
        </w:rPr>
        <w:t xml:space="preserve"> fost eliberate 2 A/C, SRL „Megaparc”</w:t>
      </w:r>
      <w:r w:rsidR="007B30C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611-c/19 din 08.11.2019</w:t>
      </w:r>
      <w:r w:rsidR="007B30C9" w:rsidRPr="009E5B39">
        <w:rPr>
          <w:rFonts w:asciiTheme="majorHAnsi" w:hAnsiTheme="majorHAnsi" w:cstheme="majorHAnsi"/>
          <w:sz w:val="24"/>
          <w:szCs w:val="24"/>
          <w:lang w:val="ro-MD"/>
        </w:rPr>
        <w:t xml:space="preserve"> și</w:t>
      </w:r>
      <w:r w:rsidRPr="009E5B39">
        <w:rPr>
          <w:rFonts w:asciiTheme="majorHAnsi" w:hAnsiTheme="majorHAnsi" w:cstheme="majorHAnsi"/>
          <w:sz w:val="24"/>
          <w:szCs w:val="24"/>
          <w:lang w:val="ro-MD"/>
        </w:rPr>
        <w:t xml:space="preserve"> 35-c/21 din 05.02.2021</w:t>
      </w:r>
      <w:r w:rsidR="007B30C9"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w:t>
      </w:r>
    </w:p>
    <w:p w14:paraId="45131E7E" w14:textId="45AE286B" w:rsidR="003E291B" w:rsidRPr="009E5B39" w:rsidRDefault="00B37FC6" w:rsidP="003E291B">
      <w:pPr>
        <w:spacing w:after="0" w:line="276" w:lineRule="auto"/>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  </w:t>
      </w:r>
      <w:r w:rsidR="003E291B" w:rsidRPr="009E5B39">
        <w:rPr>
          <w:rFonts w:asciiTheme="majorHAnsi" w:hAnsiTheme="majorHAnsi" w:cstheme="majorHAnsi"/>
          <w:sz w:val="24"/>
          <w:szCs w:val="24"/>
          <w:lang w:val="ro-MD"/>
        </w:rPr>
        <w:t>În baza CUP 112/19 din 14.03.2019, a fost eliberată A/C 515-c/21 din 31.12.2021, SRL „Exfactor -Grup”</w:t>
      </w:r>
      <w:r w:rsidRPr="009E5B39">
        <w:rPr>
          <w:rFonts w:asciiTheme="majorHAnsi" w:hAnsiTheme="majorHAnsi" w:cstheme="majorHAnsi"/>
          <w:sz w:val="24"/>
          <w:szCs w:val="24"/>
          <w:lang w:val="ro-MD"/>
        </w:rPr>
        <w:t>.</w:t>
      </w:r>
    </w:p>
    <w:p w14:paraId="267CAAC6" w14:textId="455160E5" w:rsidR="003A2CC3" w:rsidRPr="009E5B39" w:rsidRDefault="003E291B" w:rsidP="003E291B">
      <w:pPr>
        <w:spacing w:after="0" w:line="276" w:lineRule="auto"/>
        <w:contextualSpacing/>
        <w:jc w:val="both"/>
        <w:rPr>
          <w:rFonts w:asciiTheme="majorHAnsi" w:hAnsiTheme="majorHAnsi" w:cstheme="majorHAnsi"/>
          <w:b/>
          <w:sz w:val="24"/>
          <w:szCs w:val="24"/>
          <w:lang w:val="ro-MD"/>
        </w:rPr>
      </w:pPr>
      <w:r w:rsidRPr="009E5B39">
        <w:rPr>
          <w:rFonts w:asciiTheme="majorHAnsi" w:hAnsiTheme="majorHAnsi" w:cstheme="majorHAnsi"/>
          <w:b/>
          <w:sz w:val="24"/>
          <w:szCs w:val="24"/>
          <w:lang w:val="ro-MD"/>
        </w:rPr>
        <w:t xml:space="preserve">3.Eliberarea autorizației de construire fără a </w:t>
      </w:r>
      <w:r w:rsidR="00B37FC6" w:rsidRPr="009E5B39">
        <w:rPr>
          <w:rFonts w:asciiTheme="majorHAnsi" w:hAnsiTheme="majorHAnsi" w:cstheme="majorHAnsi"/>
          <w:b/>
          <w:sz w:val="24"/>
          <w:szCs w:val="24"/>
          <w:lang w:val="ro-MD"/>
        </w:rPr>
        <w:t xml:space="preserve">se </w:t>
      </w:r>
      <w:r w:rsidRPr="009E5B39">
        <w:rPr>
          <w:rFonts w:asciiTheme="majorHAnsi" w:hAnsiTheme="majorHAnsi" w:cstheme="majorHAnsi"/>
          <w:b/>
          <w:sz w:val="24"/>
          <w:szCs w:val="24"/>
          <w:lang w:val="ro-MD"/>
        </w:rPr>
        <w:t xml:space="preserve">ține cont de restricțiile prevăzute în certificatele de urbanism </w:t>
      </w:r>
    </w:p>
    <w:p w14:paraId="0985916E" w14:textId="71227770" w:rsidR="003E291B" w:rsidRPr="009E5B39" w:rsidRDefault="003E291B" w:rsidP="003E291B">
      <w:pPr>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A/C 302-c/21 din 12.08.2021, eliberată Preturii </w:t>
      </w:r>
      <w:r w:rsidR="00B37FC6" w:rsidRPr="009E5B39">
        <w:rPr>
          <w:rFonts w:asciiTheme="majorHAnsi" w:hAnsiTheme="majorHAnsi" w:cstheme="majorHAnsi"/>
          <w:sz w:val="24"/>
          <w:szCs w:val="24"/>
          <w:lang w:val="ro-MD"/>
        </w:rPr>
        <w:t xml:space="preserve">sect. </w:t>
      </w:r>
      <w:r w:rsidRPr="009E5B39">
        <w:rPr>
          <w:rFonts w:asciiTheme="majorHAnsi" w:hAnsiTheme="majorHAnsi" w:cstheme="majorHAnsi"/>
          <w:sz w:val="24"/>
          <w:szCs w:val="24"/>
          <w:lang w:val="ro-MD"/>
        </w:rPr>
        <w:t>Ciocana, pentru amenajarea/ renovarea aleii pietonale din strada Mihail Sadoveanu</w:t>
      </w:r>
      <w:r w:rsidR="00B37FC6"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neținând</w:t>
      </w:r>
      <w:r w:rsidR="00B37FC6" w:rsidRPr="009E5B39">
        <w:rPr>
          <w:rFonts w:asciiTheme="majorHAnsi" w:hAnsiTheme="majorHAnsi" w:cstheme="majorHAnsi"/>
          <w:sz w:val="24"/>
          <w:szCs w:val="24"/>
          <w:lang w:val="ro-MD"/>
        </w:rPr>
        <w:t>u-se</w:t>
      </w:r>
      <w:r w:rsidRPr="009E5B39">
        <w:rPr>
          <w:rFonts w:asciiTheme="majorHAnsi" w:hAnsiTheme="majorHAnsi" w:cstheme="majorHAnsi"/>
          <w:sz w:val="24"/>
          <w:szCs w:val="24"/>
          <w:lang w:val="ro-MD"/>
        </w:rPr>
        <w:t xml:space="preserve"> cont de condițiile prevăzute de CUP 408/21 din 11.06.2021 și Legea nr.163/2010 privind prezența avizului Î.M. „Spații verzi” și </w:t>
      </w:r>
      <w:r w:rsidR="00B37FC6" w:rsidRPr="009E5B39">
        <w:rPr>
          <w:rFonts w:asciiTheme="majorHAnsi" w:hAnsiTheme="majorHAnsi" w:cstheme="majorHAnsi"/>
          <w:sz w:val="24"/>
          <w:szCs w:val="24"/>
          <w:lang w:val="ro-MD"/>
        </w:rPr>
        <w:t xml:space="preserve">al </w:t>
      </w:r>
      <w:r w:rsidRPr="009E5B39">
        <w:rPr>
          <w:rFonts w:asciiTheme="majorHAnsi" w:hAnsiTheme="majorHAnsi" w:cstheme="majorHAnsi"/>
          <w:sz w:val="24"/>
          <w:szCs w:val="24"/>
          <w:lang w:val="ro-MD"/>
        </w:rPr>
        <w:t>Direcției generale educație, tineret și sport</w:t>
      </w:r>
      <w:r w:rsidR="00B37FC6" w:rsidRPr="009E5B39">
        <w:rPr>
          <w:rFonts w:asciiTheme="majorHAnsi" w:hAnsiTheme="majorHAnsi" w:cstheme="majorHAnsi"/>
          <w:sz w:val="24"/>
          <w:szCs w:val="24"/>
          <w:lang w:val="ro-MD"/>
        </w:rPr>
        <w:t>.</w:t>
      </w:r>
    </w:p>
    <w:p w14:paraId="6428F1A4" w14:textId="572D71F2" w:rsidR="003E291B" w:rsidRPr="009E5B39" w:rsidRDefault="003E291B" w:rsidP="003E291B">
      <w:pPr>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b/>
          <w:sz w:val="24"/>
          <w:szCs w:val="24"/>
          <w:lang w:val="ro-MD"/>
        </w:rPr>
        <w:t>4.În majoritatea cazurilor</w:t>
      </w:r>
      <w:r w:rsidR="00B37FC6" w:rsidRPr="009E5B39">
        <w:rPr>
          <w:rFonts w:asciiTheme="majorHAnsi" w:hAnsiTheme="majorHAnsi" w:cstheme="majorHAnsi"/>
          <w:b/>
          <w:sz w:val="24"/>
          <w:szCs w:val="24"/>
          <w:lang w:val="ro-MD"/>
        </w:rPr>
        <w:t>,</w:t>
      </w:r>
      <w:r w:rsidRPr="009E5B39">
        <w:rPr>
          <w:rFonts w:asciiTheme="majorHAnsi" w:hAnsiTheme="majorHAnsi" w:cstheme="majorHAnsi"/>
          <w:b/>
          <w:sz w:val="24"/>
          <w:szCs w:val="24"/>
          <w:lang w:val="ro-MD"/>
        </w:rPr>
        <w:t xml:space="preserve"> autorizațiile de construcție continuă să fie emise fără a fi respectate prevederile stabilite în certificatul de urbanism privind Procentul de Ocupare a Teritoriului </w:t>
      </w:r>
      <w:r w:rsidR="00B37FC6" w:rsidRPr="009E5B39">
        <w:rPr>
          <w:rFonts w:asciiTheme="majorHAnsi" w:hAnsiTheme="majorHAnsi" w:cstheme="majorHAnsi"/>
          <w:b/>
          <w:sz w:val="24"/>
          <w:szCs w:val="24"/>
          <w:lang w:val="ro-MD"/>
        </w:rPr>
        <w:t xml:space="preserve">pentru </w:t>
      </w:r>
      <w:r w:rsidRPr="009E5B39">
        <w:rPr>
          <w:rFonts w:asciiTheme="majorHAnsi" w:hAnsiTheme="majorHAnsi" w:cstheme="majorHAnsi"/>
          <w:b/>
          <w:sz w:val="24"/>
          <w:szCs w:val="24"/>
          <w:lang w:val="ro-MD"/>
        </w:rPr>
        <w:t xml:space="preserve"> construcție</w:t>
      </w:r>
      <w:r w:rsidRPr="009E5B39">
        <w:rPr>
          <w:rFonts w:asciiTheme="majorHAnsi" w:hAnsiTheme="majorHAnsi" w:cstheme="majorHAnsi"/>
          <w:sz w:val="24"/>
          <w:szCs w:val="24"/>
          <w:lang w:val="ro-MD"/>
        </w:rPr>
        <w:t xml:space="preserve"> </w:t>
      </w:r>
    </w:p>
    <w:p w14:paraId="11CB01C3" w14:textId="05792AC2" w:rsidR="003E291B" w:rsidRPr="009E5B39" w:rsidRDefault="003E291B" w:rsidP="003E291B">
      <w:pPr>
        <w:spacing w:after="0" w:line="276" w:lineRule="auto"/>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A/C 475-c/19 din 02.09.2019, SRL „Varincom”, str. Pietrăriei, 11, pentru construirea blocului de locuințe cu regim de înălțime S+P+9E+PH, cu parcare auto subterană, pe terenul cu nr. cadastral 0100423529</w:t>
      </w:r>
      <w:r w:rsidR="00B37FC6"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p>
    <w:p w14:paraId="340F5FDF" w14:textId="41869B69" w:rsidR="003E291B" w:rsidRPr="009E5B39" w:rsidRDefault="003E291B" w:rsidP="003E291B">
      <w:pPr>
        <w:spacing w:after="0" w:line="276" w:lineRule="auto"/>
        <w:ind w:hanging="142"/>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    - A/C  256-c/20 din 26.08.2020, SRL „Rodaris-Pro”, str. Circului, nr.5, pentru construirea unui ansamblu rezidențial cu spații comerciale și parcări auto subterane cu regimul de înălțime S+2D+P+9E</w:t>
      </w:r>
      <w:r w:rsidR="00B37FC6"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p>
    <w:p w14:paraId="4CDDB32C" w14:textId="6404D95E" w:rsidR="003E291B" w:rsidRPr="009E5B39" w:rsidRDefault="003E291B" w:rsidP="003E291B">
      <w:pPr>
        <w:spacing w:after="0" w:line="276" w:lineRule="auto"/>
        <w:ind w:hanging="142"/>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   -  A/C 451-c/21 din 03.11.2021, SRL„ Icam”, mun. Chișinău, str. Burebista 114/2, pentru finalizarea ansamblului rezidențial, cu parcare auto subterană</w:t>
      </w:r>
      <w:r w:rsidR="00B37FC6"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(nr. cad. 0100114038.01), cu regimul de înălțime 2S+P+E+ET+15E</w:t>
      </w:r>
      <w:r w:rsidR="00B37FC6"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p>
    <w:p w14:paraId="702F6B8F" w14:textId="3347DA05" w:rsidR="003E291B" w:rsidRPr="009E5B39" w:rsidRDefault="003E291B" w:rsidP="003E291B">
      <w:pPr>
        <w:spacing w:after="0" w:line="276" w:lineRule="auto"/>
        <w:ind w:hanging="142"/>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 xml:space="preserve">   - A/C 373-c/18 din 07.07.2018, SRL</w:t>
      </w:r>
      <w:r w:rsidR="00697728">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„Gradalex Cons”, mun. Chișinău, str. Andrei Doga,26, pentru construirea unui ansamblu rezidențial cu încăperi comerciale, prestări servicii și parcare auto subterană, cu regimul de înălțime maximal S+P+10E, în limitele terenului cu nr. cadastral 0100423305 </w:t>
      </w:r>
      <w:r w:rsidR="003A2CC3" w:rsidRPr="009E5B39">
        <w:rPr>
          <w:rFonts w:asciiTheme="majorHAnsi" w:hAnsiTheme="majorHAnsi" w:cstheme="majorHAnsi"/>
          <w:sz w:val="24"/>
          <w:szCs w:val="24"/>
          <w:lang w:val="ro-MD"/>
        </w:rPr>
        <w:t>;</w:t>
      </w:r>
    </w:p>
    <w:p w14:paraId="663E3F36" w14:textId="7A1C45AD" w:rsidR="003E291B" w:rsidRPr="009E5B39" w:rsidRDefault="003E291B" w:rsidP="007816D6">
      <w:pPr>
        <w:numPr>
          <w:ilvl w:val="0"/>
          <w:numId w:val="46"/>
        </w:numPr>
        <w:tabs>
          <w:tab w:val="left" w:pos="284"/>
        </w:tabs>
        <w:spacing w:after="0" w:line="276" w:lineRule="auto"/>
        <w:ind w:left="0" w:firstLine="0"/>
        <w:contextualSpacing/>
        <w:jc w:val="both"/>
        <w:rPr>
          <w:rFonts w:asciiTheme="majorHAnsi" w:hAnsiTheme="majorHAnsi" w:cstheme="majorHAnsi"/>
          <w:sz w:val="24"/>
          <w:szCs w:val="24"/>
          <w:lang w:val="ro-MD"/>
        </w:rPr>
      </w:pPr>
      <w:r w:rsidRPr="009E5B39">
        <w:rPr>
          <w:rFonts w:asciiTheme="majorHAnsi" w:hAnsiTheme="majorHAnsi" w:cstheme="majorHAnsi"/>
          <w:sz w:val="24"/>
          <w:szCs w:val="24"/>
          <w:lang w:val="ro-MD"/>
        </w:rPr>
        <w:t>A/C  112-c/19 din 06.03.3019 și A/C 01-c/21 din 05.01.2021, SRL „Pirser-Com”, mun. Chișinău, str. Ceucari, pentru construirea un</w:t>
      </w:r>
      <w:r w:rsidR="003A2CC3" w:rsidRPr="009E5B39">
        <w:rPr>
          <w:rFonts w:asciiTheme="majorHAnsi" w:hAnsiTheme="majorHAnsi" w:cstheme="majorHAnsi"/>
          <w:sz w:val="24"/>
          <w:szCs w:val="24"/>
          <w:lang w:val="ro-MD"/>
        </w:rPr>
        <w:t>u</w:t>
      </w:r>
      <w:r w:rsidRPr="009E5B39">
        <w:rPr>
          <w:rFonts w:asciiTheme="majorHAnsi" w:hAnsiTheme="majorHAnsi" w:cstheme="majorHAnsi"/>
          <w:sz w:val="24"/>
          <w:szCs w:val="24"/>
          <w:lang w:val="ro-MD"/>
        </w:rPr>
        <w:t>i bloc de locuințe de menire comercială/prestări servicii, cu regimul pe verticală D+P+9E+M, în limitele terenului arendat cu nr. cad. 0100404041</w:t>
      </w:r>
      <w:r w:rsidR="003A2CC3" w:rsidRPr="009E5B39">
        <w:rPr>
          <w:rFonts w:asciiTheme="majorHAnsi" w:hAnsiTheme="majorHAnsi" w:cstheme="majorHAnsi"/>
          <w:sz w:val="24"/>
          <w:szCs w:val="24"/>
          <w:lang w:val="ro-MD"/>
        </w:rPr>
        <w:t>.</w:t>
      </w:r>
    </w:p>
    <w:p w14:paraId="7D0BFAF7" w14:textId="77777777" w:rsidR="003E291B" w:rsidRPr="009E5B39" w:rsidRDefault="003E291B" w:rsidP="007816D6">
      <w:pPr>
        <w:numPr>
          <w:ilvl w:val="0"/>
          <w:numId w:val="40"/>
        </w:numPr>
        <w:spacing w:after="0" w:line="276" w:lineRule="auto"/>
        <w:ind w:left="0" w:firstLine="0"/>
        <w:contextualSpacing/>
        <w:jc w:val="both"/>
        <w:rPr>
          <w:rFonts w:asciiTheme="majorHAnsi" w:hAnsiTheme="majorHAnsi" w:cstheme="majorHAnsi"/>
          <w:b/>
          <w:sz w:val="24"/>
          <w:szCs w:val="24"/>
          <w:lang w:val="ro-MD"/>
        </w:rPr>
      </w:pPr>
      <w:r w:rsidRPr="009E5B39">
        <w:rPr>
          <w:rFonts w:asciiTheme="majorHAnsi" w:hAnsiTheme="majorHAnsi" w:cstheme="majorHAnsi"/>
          <w:b/>
          <w:sz w:val="24"/>
          <w:szCs w:val="24"/>
          <w:lang w:val="ro-MD"/>
        </w:rPr>
        <w:t>Schimbarea zonei urbanistice a terenului în scopul efectuării construcției blocului locativ multietajat</w:t>
      </w:r>
    </w:p>
    <w:p w14:paraId="4FA7DBB4" w14:textId="524CE984" w:rsidR="003E291B" w:rsidRPr="009E5B39" w:rsidRDefault="003E291B" w:rsidP="007816D6">
      <w:pPr>
        <w:numPr>
          <w:ilvl w:val="0"/>
          <w:numId w:val="46"/>
        </w:numPr>
        <w:tabs>
          <w:tab w:val="left" w:pos="426"/>
        </w:tabs>
        <w:spacing w:after="0" w:line="276" w:lineRule="auto"/>
        <w:ind w:left="0" w:firstLine="0"/>
        <w:contextualSpacing/>
        <w:jc w:val="both"/>
        <w:rPr>
          <w:rFonts w:asciiTheme="majorHAnsi" w:hAnsiTheme="majorHAnsi" w:cstheme="majorHAnsi"/>
          <w:b/>
          <w:sz w:val="24"/>
          <w:szCs w:val="24"/>
          <w:lang w:val="ro-MD"/>
        </w:rPr>
      </w:pPr>
      <w:r w:rsidRPr="009E5B39">
        <w:rPr>
          <w:rFonts w:asciiTheme="majorHAnsi" w:hAnsiTheme="majorHAnsi" w:cstheme="majorHAnsi"/>
          <w:sz w:val="24"/>
          <w:szCs w:val="24"/>
          <w:lang w:val="ro-MD"/>
        </w:rPr>
        <w:t>A/C 373-c/18 din 04.07.2018, SRL „Gradarex Cons”, str. Andrei Doga,26, supr</w:t>
      </w:r>
      <w:r w:rsidR="003A2CC3" w:rsidRPr="009E5B39">
        <w:rPr>
          <w:rFonts w:asciiTheme="majorHAnsi" w:hAnsiTheme="majorHAnsi" w:cstheme="majorHAnsi"/>
          <w:sz w:val="24"/>
          <w:szCs w:val="24"/>
          <w:lang w:val="ro-MD"/>
        </w:rPr>
        <w:t>afața de</w:t>
      </w:r>
      <w:r w:rsidRPr="009E5B39">
        <w:rPr>
          <w:rFonts w:asciiTheme="majorHAnsi" w:hAnsiTheme="majorHAnsi" w:cstheme="majorHAnsi"/>
          <w:sz w:val="24"/>
          <w:szCs w:val="24"/>
          <w:lang w:val="ro-MD"/>
        </w:rPr>
        <w:t xml:space="preserve"> 0,4238 h</w:t>
      </w:r>
      <w:r w:rsidR="00572EA9" w:rsidRPr="009E5B39">
        <w:rPr>
          <w:rFonts w:asciiTheme="majorHAnsi" w:hAnsiTheme="majorHAnsi" w:cstheme="majorHAnsi"/>
          <w:sz w:val="24"/>
          <w:szCs w:val="24"/>
          <w:lang w:val="ro-MD"/>
        </w:rPr>
        <w:t>a</w:t>
      </w:r>
      <w:r w:rsidRPr="009E5B39">
        <w:rPr>
          <w:rFonts w:asciiTheme="majorHAnsi" w:hAnsiTheme="majorHAnsi" w:cstheme="majorHAnsi"/>
          <w:sz w:val="24"/>
          <w:szCs w:val="24"/>
          <w:lang w:val="ro-MD"/>
        </w:rPr>
        <w:t>, pentru construirea unui ansamblu rezidențial cu încăperi comerciale, prestări servicii și parcare auto subterană, cu regimul de înălțime maximal S+P+10E,</w:t>
      </w:r>
      <w:r w:rsidR="003A2CC3" w:rsidRPr="009E5B39">
        <w:rPr>
          <w:rFonts w:asciiTheme="majorHAnsi" w:hAnsiTheme="majorHAnsi" w:cstheme="majorHAnsi"/>
          <w:sz w:val="24"/>
          <w:szCs w:val="24"/>
          <w:lang w:val="ro-MD"/>
        </w:rPr>
        <w:t xml:space="preserve"> </w:t>
      </w:r>
      <w:r w:rsidRPr="009E5B39">
        <w:rPr>
          <w:rFonts w:asciiTheme="majorHAnsi" w:hAnsiTheme="majorHAnsi" w:cstheme="majorHAnsi"/>
          <w:sz w:val="24"/>
          <w:szCs w:val="24"/>
          <w:lang w:val="ro-MD"/>
        </w:rPr>
        <w:t xml:space="preserve">conform </w:t>
      </w:r>
      <w:r w:rsidR="003A2CC3" w:rsidRPr="009E5B39">
        <w:rPr>
          <w:rFonts w:asciiTheme="majorHAnsi" w:hAnsiTheme="majorHAnsi" w:cstheme="majorHAnsi"/>
          <w:sz w:val="24"/>
          <w:szCs w:val="24"/>
          <w:lang w:val="ro-MD"/>
        </w:rPr>
        <w:t>P</w:t>
      </w:r>
      <w:r w:rsidRPr="009E5B39">
        <w:rPr>
          <w:rFonts w:asciiTheme="majorHAnsi" w:hAnsiTheme="majorHAnsi" w:cstheme="majorHAnsi"/>
          <w:sz w:val="24"/>
          <w:szCs w:val="24"/>
          <w:lang w:val="ro-MD"/>
        </w:rPr>
        <w:t>lan</w:t>
      </w:r>
      <w:r w:rsidR="003A2CC3" w:rsidRPr="009E5B39">
        <w:rPr>
          <w:rFonts w:asciiTheme="majorHAnsi" w:hAnsiTheme="majorHAnsi" w:cstheme="majorHAnsi"/>
          <w:sz w:val="24"/>
          <w:szCs w:val="24"/>
          <w:lang w:val="ro-MD"/>
        </w:rPr>
        <w:t>ului</w:t>
      </w:r>
      <w:r w:rsidRPr="009E5B39">
        <w:rPr>
          <w:rFonts w:asciiTheme="majorHAnsi" w:hAnsiTheme="majorHAnsi" w:cstheme="majorHAnsi"/>
          <w:sz w:val="24"/>
          <w:szCs w:val="24"/>
          <w:lang w:val="ro-MD"/>
        </w:rPr>
        <w:t xml:space="preserve"> </w:t>
      </w:r>
      <w:r w:rsidR="003A2CC3" w:rsidRPr="009E5B39">
        <w:rPr>
          <w:rFonts w:asciiTheme="majorHAnsi" w:hAnsiTheme="majorHAnsi" w:cstheme="majorHAnsi"/>
          <w:sz w:val="24"/>
          <w:szCs w:val="24"/>
          <w:lang w:val="ro-MD"/>
        </w:rPr>
        <w:t>u</w:t>
      </w:r>
      <w:r w:rsidRPr="009E5B39">
        <w:rPr>
          <w:rFonts w:asciiTheme="majorHAnsi" w:hAnsiTheme="majorHAnsi" w:cstheme="majorHAnsi"/>
          <w:sz w:val="24"/>
          <w:szCs w:val="24"/>
          <w:lang w:val="ro-MD"/>
        </w:rPr>
        <w:t xml:space="preserve">rbanistic general al or. Chișinău, aprobat prin </w:t>
      </w:r>
      <w:r w:rsidR="003A2CC3" w:rsidRPr="009E5B39">
        <w:rPr>
          <w:rFonts w:asciiTheme="majorHAnsi" w:hAnsiTheme="majorHAnsi" w:cstheme="majorHAnsi"/>
          <w:sz w:val="24"/>
          <w:szCs w:val="24"/>
          <w:lang w:val="ro-MD"/>
        </w:rPr>
        <w:t>D</w:t>
      </w:r>
      <w:r w:rsidRPr="009E5B39">
        <w:rPr>
          <w:rFonts w:asciiTheme="majorHAnsi" w:hAnsiTheme="majorHAnsi" w:cstheme="majorHAnsi"/>
          <w:sz w:val="24"/>
          <w:szCs w:val="24"/>
          <w:lang w:val="ro-MD"/>
        </w:rPr>
        <w:t>ecizia CMC nr</w:t>
      </w:r>
      <w:r w:rsidR="003A2CC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68/1-2 din 22.03.2007,  imobilul este amplasat în zona ”S”(zona specială). În baza deciziei CMC nr.15/39 din 22.12.2017, au fost operate modificări la </w:t>
      </w:r>
      <w:r w:rsidR="003A2CC3" w:rsidRPr="009E5B39">
        <w:rPr>
          <w:rFonts w:asciiTheme="majorHAnsi" w:hAnsiTheme="majorHAnsi" w:cstheme="majorHAnsi"/>
          <w:sz w:val="24"/>
          <w:szCs w:val="24"/>
          <w:lang w:val="ro-MD"/>
        </w:rPr>
        <w:t>R</w:t>
      </w:r>
      <w:r w:rsidRPr="009E5B39">
        <w:rPr>
          <w:rFonts w:asciiTheme="majorHAnsi" w:hAnsiTheme="majorHAnsi" w:cstheme="majorHAnsi"/>
          <w:sz w:val="24"/>
          <w:szCs w:val="24"/>
          <w:lang w:val="ro-MD"/>
        </w:rPr>
        <w:t xml:space="preserve">egulamentul local de urbanism nr.22/40 din 25.12.2008, prin substituirea codului urbanistic pentru terenul cu nr. cad. 010042305, din zona „S” în zona „R7”- sunt permise toate tipurile de locuințe; </w:t>
      </w:r>
    </w:p>
    <w:p w14:paraId="75A45989" w14:textId="6BA74118" w:rsidR="003E291B" w:rsidRPr="009E5B39" w:rsidRDefault="003E291B" w:rsidP="007816D6">
      <w:pPr>
        <w:numPr>
          <w:ilvl w:val="0"/>
          <w:numId w:val="46"/>
        </w:numPr>
        <w:tabs>
          <w:tab w:val="left" w:pos="426"/>
        </w:tabs>
        <w:spacing w:after="0" w:line="276" w:lineRule="auto"/>
        <w:ind w:left="0" w:firstLine="0"/>
        <w:contextualSpacing/>
        <w:jc w:val="both"/>
        <w:rPr>
          <w:rFonts w:asciiTheme="majorHAnsi" w:hAnsiTheme="majorHAnsi" w:cstheme="majorHAnsi"/>
          <w:b/>
          <w:sz w:val="24"/>
          <w:szCs w:val="24"/>
          <w:lang w:val="ro-MD"/>
        </w:rPr>
      </w:pPr>
      <w:r w:rsidRPr="009E5B39">
        <w:rPr>
          <w:rFonts w:asciiTheme="majorHAnsi" w:hAnsiTheme="majorHAnsi" w:cstheme="majorHAnsi"/>
          <w:sz w:val="24"/>
          <w:szCs w:val="24"/>
          <w:lang w:val="ro-MD"/>
        </w:rPr>
        <w:t>A/C 171-c/21 din 14.06.2021, SRL „Exfactor</w:t>
      </w:r>
      <w:r w:rsidR="003A2CC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Grup”, str. Vasile Lupu, 28, pentru construirea ansamblului rezidențial cu parcare auto subterană, încăperi comerciale, prestări servicii și unei grădinițe de copii, cu regim pe verticală 3S+P+11E și 3S+p+14E. Conform </w:t>
      </w:r>
      <w:r w:rsidR="003A2CC3" w:rsidRPr="009E5B39">
        <w:rPr>
          <w:rFonts w:asciiTheme="majorHAnsi" w:hAnsiTheme="majorHAnsi" w:cstheme="majorHAnsi"/>
          <w:sz w:val="24"/>
          <w:szCs w:val="24"/>
          <w:lang w:val="ro-MD"/>
        </w:rPr>
        <w:t>D</w:t>
      </w:r>
      <w:r w:rsidRPr="009E5B39">
        <w:rPr>
          <w:rFonts w:asciiTheme="majorHAnsi" w:hAnsiTheme="majorHAnsi" w:cstheme="majorHAnsi"/>
          <w:sz w:val="24"/>
          <w:szCs w:val="24"/>
          <w:lang w:val="ro-MD"/>
        </w:rPr>
        <w:t>eciziei CMC nr.2/9 din 05.02.2019</w:t>
      </w:r>
      <w:r w:rsidR="003A2CC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 fost aprobat Planul urbanistic </w:t>
      </w:r>
      <w:r w:rsidR="003A2CC3" w:rsidRPr="009E5B39">
        <w:rPr>
          <w:rFonts w:asciiTheme="majorHAnsi" w:hAnsiTheme="majorHAnsi" w:cstheme="majorHAnsi"/>
          <w:sz w:val="24"/>
          <w:szCs w:val="24"/>
          <w:lang w:val="ro-MD"/>
        </w:rPr>
        <w:t>z</w:t>
      </w:r>
      <w:r w:rsidRPr="009E5B39">
        <w:rPr>
          <w:rFonts w:asciiTheme="majorHAnsi" w:hAnsiTheme="majorHAnsi" w:cstheme="majorHAnsi"/>
          <w:sz w:val="24"/>
          <w:szCs w:val="24"/>
          <w:lang w:val="ro-MD"/>
        </w:rPr>
        <w:t xml:space="preserve">onal privind valorificarea terenului cu nr. cad. 0100515519 și operate modificări în </w:t>
      </w:r>
      <w:r w:rsidR="003A2CC3" w:rsidRPr="009E5B39">
        <w:rPr>
          <w:rFonts w:asciiTheme="majorHAnsi" w:hAnsiTheme="majorHAnsi" w:cstheme="majorHAnsi"/>
          <w:sz w:val="24"/>
          <w:szCs w:val="24"/>
          <w:lang w:val="ro-MD"/>
        </w:rPr>
        <w:t>R</w:t>
      </w:r>
      <w:r w:rsidRPr="009E5B39">
        <w:rPr>
          <w:rFonts w:asciiTheme="majorHAnsi" w:hAnsiTheme="majorHAnsi" w:cstheme="majorHAnsi"/>
          <w:sz w:val="24"/>
          <w:szCs w:val="24"/>
          <w:lang w:val="ro-MD"/>
        </w:rPr>
        <w:t>egulamentul local de urbanism, în vederea schimbării codului de reglementare urbanistică  din „Re”(zona de revitalizare) în codul „R7</w:t>
      </w:r>
      <w:r w:rsidR="003A2CC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(zona rezidențială cu densitate medie) și parțial codul „S”(cu funcțiuni speciale)</w:t>
      </w:r>
      <w:r w:rsidR="003A2CC3" w:rsidRPr="009E5B39">
        <w:rPr>
          <w:rFonts w:asciiTheme="majorHAnsi" w:hAnsiTheme="majorHAnsi" w:cstheme="majorHAnsi"/>
          <w:sz w:val="24"/>
          <w:szCs w:val="24"/>
          <w:lang w:val="ro-MD"/>
        </w:rPr>
        <w:t xml:space="preserve"> - </w:t>
      </w:r>
      <w:r w:rsidRPr="009E5B39">
        <w:rPr>
          <w:rFonts w:asciiTheme="majorHAnsi" w:hAnsiTheme="majorHAnsi" w:cstheme="majorHAnsi"/>
          <w:sz w:val="24"/>
          <w:szCs w:val="24"/>
          <w:lang w:val="ro-MD"/>
        </w:rPr>
        <w:t xml:space="preserve">construirea unei grădinițe; </w:t>
      </w:r>
    </w:p>
    <w:p w14:paraId="3D0BD21C" w14:textId="019C28E3" w:rsidR="003E291B" w:rsidRPr="009E5B39" w:rsidRDefault="003E291B" w:rsidP="007816D6">
      <w:pPr>
        <w:numPr>
          <w:ilvl w:val="0"/>
          <w:numId w:val="46"/>
        </w:numPr>
        <w:tabs>
          <w:tab w:val="left" w:pos="426"/>
        </w:tabs>
        <w:spacing w:after="0" w:line="276" w:lineRule="auto"/>
        <w:ind w:left="0" w:firstLine="0"/>
        <w:contextualSpacing/>
        <w:jc w:val="both"/>
        <w:rPr>
          <w:rFonts w:asciiTheme="majorHAnsi" w:hAnsiTheme="majorHAnsi" w:cstheme="majorHAnsi"/>
          <w:b/>
          <w:sz w:val="24"/>
          <w:szCs w:val="24"/>
          <w:lang w:val="ro-MD"/>
        </w:rPr>
      </w:pPr>
      <w:r w:rsidRPr="009E5B39">
        <w:rPr>
          <w:rFonts w:asciiTheme="majorHAnsi" w:hAnsiTheme="majorHAnsi" w:cstheme="majorHAnsi"/>
          <w:sz w:val="24"/>
          <w:szCs w:val="24"/>
          <w:lang w:val="ro-MD"/>
        </w:rPr>
        <w:t>A/C 328-c/21 din 19.08.2021, SRL „Volare-Tur”, supr</w:t>
      </w:r>
      <w:r w:rsidR="003A2CC3" w:rsidRPr="009E5B39">
        <w:rPr>
          <w:rFonts w:asciiTheme="majorHAnsi" w:hAnsiTheme="majorHAnsi" w:cstheme="majorHAnsi"/>
          <w:sz w:val="24"/>
          <w:szCs w:val="24"/>
          <w:lang w:val="ro-MD"/>
        </w:rPr>
        <w:t>afața de</w:t>
      </w:r>
      <w:r w:rsidRPr="009E5B39">
        <w:rPr>
          <w:rFonts w:asciiTheme="majorHAnsi" w:hAnsiTheme="majorHAnsi" w:cstheme="majorHAnsi"/>
          <w:sz w:val="24"/>
          <w:szCs w:val="24"/>
          <w:lang w:val="ro-MD"/>
        </w:rPr>
        <w:t xml:space="preserve"> 0,2167 h, pentru construirea unui bloc de locuințe cu încăperi comerciale și parcare auto subterană, cu regimul de înălțime S+2D+P+11E și S+2D+P+14E, prin comasarea a două terenuri proprietate a solicitantului, cu nr. cad. 011423519, str. </w:t>
      </w:r>
      <w:r w:rsidR="003A2CC3" w:rsidRPr="009E5B39">
        <w:rPr>
          <w:rFonts w:asciiTheme="majorHAnsi" w:hAnsiTheme="majorHAnsi" w:cstheme="majorHAnsi"/>
          <w:sz w:val="24"/>
          <w:szCs w:val="24"/>
          <w:lang w:val="ro-MD"/>
        </w:rPr>
        <w:t>b</w:t>
      </w:r>
      <w:r w:rsidRPr="009E5B39">
        <w:rPr>
          <w:rFonts w:asciiTheme="majorHAnsi" w:hAnsiTheme="majorHAnsi" w:cstheme="majorHAnsi"/>
          <w:sz w:val="24"/>
          <w:szCs w:val="24"/>
          <w:lang w:val="ro-MD"/>
        </w:rPr>
        <w:t>d</w:t>
      </w:r>
      <w:r w:rsidR="003A2CC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Renașterii Naționale, 19, și nr. cad. 0100423534, </w:t>
      </w:r>
      <w:r w:rsidR="003A2CC3" w:rsidRPr="009E5B39">
        <w:rPr>
          <w:rFonts w:asciiTheme="majorHAnsi" w:hAnsiTheme="majorHAnsi" w:cstheme="majorHAnsi"/>
          <w:sz w:val="24"/>
          <w:szCs w:val="24"/>
          <w:lang w:val="ro-MD"/>
        </w:rPr>
        <w:t>s</w:t>
      </w:r>
      <w:r w:rsidRPr="009E5B39">
        <w:rPr>
          <w:rFonts w:asciiTheme="majorHAnsi" w:hAnsiTheme="majorHAnsi" w:cstheme="majorHAnsi"/>
          <w:sz w:val="24"/>
          <w:szCs w:val="24"/>
          <w:lang w:val="ro-MD"/>
        </w:rPr>
        <w:t>tr. Pietrăriei, 15, a fost eliberată autorizația de construire a blocului locativ pe terenul cu nr. cad. 0100423536.  Potrivit PUZ aprobat, terenurile private sunt amplasate parțial în zona „C”(comercială, birouri, construcții cu nivel mic) și parțial în zona „R7”(construcții rezidențiale cu densitate medie, locuințe cu nivel înalte). Fără a ține cont de cele menționate</w:t>
      </w:r>
      <w:r w:rsidR="003A2CC3"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00B51C4E" w:rsidRPr="009E5B39">
        <w:rPr>
          <w:rFonts w:asciiTheme="majorHAnsi" w:hAnsiTheme="majorHAnsi" w:cstheme="majorHAnsi"/>
          <w:sz w:val="24"/>
          <w:szCs w:val="24"/>
          <w:lang w:val="ro-MD"/>
        </w:rPr>
        <w:t xml:space="preserve">APL </w:t>
      </w:r>
      <w:r w:rsidRPr="009E5B39">
        <w:rPr>
          <w:rFonts w:asciiTheme="majorHAnsi" w:hAnsiTheme="majorHAnsi" w:cstheme="majorHAnsi"/>
          <w:sz w:val="24"/>
          <w:szCs w:val="24"/>
          <w:lang w:val="ro-MD"/>
        </w:rPr>
        <w:t>a eliberat A/C pentru construirea blocului locativ  P+11E și P+14E, fără a efectua analize complexe ale zonelor de intervenție și fără a propune soluții generale de infrastructură în condițiile modificărilor propuse;</w:t>
      </w:r>
    </w:p>
    <w:p w14:paraId="09884109" w14:textId="5ED94017" w:rsidR="003E291B" w:rsidRPr="009E5B39" w:rsidRDefault="003E291B" w:rsidP="007816D6">
      <w:pPr>
        <w:numPr>
          <w:ilvl w:val="0"/>
          <w:numId w:val="46"/>
        </w:numPr>
        <w:tabs>
          <w:tab w:val="left" w:pos="426"/>
        </w:tabs>
        <w:spacing w:after="0" w:line="276" w:lineRule="auto"/>
        <w:ind w:left="0" w:firstLine="0"/>
        <w:contextualSpacing/>
        <w:jc w:val="both"/>
        <w:rPr>
          <w:rFonts w:asciiTheme="majorHAnsi" w:hAnsiTheme="majorHAnsi" w:cstheme="majorHAnsi"/>
          <w:b/>
          <w:sz w:val="24"/>
          <w:szCs w:val="24"/>
          <w:lang w:val="ro-MD"/>
        </w:rPr>
      </w:pPr>
      <w:r w:rsidRPr="009E5B39">
        <w:rPr>
          <w:rFonts w:asciiTheme="majorHAnsi" w:hAnsiTheme="majorHAnsi" w:cstheme="majorHAnsi"/>
          <w:sz w:val="24"/>
          <w:szCs w:val="24"/>
          <w:lang w:val="ro-MD"/>
        </w:rPr>
        <w:t>A/C 272-c din 04.08.2021, SRL „Gonvaro-Con”, str. Vovințeni-Gheorghe Codreanu”, supr</w:t>
      </w:r>
      <w:r w:rsidR="003A2CC3" w:rsidRPr="009E5B39">
        <w:rPr>
          <w:rFonts w:asciiTheme="majorHAnsi" w:hAnsiTheme="majorHAnsi" w:cstheme="majorHAnsi"/>
          <w:sz w:val="24"/>
          <w:szCs w:val="24"/>
          <w:lang w:val="ro-MD"/>
        </w:rPr>
        <w:t>afața de</w:t>
      </w:r>
      <w:r w:rsidRPr="009E5B39">
        <w:rPr>
          <w:rFonts w:asciiTheme="majorHAnsi" w:hAnsiTheme="majorHAnsi" w:cstheme="majorHAnsi"/>
          <w:sz w:val="24"/>
          <w:szCs w:val="24"/>
          <w:lang w:val="ro-MD"/>
        </w:rPr>
        <w:t xml:space="preserve"> 0,4437 ha, pentru construirea unui ansamblu rezidențial S+P+6E+M pe terenurile cu nr. cad. 0100522485; 0100522572; 0100522625; 0100522484 (după comasare nr. cad. 0100522768). Conform </w:t>
      </w:r>
      <w:r w:rsidR="00600A51" w:rsidRPr="009E5B39">
        <w:rPr>
          <w:rFonts w:asciiTheme="majorHAnsi" w:hAnsiTheme="majorHAnsi" w:cstheme="majorHAnsi"/>
          <w:sz w:val="24"/>
          <w:szCs w:val="24"/>
          <w:lang w:val="ro-MD"/>
        </w:rPr>
        <w:t>P</w:t>
      </w:r>
      <w:r w:rsidRPr="009E5B39">
        <w:rPr>
          <w:rFonts w:asciiTheme="majorHAnsi" w:hAnsiTheme="majorHAnsi" w:cstheme="majorHAnsi"/>
          <w:sz w:val="24"/>
          <w:szCs w:val="24"/>
          <w:lang w:val="ro-MD"/>
        </w:rPr>
        <w:t>lanului urbanistic general</w:t>
      </w:r>
      <w:r w:rsidR="00600A5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aprobat prin decizia CMC nr.68/1-2 din 22.03.2007, si </w:t>
      </w:r>
      <w:r w:rsidR="00600A51" w:rsidRPr="009E5B39">
        <w:rPr>
          <w:rFonts w:asciiTheme="majorHAnsi" w:hAnsiTheme="majorHAnsi" w:cstheme="majorHAnsi"/>
          <w:sz w:val="24"/>
          <w:szCs w:val="24"/>
          <w:lang w:val="ro-MD"/>
        </w:rPr>
        <w:t>R</w:t>
      </w:r>
      <w:r w:rsidRPr="009E5B39">
        <w:rPr>
          <w:rFonts w:asciiTheme="majorHAnsi" w:hAnsiTheme="majorHAnsi" w:cstheme="majorHAnsi"/>
          <w:sz w:val="24"/>
          <w:szCs w:val="24"/>
          <w:lang w:val="ro-MD"/>
        </w:rPr>
        <w:t>egulamentul</w:t>
      </w:r>
      <w:r w:rsidR="00600A51" w:rsidRPr="009E5B39">
        <w:rPr>
          <w:rFonts w:asciiTheme="majorHAnsi" w:hAnsiTheme="majorHAnsi" w:cstheme="majorHAnsi"/>
          <w:sz w:val="24"/>
          <w:szCs w:val="24"/>
          <w:lang w:val="ro-MD"/>
        </w:rPr>
        <w:t>ui</w:t>
      </w:r>
      <w:r w:rsidRPr="009E5B39">
        <w:rPr>
          <w:rFonts w:asciiTheme="majorHAnsi" w:hAnsiTheme="majorHAnsi" w:cstheme="majorHAnsi"/>
          <w:sz w:val="24"/>
          <w:szCs w:val="24"/>
          <w:lang w:val="ro-MD"/>
        </w:rPr>
        <w:t xml:space="preserve"> local de urbanism</w:t>
      </w:r>
      <w:r w:rsidR="00600A5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aprobat prin </w:t>
      </w:r>
      <w:r w:rsidR="00600A51" w:rsidRPr="009E5B39">
        <w:rPr>
          <w:rFonts w:asciiTheme="majorHAnsi" w:hAnsiTheme="majorHAnsi" w:cstheme="majorHAnsi"/>
          <w:sz w:val="24"/>
          <w:szCs w:val="24"/>
          <w:lang w:val="ro-MD"/>
        </w:rPr>
        <w:t>D</w:t>
      </w:r>
      <w:r w:rsidRPr="009E5B39">
        <w:rPr>
          <w:rFonts w:asciiTheme="majorHAnsi" w:hAnsiTheme="majorHAnsi" w:cstheme="majorHAnsi"/>
          <w:sz w:val="24"/>
          <w:szCs w:val="24"/>
          <w:lang w:val="ro-MD"/>
        </w:rPr>
        <w:t>ecizia CMC nr. 22/40 din 25.12.2008</w:t>
      </w:r>
      <w:r w:rsidR="00600A5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imobilul este situat în zona rezidențială cu codul de urbanistică „Re”(zona de revitalizare) și R3 (rezidențială, dar cu densitate redusă). Astfel</w:t>
      </w:r>
      <w:r w:rsidR="00600A5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conform </w:t>
      </w:r>
      <w:r w:rsidR="00600A51" w:rsidRPr="009E5B39">
        <w:rPr>
          <w:rFonts w:asciiTheme="majorHAnsi" w:hAnsiTheme="majorHAnsi" w:cstheme="majorHAnsi"/>
          <w:sz w:val="24"/>
          <w:szCs w:val="24"/>
          <w:lang w:val="ro-MD"/>
        </w:rPr>
        <w:t>D</w:t>
      </w:r>
      <w:r w:rsidRPr="009E5B39">
        <w:rPr>
          <w:rFonts w:asciiTheme="majorHAnsi" w:hAnsiTheme="majorHAnsi" w:cstheme="majorHAnsi"/>
          <w:sz w:val="24"/>
          <w:szCs w:val="24"/>
          <w:lang w:val="ro-MD"/>
        </w:rPr>
        <w:t>eciziei CMC nr</w:t>
      </w:r>
      <w:r w:rsidR="00600A5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11/20 din 18.12.2014</w:t>
      </w:r>
      <w:r w:rsidR="00600A5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au fost operate modificări la </w:t>
      </w:r>
      <w:r w:rsidR="00600A51" w:rsidRPr="009E5B39">
        <w:rPr>
          <w:rFonts w:asciiTheme="majorHAnsi" w:hAnsiTheme="majorHAnsi" w:cstheme="majorHAnsi"/>
          <w:sz w:val="24"/>
          <w:szCs w:val="24"/>
          <w:lang w:val="ro-MD"/>
        </w:rPr>
        <w:t>R</w:t>
      </w:r>
      <w:r w:rsidRPr="009E5B39">
        <w:rPr>
          <w:rFonts w:asciiTheme="majorHAnsi" w:hAnsiTheme="majorHAnsi" w:cstheme="majorHAnsi"/>
          <w:sz w:val="24"/>
          <w:szCs w:val="24"/>
          <w:lang w:val="ro-MD"/>
        </w:rPr>
        <w:t>egulamentul local de urbanism, din zon</w:t>
      </w:r>
      <w:r w:rsidR="00600A51" w:rsidRPr="009E5B39">
        <w:rPr>
          <w:rFonts w:asciiTheme="majorHAnsi" w:hAnsiTheme="majorHAnsi" w:cstheme="majorHAnsi"/>
          <w:sz w:val="24"/>
          <w:szCs w:val="24"/>
          <w:lang w:val="ro-MD"/>
        </w:rPr>
        <w:t>ele</w:t>
      </w:r>
      <w:r w:rsidRPr="009E5B39">
        <w:rPr>
          <w:rFonts w:asciiTheme="majorHAnsi" w:hAnsiTheme="majorHAnsi" w:cstheme="majorHAnsi"/>
          <w:sz w:val="24"/>
          <w:szCs w:val="24"/>
          <w:lang w:val="ro-MD"/>
        </w:rPr>
        <w:t xml:space="preserve"> „Re</w:t>
      </w:r>
      <w:r w:rsidR="00600A5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și „R3” în zona cu codul „R6”(rezidențială, cu densitate medie), de la P+4E până la P+9E;</w:t>
      </w:r>
    </w:p>
    <w:p w14:paraId="4B33A6F9" w14:textId="72532FEC" w:rsidR="003E291B" w:rsidRPr="009E5B39" w:rsidRDefault="003E291B" w:rsidP="007816D6">
      <w:pPr>
        <w:numPr>
          <w:ilvl w:val="0"/>
          <w:numId w:val="46"/>
        </w:numPr>
        <w:tabs>
          <w:tab w:val="left" w:pos="426"/>
        </w:tabs>
        <w:spacing w:after="0" w:line="276" w:lineRule="auto"/>
        <w:ind w:left="0" w:firstLine="0"/>
        <w:contextualSpacing/>
        <w:jc w:val="both"/>
        <w:rPr>
          <w:rFonts w:asciiTheme="majorHAnsi" w:hAnsiTheme="majorHAnsi" w:cstheme="majorHAnsi"/>
          <w:b/>
          <w:sz w:val="24"/>
          <w:szCs w:val="24"/>
          <w:lang w:val="ro-MD"/>
        </w:rPr>
      </w:pPr>
      <w:r w:rsidRPr="009E5B39">
        <w:rPr>
          <w:rFonts w:asciiTheme="majorHAnsi" w:hAnsiTheme="majorHAnsi" w:cstheme="majorHAnsi"/>
          <w:sz w:val="24"/>
          <w:szCs w:val="24"/>
          <w:lang w:val="ro-MD"/>
        </w:rPr>
        <w:t>A/C 213-c/21 din 12.07.2021, SRL „Blue Sky”, str. Burebista 110/1 și bd. Dacia 49/6, pentru construirea a 4 blocuri locative, cu obiective comerciale,  grădinița de copii, pe terenurile cu nr. cad. 0100114119; 0100114238.</w:t>
      </w:r>
      <w:r w:rsidRPr="009E5B39">
        <w:rPr>
          <w:rFonts w:asciiTheme="majorHAnsi" w:hAnsiTheme="majorHAnsi" w:cstheme="majorHAnsi"/>
          <w:b/>
          <w:sz w:val="24"/>
          <w:szCs w:val="24"/>
          <w:lang w:val="ro-MD"/>
        </w:rPr>
        <w:t xml:space="preserve"> </w:t>
      </w:r>
      <w:r w:rsidRPr="009E5B39">
        <w:rPr>
          <w:rFonts w:asciiTheme="majorHAnsi" w:hAnsiTheme="majorHAnsi" w:cstheme="majorHAnsi"/>
          <w:sz w:val="24"/>
          <w:szCs w:val="24"/>
          <w:lang w:val="ro-MD"/>
        </w:rPr>
        <w:t xml:space="preserve">Conform </w:t>
      </w:r>
      <w:r w:rsidR="00600A51" w:rsidRPr="009E5B39">
        <w:rPr>
          <w:rFonts w:asciiTheme="majorHAnsi" w:hAnsiTheme="majorHAnsi" w:cstheme="majorHAnsi"/>
          <w:sz w:val="24"/>
          <w:szCs w:val="24"/>
          <w:lang w:val="ro-MD"/>
        </w:rPr>
        <w:t>D</w:t>
      </w:r>
      <w:r w:rsidRPr="009E5B39">
        <w:rPr>
          <w:rFonts w:asciiTheme="majorHAnsi" w:hAnsiTheme="majorHAnsi" w:cstheme="majorHAnsi"/>
          <w:sz w:val="24"/>
          <w:szCs w:val="24"/>
          <w:lang w:val="ro-MD"/>
        </w:rPr>
        <w:t>eciziei CMC nr. 2/27 din 02.04.2021 „Cu privire la aprobarea Planului urbanistic zonal pentru terenurile cuprinse în perimetrul străzilor Burebista-Sarmisegetuza-</w:t>
      </w:r>
      <w:r w:rsidR="00600A51" w:rsidRPr="009E5B39">
        <w:rPr>
          <w:rFonts w:asciiTheme="majorHAnsi" w:hAnsiTheme="majorHAnsi" w:cstheme="majorHAnsi"/>
          <w:sz w:val="24"/>
          <w:szCs w:val="24"/>
          <w:lang w:val="ro-MD"/>
        </w:rPr>
        <w:t>G</w:t>
      </w:r>
      <w:r w:rsidRPr="009E5B39">
        <w:rPr>
          <w:rFonts w:asciiTheme="majorHAnsi" w:hAnsiTheme="majorHAnsi" w:cstheme="majorHAnsi"/>
          <w:sz w:val="24"/>
          <w:szCs w:val="24"/>
          <w:lang w:val="ro-MD"/>
        </w:rPr>
        <w:t>rădina Botanica</w:t>
      </w:r>
      <w:r w:rsidR="00600A5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w:t>
      </w:r>
      <w:r w:rsidR="00600A51" w:rsidRPr="009E5B39">
        <w:rPr>
          <w:rFonts w:asciiTheme="majorHAnsi" w:hAnsiTheme="majorHAnsi" w:cstheme="majorHAnsi"/>
          <w:sz w:val="24"/>
          <w:szCs w:val="24"/>
          <w:lang w:val="ro-MD"/>
        </w:rPr>
        <w:t>au fost</w:t>
      </w:r>
      <w:r w:rsidRPr="009E5B39">
        <w:rPr>
          <w:rFonts w:asciiTheme="majorHAnsi" w:hAnsiTheme="majorHAnsi" w:cstheme="majorHAnsi"/>
          <w:sz w:val="24"/>
          <w:szCs w:val="24"/>
          <w:lang w:val="ro-MD"/>
        </w:rPr>
        <w:t xml:space="preserve"> operate modificări la Regulamentul local de urbanism mun. Chișinău</w:t>
      </w:r>
      <w:r w:rsidR="00600A51" w:rsidRPr="009E5B39">
        <w:rPr>
          <w:rFonts w:asciiTheme="majorHAnsi" w:hAnsiTheme="majorHAnsi" w:cstheme="majorHAnsi"/>
          <w:sz w:val="24"/>
          <w:szCs w:val="24"/>
          <w:lang w:val="ro-MD"/>
        </w:rPr>
        <w:t>,</w:t>
      </w:r>
      <w:r w:rsidRPr="009E5B39">
        <w:rPr>
          <w:rFonts w:asciiTheme="majorHAnsi" w:hAnsiTheme="majorHAnsi" w:cstheme="majorHAnsi"/>
          <w:sz w:val="24"/>
          <w:szCs w:val="24"/>
          <w:lang w:val="ro-MD"/>
        </w:rPr>
        <w:t xml:space="preserve"> aprobat prin </w:t>
      </w:r>
      <w:r w:rsidR="00600A51" w:rsidRPr="009E5B39">
        <w:rPr>
          <w:rFonts w:asciiTheme="majorHAnsi" w:hAnsiTheme="majorHAnsi" w:cstheme="majorHAnsi"/>
          <w:sz w:val="24"/>
          <w:szCs w:val="24"/>
          <w:lang w:val="ro-MD"/>
        </w:rPr>
        <w:t>D</w:t>
      </w:r>
      <w:r w:rsidRPr="009E5B39">
        <w:rPr>
          <w:rFonts w:asciiTheme="majorHAnsi" w:hAnsiTheme="majorHAnsi" w:cstheme="majorHAnsi"/>
          <w:sz w:val="24"/>
          <w:szCs w:val="24"/>
          <w:lang w:val="ro-MD"/>
        </w:rPr>
        <w:t>ecizia CMC nr. 22/40 din 25. 12.2008, la terenurile c</w:t>
      </w:r>
      <w:r w:rsidR="00600A51" w:rsidRPr="009E5B39">
        <w:rPr>
          <w:rFonts w:asciiTheme="majorHAnsi" w:hAnsiTheme="majorHAnsi" w:cstheme="majorHAnsi"/>
          <w:sz w:val="24"/>
          <w:szCs w:val="24"/>
          <w:lang w:val="ro-MD"/>
        </w:rPr>
        <w:t>ar</w:t>
      </w:r>
      <w:r w:rsidRPr="009E5B39">
        <w:rPr>
          <w:rFonts w:asciiTheme="majorHAnsi" w:hAnsiTheme="majorHAnsi" w:cstheme="majorHAnsi"/>
          <w:sz w:val="24"/>
          <w:szCs w:val="24"/>
          <w:lang w:val="ro-MD"/>
        </w:rPr>
        <w:t>e sunt amplasate în zona cu cod „C4” (comercială, cu restricții de construcție mare) în zona „R7” (rezidențială)</w:t>
      </w:r>
      <w:r w:rsidR="00600A51" w:rsidRPr="009E5B39">
        <w:rPr>
          <w:rFonts w:asciiTheme="majorHAnsi" w:hAnsiTheme="majorHAnsi" w:cstheme="majorHAnsi"/>
          <w:sz w:val="24"/>
          <w:szCs w:val="24"/>
          <w:lang w:val="ro-MD"/>
        </w:rPr>
        <w:t>.</w:t>
      </w:r>
    </w:p>
    <w:p w14:paraId="17175D20" w14:textId="77777777" w:rsidR="003E291B" w:rsidRPr="009E5B39" w:rsidRDefault="003E291B" w:rsidP="003E291B">
      <w:pPr>
        <w:tabs>
          <w:tab w:val="left" w:pos="0"/>
        </w:tabs>
        <w:spacing w:after="0" w:line="240" w:lineRule="auto"/>
        <w:jc w:val="both"/>
        <w:rPr>
          <w:rFonts w:asciiTheme="majorHAnsi" w:hAnsiTheme="majorHAnsi" w:cstheme="majorHAnsi"/>
          <w:b/>
          <w:sz w:val="28"/>
          <w:szCs w:val="28"/>
          <w:lang w:val="ro-MD"/>
        </w:rPr>
      </w:pPr>
    </w:p>
    <w:p w14:paraId="765C4E64" w14:textId="77777777" w:rsidR="003E291B" w:rsidRPr="009E5B39" w:rsidRDefault="003E291B" w:rsidP="003E291B">
      <w:pPr>
        <w:tabs>
          <w:tab w:val="left" w:pos="0"/>
        </w:tabs>
        <w:spacing w:after="0" w:line="240" w:lineRule="auto"/>
        <w:jc w:val="both"/>
        <w:rPr>
          <w:rFonts w:asciiTheme="majorHAnsi" w:hAnsiTheme="majorHAnsi" w:cstheme="majorHAnsi"/>
          <w:b/>
          <w:sz w:val="28"/>
          <w:szCs w:val="28"/>
          <w:lang w:val="ro-MD"/>
        </w:rPr>
      </w:pPr>
    </w:p>
    <w:p w14:paraId="4E385441" w14:textId="77777777" w:rsidR="003E291B" w:rsidRPr="009E5B39" w:rsidRDefault="003E291B" w:rsidP="003E291B">
      <w:pPr>
        <w:tabs>
          <w:tab w:val="left" w:pos="0"/>
        </w:tabs>
        <w:spacing w:after="0" w:line="240" w:lineRule="auto"/>
        <w:jc w:val="both"/>
        <w:rPr>
          <w:rFonts w:asciiTheme="majorHAnsi" w:hAnsiTheme="majorHAnsi" w:cstheme="majorHAnsi"/>
          <w:b/>
          <w:sz w:val="28"/>
          <w:szCs w:val="28"/>
          <w:lang w:val="ro-MD"/>
        </w:rPr>
        <w:sectPr w:rsidR="003E291B" w:rsidRPr="009E5B39" w:rsidSect="00837BD6">
          <w:pgSz w:w="11907" w:h="16840" w:code="9"/>
          <w:pgMar w:top="1134" w:right="851" w:bottom="1134" w:left="1701" w:header="709" w:footer="709" w:gutter="0"/>
          <w:cols w:space="708"/>
          <w:docGrid w:linePitch="360"/>
        </w:sectPr>
      </w:pPr>
    </w:p>
    <w:p w14:paraId="62051A40" w14:textId="77777777" w:rsidR="003E291B" w:rsidRPr="009E5B39" w:rsidRDefault="003E291B" w:rsidP="003E291B">
      <w:pPr>
        <w:keepNext/>
        <w:keepLines/>
        <w:spacing w:after="0"/>
        <w:jc w:val="right"/>
        <w:outlineLvl w:val="0"/>
        <w:rPr>
          <w:rFonts w:asciiTheme="majorHAnsi" w:eastAsiaTheme="majorEastAsia" w:hAnsiTheme="majorHAnsi" w:cstheme="majorHAnsi"/>
          <w:b/>
          <w:sz w:val="32"/>
          <w:szCs w:val="32"/>
          <w:lang w:val="ro-MD"/>
        </w:rPr>
      </w:pPr>
      <w:bookmarkStart w:id="36" w:name="_Toc116026901"/>
      <w:r w:rsidRPr="009E5B39">
        <w:rPr>
          <w:rFonts w:asciiTheme="majorHAnsi" w:eastAsiaTheme="majorEastAsia" w:hAnsiTheme="majorHAnsi" w:cstheme="majorHAnsi"/>
          <w:b/>
          <w:sz w:val="32"/>
          <w:szCs w:val="32"/>
          <w:lang w:val="ro-MD"/>
        </w:rPr>
        <w:t>Anexa nr.19</w:t>
      </w:r>
      <w:bookmarkEnd w:id="36"/>
    </w:p>
    <w:p w14:paraId="78CD04E1" w14:textId="77777777" w:rsidR="003E291B" w:rsidRPr="009E5B39" w:rsidRDefault="003E291B" w:rsidP="003E291B">
      <w:pPr>
        <w:spacing w:after="0" w:line="276" w:lineRule="auto"/>
        <w:ind w:left="1080"/>
        <w:contextualSpacing/>
        <w:jc w:val="center"/>
        <w:rPr>
          <w:rFonts w:asciiTheme="majorHAnsi" w:hAnsiTheme="majorHAnsi" w:cstheme="majorHAnsi"/>
          <w:b/>
          <w:bCs/>
          <w:i/>
          <w:iCs/>
          <w:sz w:val="24"/>
          <w:szCs w:val="24"/>
          <w:lang w:val="ro-MD"/>
        </w:rPr>
      </w:pPr>
      <w:r w:rsidRPr="009E5B39">
        <w:rPr>
          <w:rFonts w:asciiTheme="majorHAnsi" w:hAnsiTheme="majorHAnsi" w:cstheme="majorHAnsi"/>
          <w:b/>
          <w:bCs/>
          <w:i/>
          <w:iCs/>
          <w:sz w:val="24"/>
          <w:szCs w:val="24"/>
          <w:lang w:val="ro-MD"/>
        </w:rPr>
        <w:t>Autorizațiile de construcție verificate</w:t>
      </w:r>
    </w:p>
    <w:tbl>
      <w:tblPr>
        <w:tblStyle w:val="TableGrid"/>
        <w:tblW w:w="14913" w:type="dxa"/>
        <w:tblLook w:val="04A0" w:firstRow="1" w:lastRow="0" w:firstColumn="1" w:lastColumn="0" w:noHBand="0" w:noVBand="1"/>
      </w:tblPr>
      <w:tblGrid>
        <w:gridCol w:w="726"/>
        <w:gridCol w:w="950"/>
        <w:gridCol w:w="950"/>
        <w:gridCol w:w="1149"/>
        <w:gridCol w:w="1606"/>
        <w:gridCol w:w="1223"/>
        <w:gridCol w:w="1777"/>
        <w:gridCol w:w="878"/>
        <w:gridCol w:w="1424"/>
        <w:gridCol w:w="1361"/>
        <w:gridCol w:w="1559"/>
        <w:gridCol w:w="1310"/>
      </w:tblGrid>
      <w:tr w:rsidR="003E291B" w:rsidRPr="009E5B39" w14:paraId="5D3DBFD0" w14:textId="77777777" w:rsidTr="00092EAE">
        <w:trPr>
          <w:trHeight w:val="20"/>
        </w:trPr>
        <w:tc>
          <w:tcPr>
            <w:tcW w:w="726" w:type="dxa"/>
            <w:vMerge w:val="restart"/>
            <w:hideMark/>
          </w:tcPr>
          <w:p w14:paraId="6C4120B3" w14:textId="75AD8829"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Nr.</w:t>
            </w:r>
            <w:r w:rsidR="0022739D" w:rsidRPr="009E5B39">
              <w:rPr>
                <w:rFonts w:asciiTheme="majorHAnsi" w:hAnsiTheme="majorHAnsi" w:cstheme="majorHAnsi"/>
                <w:bCs/>
                <w:sz w:val="16"/>
                <w:szCs w:val="16"/>
                <w:lang w:val="ro-MD"/>
              </w:rPr>
              <w:t xml:space="preserve"> </w:t>
            </w:r>
            <w:r w:rsidRPr="009E5B39">
              <w:rPr>
                <w:rFonts w:asciiTheme="majorHAnsi" w:hAnsiTheme="majorHAnsi" w:cstheme="majorHAnsi"/>
                <w:bCs/>
                <w:sz w:val="16"/>
                <w:szCs w:val="16"/>
                <w:lang w:val="ro-MD"/>
              </w:rPr>
              <w:t>dosar</w:t>
            </w:r>
          </w:p>
        </w:tc>
        <w:tc>
          <w:tcPr>
            <w:tcW w:w="1900" w:type="dxa"/>
            <w:gridSpan w:val="2"/>
            <w:hideMark/>
          </w:tcPr>
          <w:p w14:paraId="199061B3"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AC</w:t>
            </w:r>
          </w:p>
        </w:tc>
        <w:tc>
          <w:tcPr>
            <w:tcW w:w="1149" w:type="dxa"/>
            <w:vMerge w:val="restart"/>
            <w:hideMark/>
          </w:tcPr>
          <w:p w14:paraId="5300CE71"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 xml:space="preserve">Adresa </w:t>
            </w:r>
          </w:p>
        </w:tc>
        <w:tc>
          <w:tcPr>
            <w:tcW w:w="1606" w:type="dxa"/>
            <w:vMerge w:val="restart"/>
            <w:hideMark/>
          </w:tcPr>
          <w:p w14:paraId="60FCAAA7"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Nr. cadastral</w:t>
            </w:r>
          </w:p>
        </w:tc>
        <w:tc>
          <w:tcPr>
            <w:tcW w:w="1223" w:type="dxa"/>
            <w:vMerge w:val="restart"/>
            <w:hideMark/>
          </w:tcPr>
          <w:p w14:paraId="582BAE32" w14:textId="26BDC725"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Suprafața</w:t>
            </w:r>
            <w:r w:rsidR="00600A51" w:rsidRPr="009E5B39">
              <w:rPr>
                <w:rFonts w:asciiTheme="majorHAnsi" w:hAnsiTheme="majorHAnsi" w:cstheme="majorHAnsi"/>
                <w:bCs/>
                <w:sz w:val="16"/>
                <w:szCs w:val="16"/>
                <w:lang w:val="ro-MD"/>
              </w:rPr>
              <w:t>,</w:t>
            </w:r>
            <w:r w:rsidRPr="009E5B39">
              <w:rPr>
                <w:rFonts w:asciiTheme="majorHAnsi" w:hAnsiTheme="majorHAnsi" w:cstheme="majorHAnsi"/>
                <w:bCs/>
                <w:sz w:val="16"/>
                <w:szCs w:val="16"/>
                <w:lang w:val="ro-MD"/>
              </w:rPr>
              <w:t xml:space="preserve"> ha</w:t>
            </w:r>
          </w:p>
        </w:tc>
        <w:tc>
          <w:tcPr>
            <w:tcW w:w="1777" w:type="dxa"/>
            <w:vMerge w:val="restart"/>
            <w:hideMark/>
          </w:tcPr>
          <w:p w14:paraId="1EC692BA" w14:textId="75CDE33F"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Construcțiile efectuate pe teren proprietate publică în lipsa acordului CMC, inclusiv lipsa contract</w:t>
            </w:r>
            <w:r w:rsidR="00600A51" w:rsidRPr="009E5B39">
              <w:rPr>
                <w:rFonts w:asciiTheme="majorHAnsi" w:hAnsiTheme="majorHAnsi" w:cstheme="majorHAnsi"/>
                <w:bCs/>
                <w:sz w:val="16"/>
                <w:szCs w:val="16"/>
                <w:lang w:val="ro-MD"/>
              </w:rPr>
              <w:t>.</w:t>
            </w:r>
            <w:r w:rsidRPr="009E5B39">
              <w:rPr>
                <w:rFonts w:asciiTheme="majorHAnsi" w:hAnsiTheme="majorHAnsi" w:cstheme="majorHAnsi"/>
                <w:bCs/>
                <w:sz w:val="16"/>
                <w:szCs w:val="16"/>
                <w:lang w:val="ro-MD"/>
              </w:rPr>
              <w:t xml:space="preserve"> de arendă</w:t>
            </w:r>
          </w:p>
        </w:tc>
        <w:tc>
          <w:tcPr>
            <w:tcW w:w="878" w:type="dxa"/>
            <w:vMerge w:val="restart"/>
            <w:hideMark/>
          </w:tcPr>
          <w:p w14:paraId="42F7A5E3"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Autorizații eliberate în baza CUP expirat</w:t>
            </w:r>
          </w:p>
        </w:tc>
        <w:tc>
          <w:tcPr>
            <w:tcW w:w="1424" w:type="dxa"/>
            <w:vMerge w:val="restart"/>
            <w:hideMark/>
          </w:tcPr>
          <w:p w14:paraId="31A3D7C6"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Schimbarea zonei urbanistice terenului în scopul efectuării construcției blocului locativ multietajat</w:t>
            </w:r>
          </w:p>
        </w:tc>
        <w:tc>
          <w:tcPr>
            <w:tcW w:w="1361" w:type="dxa"/>
            <w:vMerge w:val="restart"/>
            <w:hideMark/>
          </w:tcPr>
          <w:p w14:paraId="75998664"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Numărul apartamentelor conform proiectului</w:t>
            </w:r>
          </w:p>
        </w:tc>
        <w:tc>
          <w:tcPr>
            <w:tcW w:w="1559" w:type="dxa"/>
            <w:vMerge w:val="restart"/>
            <w:hideMark/>
          </w:tcPr>
          <w:p w14:paraId="1DC5A4C3"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Nerespectarea POT (procentajul conform autorizației)</w:t>
            </w:r>
          </w:p>
        </w:tc>
        <w:tc>
          <w:tcPr>
            <w:tcW w:w="1310" w:type="dxa"/>
            <w:vMerge w:val="restart"/>
            <w:hideMark/>
          </w:tcPr>
          <w:p w14:paraId="424E9F30"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Numărul de locuri de parcare conform proiectului</w:t>
            </w:r>
          </w:p>
        </w:tc>
      </w:tr>
      <w:tr w:rsidR="003E291B" w:rsidRPr="009E5B39" w14:paraId="60DA3071" w14:textId="77777777" w:rsidTr="00092EAE">
        <w:trPr>
          <w:trHeight w:val="20"/>
        </w:trPr>
        <w:tc>
          <w:tcPr>
            <w:tcW w:w="726" w:type="dxa"/>
            <w:vMerge/>
            <w:hideMark/>
          </w:tcPr>
          <w:p w14:paraId="24F4846D" w14:textId="77777777" w:rsidR="003E291B" w:rsidRPr="009E5B39" w:rsidRDefault="003E291B" w:rsidP="003E291B">
            <w:pPr>
              <w:tabs>
                <w:tab w:val="left" w:pos="0"/>
              </w:tabs>
              <w:jc w:val="both"/>
              <w:rPr>
                <w:rFonts w:asciiTheme="majorHAnsi" w:hAnsiTheme="majorHAnsi" w:cstheme="majorHAnsi"/>
                <w:bCs/>
                <w:sz w:val="16"/>
                <w:szCs w:val="16"/>
                <w:lang w:val="ro-MD"/>
              </w:rPr>
            </w:pPr>
          </w:p>
        </w:tc>
        <w:tc>
          <w:tcPr>
            <w:tcW w:w="950" w:type="dxa"/>
            <w:hideMark/>
          </w:tcPr>
          <w:p w14:paraId="538918B9"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Nr. înregistrării AC</w:t>
            </w:r>
          </w:p>
        </w:tc>
        <w:tc>
          <w:tcPr>
            <w:tcW w:w="950" w:type="dxa"/>
            <w:hideMark/>
          </w:tcPr>
          <w:p w14:paraId="4D8643DA"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Data înregistrării AC</w:t>
            </w:r>
          </w:p>
        </w:tc>
        <w:tc>
          <w:tcPr>
            <w:tcW w:w="1149" w:type="dxa"/>
            <w:vMerge/>
            <w:hideMark/>
          </w:tcPr>
          <w:p w14:paraId="32E5E973" w14:textId="77777777" w:rsidR="003E291B" w:rsidRPr="009E5B39" w:rsidRDefault="003E291B" w:rsidP="003E291B">
            <w:pPr>
              <w:tabs>
                <w:tab w:val="left" w:pos="0"/>
              </w:tabs>
              <w:jc w:val="both"/>
              <w:rPr>
                <w:rFonts w:asciiTheme="majorHAnsi" w:hAnsiTheme="majorHAnsi" w:cstheme="majorHAnsi"/>
                <w:bCs/>
                <w:sz w:val="16"/>
                <w:szCs w:val="16"/>
                <w:lang w:val="ro-MD"/>
              </w:rPr>
            </w:pPr>
          </w:p>
        </w:tc>
        <w:tc>
          <w:tcPr>
            <w:tcW w:w="1606" w:type="dxa"/>
            <w:vMerge/>
            <w:hideMark/>
          </w:tcPr>
          <w:p w14:paraId="39399FCB" w14:textId="77777777" w:rsidR="003E291B" w:rsidRPr="009E5B39" w:rsidRDefault="003E291B" w:rsidP="003E291B">
            <w:pPr>
              <w:tabs>
                <w:tab w:val="left" w:pos="0"/>
              </w:tabs>
              <w:jc w:val="both"/>
              <w:rPr>
                <w:rFonts w:asciiTheme="majorHAnsi" w:hAnsiTheme="majorHAnsi" w:cstheme="majorHAnsi"/>
                <w:bCs/>
                <w:sz w:val="16"/>
                <w:szCs w:val="16"/>
                <w:lang w:val="ro-MD"/>
              </w:rPr>
            </w:pPr>
          </w:p>
        </w:tc>
        <w:tc>
          <w:tcPr>
            <w:tcW w:w="1223" w:type="dxa"/>
            <w:vMerge/>
            <w:hideMark/>
          </w:tcPr>
          <w:p w14:paraId="72B3FF5E" w14:textId="77777777" w:rsidR="003E291B" w:rsidRPr="009E5B39" w:rsidRDefault="003E291B" w:rsidP="003E291B">
            <w:pPr>
              <w:tabs>
                <w:tab w:val="left" w:pos="0"/>
              </w:tabs>
              <w:jc w:val="both"/>
              <w:rPr>
                <w:rFonts w:asciiTheme="majorHAnsi" w:hAnsiTheme="majorHAnsi" w:cstheme="majorHAnsi"/>
                <w:bCs/>
                <w:sz w:val="16"/>
                <w:szCs w:val="16"/>
                <w:lang w:val="ro-MD"/>
              </w:rPr>
            </w:pPr>
          </w:p>
        </w:tc>
        <w:tc>
          <w:tcPr>
            <w:tcW w:w="1777" w:type="dxa"/>
            <w:vMerge/>
            <w:hideMark/>
          </w:tcPr>
          <w:p w14:paraId="7E58A411" w14:textId="77777777" w:rsidR="003E291B" w:rsidRPr="009E5B39" w:rsidRDefault="003E291B" w:rsidP="003E291B">
            <w:pPr>
              <w:tabs>
                <w:tab w:val="left" w:pos="0"/>
              </w:tabs>
              <w:jc w:val="both"/>
              <w:rPr>
                <w:rFonts w:asciiTheme="majorHAnsi" w:hAnsiTheme="majorHAnsi" w:cstheme="majorHAnsi"/>
                <w:bCs/>
                <w:sz w:val="16"/>
                <w:szCs w:val="16"/>
                <w:lang w:val="ro-MD"/>
              </w:rPr>
            </w:pPr>
          </w:p>
        </w:tc>
        <w:tc>
          <w:tcPr>
            <w:tcW w:w="878" w:type="dxa"/>
            <w:vMerge/>
            <w:hideMark/>
          </w:tcPr>
          <w:p w14:paraId="299B282C" w14:textId="77777777" w:rsidR="003E291B" w:rsidRPr="009E5B39" w:rsidRDefault="003E291B" w:rsidP="003E291B">
            <w:pPr>
              <w:tabs>
                <w:tab w:val="left" w:pos="0"/>
              </w:tabs>
              <w:jc w:val="both"/>
              <w:rPr>
                <w:rFonts w:asciiTheme="majorHAnsi" w:hAnsiTheme="majorHAnsi" w:cstheme="majorHAnsi"/>
                <w:bCs/>
                <w:sz w:val="16"/>
                <w:szCs w:val="16"/>
                <w:lang w:val="ro-MD"/>
              </w:rPr>
            </w:pPr>
          </w:p>
        </w:tc>
        <w:tc>
          <w:tcPr>
            <w:tcW w:w="1424" w:type="dxa"/>
            <w:vMerge/>
            <w:hideMark/>
          </w:tcPr>
          <w:p w14:paraId="4060ED89" w14:textId="77777777" w:rsidR="003E291B" w:rsidRPr="009E5B39" w:rsidRDefault="003E291B" w:rsidP="003E291B">
            <w:pPr>
              <w:tabs>
                <w:tab w:val="left" w:pos="0"/>
              </w:tabs>
              <w:jc w:val="both"/>
              <w:rPr>
                <w:rFonts w:asciiTheme="majorHAnsi" w:hAnsiTheme="majorHAnsi" w:cstheme="majorHAnsi"/>
                <w:bCs/>
                <w:sz w:val="16"/>
                <w:szCs w:val="16"/>
                <w:lang w:val="ro-MD"/>
              </w:rPr>
            </w:pPr>
          </w:p>
        </w:tc>
        <w:tc>
          <w:tcPr>
            <w:tcW w:w="1361" w:type="dxa"/>
            <w:vMerge/>
            <w:hideMark/>
          </w:tcPr>
          <w:p w14:paraId="61857A88" w14:textId="77777777" w:rsidR="003E291B" w:rsidRPr="009E5B39" w:rsidRDefault="003E291B" w:rsidP="003E291B">
            <w:pPr>
              <w:tabs>
                <w:tab w:val="left" w:pos="0"/>
              </w:tabs>
              <w:jc w:val="both"/>
              <w:rPr>
                <w:rFonts w:asciiTheme="majorHAnsi" w:hAnsiTheme="majorHAnsi" w:cstheme="majorHAnsi"/>
                <w:bCs/>
                <w:sz w:val="16"/>
                <w:szCs w:val="16"/>
                <w:lang w:val="ro-MD"/>
              </w:rPr>
            </w:pPr>
          </w:p>
        </w:tc>
        <w:tc>
          <w:tcPr>
            <w:tcW w:w="1559" w:type="dxa"/>
            <w:vMerge/>
            <w:hideMark/>
          </w:tcPr>
          <w:p w14:paraId="58BAA479" w14:textId="77777777" w:rsidR="003E291B" w:rsidRPr="009E5B39" w:rsidRDefault="003E291B" w:rsidP="003E291B">
            <w:pPr>
              <w:tabs>
                <w:tab w:val="left" w:pos="0"/>
              </w:tabs>
              <w:jc w:val="both"/>
              <w:rPr>
                <w:rFonts w:asciiTheme="majorHAnsi" w:hAnsiTheme="majorHAnsi" w:cstheme="majorHAnsi"/>
                <w:bCs/>
                <w:sz w:val="16"/>
                <w:szCs w:val="16"/>
                <w:lang w:val="ro-MD"/>
              </w:rPr>
            </w:pPr>
          </w:p>
        </w:tc>
        <w:tc>
          <w:tcPr>
            <w:tcW w:w="1310" w:type="dxa"/>
            <w:vMerge/>
            <w:hideMark/>
          </w:tcPr>
          <w:p w14:paraId="0B449379" w14:textId="77777777" w:rsidR="003E291B" w:rsidRPr="009E5B39" w:rsidRDefault="003E291B" w:rsidP="003E291B">
            <w:pPr>
              <w:tabs>
                <w:tab w:val="left" w:pos="0"/>
              </w:tabs>
              <w:jc w:val="both"/>
              <w:rPr>
                <w:rFonts w:asciiTheme="majorHAnsi" w:hAnsiTheme="majorHAnsi" w:cstheme="majorHAnsi"/>
                <w:bCs/>
                <w:sz w:val="16"/>
                <w:szCs w:val="16"/>
                <w:lang w:val="ro-MD"/>
              </w:rPr>
            </w:pPr>
          </w:p>
        </w:tc>
      </w:tr>
      <w:tr w:rsidR="003E291B" w:rsidRPr="009E5B39" w14:paraId="1354ACAB" w14:textId="77777777" w:rsidTr="00092EAE">
        <w:trPr>
          <w:trHeight w:val="20"/>
        </w:trPr>
        <w:tc>
          <w:tcPr>
            <w:tcW w:w="726" w:type="dxa"/>
            <w:hideMark/>
          </w:tcPr>
          <w:p w14:paraId="2D8154B1"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1</w:t>
            </w:r>
          </w:p>
        </w:tc>
        <w:tc>
          <w:tcPr>
            <w:tcW w:w="950" w:type="dxa"/>
            <w:hideMark/>
          </w:tcPr>
          <w:p w14:paraId="559AC485"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2</w:t>
            </w:r>
          </w:p>
        </w:tc>
        <w:tc>
          <w:tcPr>
            <w:tcW w:w="950" w:type="dxa"/>
            <w:hideMark/>
          </w:tcPr>
          <w:p w14:paraId="2D720154"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3</w:t>
            </w:r>
          </w:p>
        </w:tc>
        <w:tc>
          <w:tcPr>
            <w:tcW w:w="1149" w:type="dxa"/>
            <w:hideMark/>
          </w:tcPr>
          <w:p w14:paraId="09A9B349"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4</w:t>
            </w:r>
          </w:p>
        </w:tc>
        <w:tc>
          <w:tcPr>
            <w:tcW w:w="1606" w:type="dxa"/>
            <w:hideMark/>
          </w:tcPr>
          <w:p w14:paraId="4E4F9ABC"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5</w:t>
            </w:r>
          </w:p>
        </w:tc>
        <w:tc>
          <w:tcPr>
            <w:tcW w:w="1223" w:type="dxa"/>
            <w:hideMark/>
          </w:tcPr>
          <w:p w14:paraId="5EF0065F"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6</w:t>
            </w:r>
          </w:p>
        </w:tc>
        <w:tc>
          <w:tcPr>
            <w:tcW w:w="1777" w:type="dxa"/>
            <w:hideMark/>
          </w:tcPr>
          <w:p w14:paraId="39314FD1"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7</w:t>
            </w:r>
          </w:p>
        </w:tc>
        <w:tc>
          <w:tcPr>
            <w:tcW w:w="878" w:type="dxa"/>
            <w:hideMark/>
          </w:tcPr>
          <w:p w14:paraId="33CFCE95"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8</w:t>
            </w:r>
          </w:p>
        </w:tc>
        <w:tc>
          <w:tcPr>
            <w:tcW w:w="1424" w:type="dxa"/>
            <w:hideMark/>
          </w:tcPr>
          <w:p w14:paraId="4634F2CF"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9</w:t>
            </w:r>
          </w:p>
        </w:tc>
        <w:tc>
          <w:tcPr>
            <w:tcW w:w="1361" w:type="dxa"/>
            <w:hideMark/>
          </w:tcPr>
          <w:p w14:paraId="7853D061"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10</w:t>
            </w:r>
          </w:p>
        </w:tc>
        <w:tc>
          <w:tcPr>
            <w:tcW w:w="1559" w:type="dxa"/>
            <w:hideMark/>
          </w:tcPr>
          <w:p w14:paraId="426E09A2"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11</w:t>
            </w:r>
          </w:p>
        </w:tc>
        <w:tc>
          <w:tcPr>
            <w:tcW w:w="1310" w:type="dxa"/>
            <w:hideMark/>
          </w:tcPr>
          <w:p w14:paraId="12745103" w14:textId="77777777" w:rsidR="003E291B" w:rsidRPr="009E5B39" w:rsidRDefault="003E291B" w:rsidP="003E291B">
            <w:pPr>
              <w:tabs>
                <w:tab w:val="left" w:pos="0"/>
              </w:tabs>
              <w:jc w:val="both"/>
              <w:rPr>
                <w:rFonts w:asciiTheme="majorHAnsi" w:hAnsiTheme="majorHAnsi" w:cstheme="majorHAnsi"/>
                <w:bCs/>
                <w:sz w:val="16"/>
                <w:szCs w:val="16"/>
                <w:lang w:val="ro-MD"/>
              </w:rPr>
            </w:pPr>
            <w:r w:rsidRPr="009E5B39">
              <w:rPr>
                <w:rFonts w:asciiTheme="majorHAnsi" w:hAnsiTheme="majorHAnsi" w:cstheme="majorHAnsi"/>
                <w:bCs/>
                <w:sz w:val="16"/>
                <w:szCs w:val="16"/>
                <w:lang w:val="ro-MD"/>
              </w:rPr>
              <w:t>12</w:t>
            </w:r>
          </w:p>
        </w:tc>
      </w:tr>
      <w:tr w:rsidR="003E291B" w:rsidRPr="009E5B39" w14:paraId="41C54964" w14:textId="77777777" w:rsidTr="00092EAE">
        <w:trPr>
          <w:trHeight w:val="20"/>
        </w:trPr>
        <w:tc>
          <w:tcPr>
            <w:tcW w:w="726" w:type="dxa"/>
            <w:hideMark/>
          </w:tcPr>
          <w:p w14:paraId="3270E80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2176</w:t>
            </w:r>
          </w:p>
        </w:tc>
        <w:tc>
          <w:tcPr>
            <w:tcW w:w="950" w:type="dxa"/>
            <w:hideMark/>
          </w:tcPr>
          <w:p w14:paraId="3082081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475-c/19</w:t>
            </w:r>
          </w:p>
        </w:tc>
        <w:tc>
          <w:tcPr>
            <w:tcW w:w="950" w:type="dxa"/>
            <w:hideMark/>
          </w:tcPr>
          <w:p w14:paraId="077D595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02.09.2019</w:t>
            </w:r>
          </w:p>
        </w:tc>
        <w:tc>
          <w:tcPr>
            <w:tcW w:w="1149" w:type="dxa"/>
            <w:hideMark/>
          </w:tcPr>
          <w:p w14:paraId="6ED9F3B0" w14:textId="65CD1578" w:rsidR="003E291B" w:rsidRPr="009E5B39" w:rsidRDefault="00600A51"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w:t>
            </w:r>
            <w:r w:rsidR="003E291B" w:rsidRPr="009E5B39">
              <w:rPr>
                <w:rFonts w:asciiTheme="majorHAnsi" w:hAnsiTheme="majorHAnsi" w:cstheme="majorHAnsi"/>
                <w:sz w:val="16"/>
                <w:szCs w:val="16"/>
                <w:lang w:val="ro-MD"/>
              </w:rPr>
              <w:t>un</w:t>
            </w:r>
            <w:r w:rsidRPr="009E5B39">
              <w:rPr>
                <w:rFonts w:asciiTheme="majorHAnsi" w:hAnsiTheme="majorHAnsi" w:cstheme="majorHAnsi"/>
                <w:sz w:val="16"/>
                <w:szCs w:val="16"/>
                <w:lang w:val="ro-MD"/>
              </w:rPr>
              <w:t>.</w:t>
            </w:r>
            <w:r w:rsidR="003E291B" w:rsidRPr="009E5B39">
              <w:rPr>
                <w:rFonts w:asciiTheme="majorHAnsi" w:hAnsiTheme="majorHAnsi" w:cstheme="majorHAnsi"/>
                <w:sz w:val="16"/>
                <w:szCs w:val="16"/>
                <w:lang w:val="ro-MD"/>
              </w:rPr>
              <w:t xml:space="preserve"> Chișinău, strada Pie</w:t>
            </w:r>
            <w:r w:rsidR="0022739D" w:rsidRPr="009E5B39">
              <w:rPr>
                <w:rFonts w:asciiTheme="majorHAnsi" w:hAnsiTheme="majorHAnsi" w:cstheme="majorHAnsi"/>
                <w:sz w:val="16"/>
                <w:szCs w:val="16"/>
                <w:lang w:val="ro-MD"/>
              </w:rPr>
              <w:t>tr</w:t>
            </w:r>
            <w:r w:rsidR="003E291B" w:rsidRPr="009E5B39">
              <w:rPr>
                <w:rFonts w:asciiTheme="majorHAnsi" w:hAnsiTheme="majorHAnsi" w:cstheme="majorHAnsi"/>
                <w:sz w:val="16"/>
                <w:szCs w:val="16"/>
                <w:lang w:val="ro-MD"/>
              </w:rPr>
              <w:t>ăriei nr.11.</w:t>
            </w:r>
          </w:p>
        </w:tc>
        <w:tc>
          <w:tcPr>
            <w:tcW w:w="1606" w:type="dxa"/>
            <w:hideMark/>
          </w:tcPr>
          <w:p w14:paraId="3A669BE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100423529</w:t>
            </w:r>
          </w:p>
        </w:tc>
        <w:tc>
          <w:tcPr>
            <w:tcW w:w="1223" w:type="dxa"/>
            <w:hideMark/>
          </w:tcPr>
          <w:p w14:paraId="0D77B53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0,1308 </w:t>
            </w:r>
          </w:p>
        </w:tc>
        <w:tc>
          <w:tcPr>
            <w:tcW w:w="1777" w:type="dxa"/>
            <w:hideMark/>
          </w:tcPr>
          <w:p w14:paraId="4470306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1EFE0AC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12F05DF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2A50C4B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61 apartamente conform documentelor de proiect</w:t>
            </w:r>
          </w:p>
        </w:tc>
        <w:tc>
          <w:tcPr>
            <w:tcW w:w="1559" w:type="dxa"/>
            <w:hideMark/>
          </w:tcPr>
          <w:p w14:paraId="7798467F" w14:textId="7C627188" w:rsidR="003E291B" w:rsidRPr="009E5B39" w:rsidRDefault="00A920E0"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70% din teritoriu locuri de parcare (pentru 70% din numărul apartamentelor) și amenajarea teritoriului</w:t>
            </w:r>
          </w:p>
        </w:tc>
        <w:tc>
          <w:tcPr>
            <w:tcW w:w="1310" w:type="dxa"/>
            <w:hideMark/>
          </w:tcPr>
          <w:p w14:paraId="27D56D0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20 locuri de parcare conform documentelor de proiect</w:t>
            </w:r>
          </w:p>
        </w:tc>
      </w:tr>
      <w:tr w:rsidR="003E291B" w:rsidRPr="009E5B39" w14:paraId="7A409AB5" w14:textId="77777777" w:rsidTr="00092EAE">
        <w:trPr>
          <w:trHeight w:val="20"/>
        </w:trPr>
        <w:tc>
          <w:tcPr>
            <w:tcW w:w="726" w:type="dxa"/>
            <w:hideMark/>
          </w:tcPr>
          <w:p w14:paraId="489D479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162i/14</w:t>
            </w:r>
          </w:p>
        </w:tc>
        <w:tc>
          <w:tcPr>
            <w:tcW w:w="950" w:type="dxa"/>
            <w:hideMark/>
          </w:tcPr>
          <w:p w14:paraId="54D1140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384-c/16</w:t>
            </w:r>
          </w:p>
        </w:tc>
        <w:tc>
          <w:tcPr>
            <w:tcW w:w="950" w:type="dxa"/>
            <w:hideMark/>
          </w:tcPr>
          <w:p w14:paraId="73FAEB2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23.12.2016</w:t>
            </w:r>
          </w:p>
        </w:tc>
        <w:tc>
          <w:tcPr>
            <w:tcW w:w="1149" w:type="dxa"/>
            <w:hideMark/>
          </w:tcPr>
          <w:p w14:paraId="7C1CD684" w14:textId="07BD880B"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str. Pie</w:t>
            </w:r>
            <w:r w:rsidR="0022739D" w:rsidRPr="009E5B39">
              <w:rPr>
                <w:rFonts w:asciiTheme="majorHAnsi" w:hAnsiTheme="majorHAnsi" w:cstheme="majorHAnsi"/>
                <w:sz w:val="16"/>
                <w:szCs w:val="16"/>
                <w:lang w:val="ro-MD"/>
              </w:rPr>
              <w:t>tr</w:t>
            </w:r>
            <w:r w:rsidRPr="009E5B39">
              <w:rPr>
                <w:rFonts w:asciiTheme="majorHAnsi" w:hAnsiTheme="majorHAnsi" w:cstheme="majorHAnsi"/>
                <w:sz w:val="16"/>
                <w:szCs w:val="16"/>
                <w:lang w:val="ro-MD"/>
              </w:rPr>
              <w:t>ăriei, 9, stradela Circului, 2.</w:t>
            </w:r>
          </w:p>
        </w:tc>
        <w:tc>
          <w:tcPr>
            <w:tcW w:w="1606" w:type="dxa"/>
            <w:hideMark/>
          </w:tcPr>
          <w:p w14:paraId="795E769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comasate 0100423162, 0100423269, și 01004233033</w:t>
            </w:r>
          </w:p>
        </w:tc>
        <w:tc>
          <w:tcPr>
            <w:tcW w:w="1223" w:type="dxa"/>
            <w:hideMark/>
          </w:tcPr>
          <w:p w14:paraId="37F7992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0,10+0,25+0,06</w:t>
            </w:r>
          </w:p>
        </w:tc>
        <w:tc>
          <w:tcPr>
            <w:tcW w:w="1777" w:type="dxa"/>
            <w:hideMark/>
          </w:tcPr>
          <w:p w14:paraId="30BC40F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411539F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665DAAB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326A531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34019C4D" w14:textId="04BC87AF" w:rsidR="003E291B" w:rsidRPr="009E5B39" w:rsidRDefault="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70% din teritoriu locuri de parcare </w:t>
            </w:r>
            <w:r w:rsidR="00A920E0" w:rsidRPr="009E5B39">
              <w:rPr>
                <w:rFonts w:asciiTheme="majorHAnsi" w:hAnsiTheme="majorHAnsi" w:cstheme="majorHAnsi"/>
                <w:sz w:val="16"/>
                <w:szCs w:val="16"/>
                <w:lang w:val="ro-MD"/>
              </w:rPr>
              <w:t xml:space="preserve">(pentru 70% </w:t>
            </w:r>
            <w:r w:rsidRPr="009E5B39">
              <w:rPr>
                <w:rFonts w:asciiTheme="majorHAnsi" w:hAnsiTheme="majorHAnsi" w:cstheme="majorHAnsi"/>
                <w:sz w:val="16"/>
                <w:szCs w:val="16"/>
                <w:lang w:val="ro-MD"/>
              </w:rPr>
              <w:t>din numărul apartamentelor</w:t>
            </w:r>
            <w:r w:rsidR="00A920E0" w:rsidRPr="009E5B39">
              <w:rPr>
                <w:rFonts w:asciiTheme="majorHAnsi" w:hAnsiTheme="majorHAnsi" w:cstheme="majorHAnsi"/>
                <w:sz w:val="16"/>
                <w:szCs w:val="16"/>
                <w:lang w:val="ro-MD"/>
              </w:rPr>
              <w:t>) și amenajarea teritoriului</w:t>
            </w:r>
          </w:p>
        </w:tc>
        <w:tc>
          <w:tcPr>
            <w:tcW w:w="1310" w:type="dxa"/>
            <w:hideMark/>
          </w:tcPr>
          <w:p w14:paraId="3CD609B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2BE9CABF" w14:textId="77777777" w:rsidTr="00092EAE">
        <w:trPr>
          <w:trHeight w:val="20"/>
        </w:trPr>
        <w:tc>
          <w:tcPr>
            <w:tcW w:w="726" w:type="dxa"/>
            <w:hideMark/>
          </w:tcPr>
          <w:p w14:paraId="1B7C060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256i/20</w:t>
            </w:r>
          </w:p>
        </w:tc>
        <w:tc>
          <w:tcPr>
            <w:tcW w:w="950" w:type="dxa"/>
            <w:hideMark/>
          </w:tcPr>
          <w:p w14:paraId="0000AA3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256-c/20</w:t>
            </w:r>
          </w:p>
        </w:tc>
        <w:tc>
          <w:tcPr>
            <w:tcW w:w="950" w:type="dxa"/>
            <w:hideMark/>
          </w:tcPr>
          <w:p w14:paraId="348FC29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26.08.2020</w:t>
            </w:r>
          </w:p>
        </w:tc>
        <w:tc>
          <w:tcPr>
            <w:tcW w:w="1149" w:type="dxa"/>
            <w:hideMark/>
          </w:tcPr>
          <w:p w14:paraId="0A2A2D2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str. Circului nr.5.</w:t>
            </w:r>
          </w:p>
        </w:tc>
        <w:tc>
          <w:tcPr>
            <w:tcW w:w="1606" w:type="dxa"/>
            <w:hideMark/>
          </w:tcPr>
          <w:p w14:paraId="0F12D4D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100423533 (comasare 0100423016, 0100423176, 0100423290)</w:t>
            </w:r>
          </w:p>
        </w:tc>
        <w:tc>
          <w:tcPr>
            <w:tcW w:w="1223" w:type="dxa"/>
            <w:hideMark/>
          </w:tcPr>
          <w:p w14:paraId="607BDAE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0,2334</w:t>
            </w:r>
          </w:p>
        </w:tc>
        <w:tc>
          <w:tcPr>
            <w:tcW w:w="1777" w:type="dxa"/>
            <w:hideMark/>
          </w:tcPr>
          <w:p w14:paraId="0A899C8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5C45800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714DD98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529FA88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165 apartamente  conform documentelor de proiect</w:t>
            </w:r>
          </w:p>
        </w:tc>
        <w:tc>
          <w:tcPr>
            <w:tcW w:w="1559" w:type="dxa"/>
            <w:hideMark/>
          </w:tcPr>
          <w:p w14:paraId="52100BD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4CA3330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116(parcări subterane)</w:t>
            </w:r>
          </w:p>
        </w:tc>
      </w:tr>
      <w:tr w:rsidR="003E291B" w:rsidRPr="009E5B39" w14:paraId="5212EF46" w14:textId="77777777" w:rsidTr="00092EAE">
        <w:trPr>
          <w:trHeight w:val="20"/>
        </w:trPr>
        <w:tc>
          <w:tcPr>
            <w:tcW w:w="726" w:type="dxa"/>
            <w:hideMark/>
          </w:tcPr>
          <w:p w14:paraId="4313B92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432-c/21</w:t>
            </w:r>
          </w:p>
        </w:tc>
        <w:tc>
          <w:tcPr>
            <w:tcW w:w="950" w:type="dxa"/>
            <w:hideMark/>
          </w:tcPr>
          <w:p w14:paraId="66B22C9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432-c/21</w:t>
            </w:r>
          </w:p>
        </w:tc>
        <w:tc>
          <w:tcPr>
            <w:tcW w:w="950" w:type="dxa"/>
            <w:hideMark/>
          </w:tcPr>
          <w:p w14:paraId="5C654B2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21.10.2021</w:t>
            </w:r>
          </w:p>
        </w:tc>
        <w:tc>
          <w:tcPr>
            <w:tcW w:w="1149" w:type="dxa"/>
            <w:hideMark/>
          </w:tcPr>
          <w:p w14:paraId="3501477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str. Ginta Latină 19/6</w:t>
            </w:r>
          </w:p>
        </w:tc>
        <w:tc>
          <w:tcPr>
            <w:tcW w:w="1606" w:type="dxa"/>
            <w:hideMark/>
          </w:tcPr>
          <w:p w14:paraId="0D1FD62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0100311351 teren municipal., 0100311351.01 construcția pe teren municipal</w:t>
            </w:r>
          </w:p>
        </w:tc>
        <w:tc>
          <w:tcPr>
            <w:tcW w:w="1223" w:type="dxa"/>
            <w:hideMark/>
          </w:tcPr>
          <w:p w14:paraId="1967974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0,4172</w:t>
            </w:r>
          </w:p>
        </w:tc>
        <w:tc>
          <w:tcPr>
            <w:tcW w:w="1777" w:type="dxa"/>
            <w:hideMark/>
          </w:tcPr>
          <w:p w14:paraId="36230AA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795BB72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4E8E25E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3E5063AF" w14:textId="7856D3BD"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nu sunt indicate în d</w:t>
            </w:r>
            <w:r w:rsidR="0022739D" w:rsidRPr="009E5B39">
              <w:rPr>
                <w:rFonts w:asciiTheme="majorHAnsi" w:hAnsiTheme="majorHAnsi" w:cstheme="majorHAnsi"/>
                <w:sz w:val="16"/>
                <w:szCs w:val="16"/>
                <w:lang w:val="ro-MD"/>
              </w:rPr>
              <w:t>oc</w:t>
            </w:r>
            <w:r w:rsidRPr="009E5B39">
              <w:rPr>
                <w:rFonts w:asciiTheme="majorHAnsi" w:hAnsiTheme="majorHAnsi" w:cstheme="majorHAnsi"/>
                <w:sz w:val="16"/>
                <w:szCs w:val="16"/>
                <w:lang w:val="ro-MD"/>
              </w:rPr>
              <w:t>umentele de proiect</w:t>
            </w:r>
          </w:p>
        </w:tc>
        <w:tc>
          <w:tcPr>
            <w:tcW w:w="1559" w:type="dxa"/>
            <w:hideMark/>
          </w:tcPr>
          <w:p w14:paraId="2D0D11D5" w14:textId="668DC777" w:rsidR="003E291B" w:rsidRPr="009E5B39" w:rsidRDefault="00A920E0">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70% din teritoriu locuri de parcare (pentru 70% din numărul apartamentelor) și amenajarea teritoriului</w:t>
            </w:r>
          </w:p>
        </w:tc>
        <w:tc>
          <w:tcPr>
            <w:tcW w:w="1310" w:type="dxa"/>
            <w:hideMark/>
          </w:tcPr>
          <w:p w14:paraId="6971E960" w14:textId="0D18D39C"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Nu sunt indicate în documentele de pr</w:t>
            </w:r>
            <w:r w:rsidR="0022739D" w:rsidRPr="009E5B39">
              <w:rPr>
                <w:rFonts w:asciiTheme="majorHAnsi" w:hAnsiTheme="majorHAnsi" w:cstheme="majorHAnsi"/>
                <w:sz w:val="16"/>
                <w:szCs w:val="16"/>
                <w:lang w:val="ro-MD"/>
              </w:rPr>
              <w:t>oi</w:t>
            </w:r>
            <w:r w:rsidRPr="009E5B39">
              <w:rPr>
                <w:rFonts w:asciiTheme="majorHAnsi" w:hAnsiTheme="majorHAnsi" w:cstheme="majorHAnsi"/>
                <w:sz w:val="16"/>
                <w:szCs w:val="16"/>
                <w:lang w:val="ro-MD"/>
              </w:rPr>
              <w:t>ect</w:t>
            </w:r>
          </w:p>
        </w:tc>
      </w:tr>
      <w:tr w:rsidR="003E291B" w:rsidRPr="009E5B39" w14:paraId="3B6836AE" w14:textId="77777777" w:rsidTr="00092EAE">
        <w:trPr>
          <w:trHeight w:val="20"/>
        </w:trPr>
        <w:tc>
          <w:tcPr>
            <w:tcW w:w="726" w:type="dxa"/>
            <w:hideMark/>
          </w:tcPr>
          <w:p w14:paraId="3B7243B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451-c/21</w:t>
            </w:r>
          </w:p>
        </w:tc>
        <w:tc>
          <w:tcPr>
            <w:tcW w:w="950" w:type="dxa"/>
            <w:hideMark/>
          </w:tcPr>
          <w:p w14:paraId="299DBEC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451-c/21 </w:t>
            </w:r>
          </w:p>
        </w:tc>
        <w:tc>
          <w:tcPr>
            <w:tcW w:w="950" w:type="dxa"/>
            <w:hideMark/>
          </w:tcPr>
          <w:p w14:paraId="23AC50E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03.11.2021</w:t>
            </w:r>
          </w:p>
        </w:tc>
        <w:tc>
          <w:tcPr>
            <w:tcW w:w="1149" w:type="dxa"/>
            <w:hideMark/>
          </w:tcPr>
          <w:p w14:paraId="24A77BE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str. Burebista 114/2</w:t>
            </w:r>
          </w:p>
        </w:tc>
        <w:tc>
          <w:tcPr>
            <w:tcW w:w="1606" w:type="dxa"/>
            <w:hideMark/>
          </w:tcPr>
          <w:p w14:paraId="48489D7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0100114038, teren municipal</w:t>
            </w:r>
          </w:p>
        </w:tc>
        <w:tc>
          <w:tcPr>
            <w:tcW w:w="1223" w:type="dxa"/>
            <w:hideMark/>
          </w:tcPr>
          <w:p w14:paraId="24CE9F1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0,4238</w:t>
            </w:r>
          </w:p>
        </w:tc>
        <w:tc>
          <w:tcPr>
            <w:tcW w:w="1777" w:type="dxa"/>
            <w:hideMark/>
          </w:tcPr>
          <w:p w14:paraId="25B96D8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55AA99E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0CDFC51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7F988201" w14:textId="0C7AB156"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639 apartamente conf datelor din cadastru. În docum de proiec</w:t>
            </w:r>
            <w:r w:rsidR="0022739D" w:rsidRPr="009E5B39">
              <w:rPr>
                <w:rFonts w:asciiTheme="majorHAnsi" w:hAnsiTheme="majorHAnsi" w:cstheme="majorHAnsi"/>
                <w:sz w:val="16"/>
                <w:szCs w:val="16"/>
                <w:lang w:val="ro-MD"/>
              </w:rPr>
              <w:t>ta</w:t>
            </w:r>
            <w:r w:rsidRPr="009E5B39">
              <w:rPr>
                <w:rFonts w:asciiTheme="majorHAnsi" w:hAnsiTheme="majorHAnsi" w:cstheme="majorHAnsi"/>
                <w:sz w:val="16"/>
                <w:szCs w:val="16"/>
                <w:lang w:val="ro-MD"/>
              </w:rPr>
              <w:t>re nu sunt indicate numărul de apartamente și numărul de parcări.</w:t>
            </w:r>
          </w:p>
        </w:tc>
        <w:tc>
          <w:tcPr>
            <w:tcW w:w="1559" w:type="dxa"/>
            <w:hideMark/>
          </w:tcPr>
          <w:p w14:paraId="18C0563A" w14:textId="18EC5D24" w:rsidR="003E291B" w:rsidRPr="009E5B39" w:rsidRDefault="00A920E0">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70% din teritoriu locuri de parcare (pentru 70% din numărul apartamentelor) și amenajarea teritoriului</w:t>
            </w:r>
          </w:p>
        </w:tc>
        <w:tc>
          <w:tcPr>
            <w:tcW w:w="1310" w:type="dxa"/>
            <w:hideMark/>
          </w:tcPr>
          <w:p w14:paraId="25B8BE4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77AF6DE4" w14:textId="77777777" w:rsidTr="00092EAE">
        <w:trPr>
          <w:trHeight w:val="20"/>
        </w:trPr>
        <w:tc>
          <w:tcPr>
            <w:tcW w:w="726" w:type="dxa"/>
            <w:hideMark/>
          </w:tcPr>
          <w:p w14:paraId="2806945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4729/5</w:t>
            </w:r>
          </w:p>
        </w:tc>
        <w:tc>
          <w:tcPr>
            <w:tcW w:w="950" w:type="dxa"/>
            <w:hideMark/>
          </w:tcPr>
          <w:p w14:paraId="1F75B35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373-c/18</w:t>
            </w:r>
          </w:p>
        </w:tc>
        <w:tc>
          <w:tcPr>
            <w:tcW w:w="950" w:type="dxa"/>
            <w:hideMark/>
          </w:tcPr>
          <w:p w14:paraId="016E9D8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04.07.2018</w:t>
            </w:r>
          </w:p>
        </w:tc>
        <w:tc>
          <w:tcPr>
            <w:tcW w:w="1149" w:type="dxa"/>
            <w:hideMark/>
          </w:tcPr>
          <w:p w14:paraId="0B9DF40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str. Andrei Doga 26</w:t>
            </w:r>
          </w:p>
        </w:tc>
        <w:tc>
          <w:tcPr>
            <w:tcW w:w="1606" w:type="dxa"/>
            <w:hideMark/>
          </w:tcPr>
          <w:p w14:paraId="45A6611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100423305</w:t>
            </w:r>
          </w:p>
        </w:tc>
        <w:tc>
          <w:tcPr>
            <w:tcW w:w="1223" w:type="dxa"/>
            <w:hideMark/>
          </w:tcPr>
          <w:p w14:paraId="1AE6AFF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0,65</w:t>
            </w:r>
          </w:p>
        </w:tc>
        <w:tc>
          <w:tcPr>
            <w:tcW w:w="1777" w:type="dxa"/>
            <w:hideMark/>
          </w:tcPr>
          <w:p w14:paraId="1EF87BC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3DB1693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5A1E60B5" w14:textId="450BAEB3"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plan Urbanistic general al or. Chișinău, aprobat prin decizia CMC nr 68/1-2 din 22.03.2007,  imobilul este amplasat în zona ”S”(zona specială). În baza deciziei CMC nr.15/39 din 22.12.2017, au fost operate modificări la regulamentul local de urbanism nr.22/40 din 25.12.2008, prin sub</w:t>
            </w:r>
            <w:r w:rsidR="0022739D" w:rsidRPr="009E5B39">
              <w:rPr>
                <w:rFonts w:asciiTheme="majorHAnsi" w:hAnsiTheme="majorHAnsi" w:cstheme="majorHAnsi"/>
                <w:sz w:val="16"/>
                <w:szCs w:val="16"/>
                <w:lang w:val="ro-MD"/>
              </w:rPr>
              <w:t>s</w:t>
            </w:r>
            <w:r w:rsidRPr="009E5B39">
              <w:rPr>
                <w:rFonts w:asciiTheme="majorHAnsi" w:hAnsiTheme="majorHAnsi" w:cstheme="majorHAnsi"/>
                <w:sz w:val="16"/>
                <w:szCs w:val="16"/>
                <w:lang w:val="ro-MD"/>
              </w:rPr>
              <w:t>tituirea codului urbanistic pentru terenul cu nr. cad. 010042305, din zona</w:t>
            </w:r>
            <w:r w:rsidR="0022739D"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 xml:space="preserve">„S” în zona „R7”- sunt permise toate tipurile de locuințe. </w:t>
            </w:r>
          </w:p>
        </w:tc>
        <w:tc>
          <w:tcPr>
            <w:tcW w:w="1361" w:type="dxa"/>
            <w:hideMark/>
          </w:tcPr>
          <w:p w14:paraId="5A70F80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3AE7796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Nerespectarea din parte agentului economic a cerințelor Regulamentului local de urbanism, ce prevede pentru zona R„7” procentul pentru ocuparea terenului a construcției 20-30%, parcare auto pentru locatari în proporție de 70% </w:t>
            </w:r>
          </w:p>
        </w:tc>
        <w:tc>
          <w:tcPr>
            <w:tcW w:w="1310" w:type="dxa"/>
            <w:hideMark/>
          </w:tcPr>
          <w:p w14:paraId="5D288CD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02C5E71E" w14:textId="77777777" w:rsidTr="00092EAE">
        <w:trPr>
          <w:trHeight w:val="20"/>
        </w:trPr>
        <w:tc>
          <w:tcPr>
            <w:tcW w:w="726" w:type="dxa"/>
            <w:hideMark/>
          </w:tcPr>
          <w:p w14:paraId="2017AB9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5209/2</w:t>
            </w:r>
          </w:p>
        </w:tc>
        <w:tc>
          <w:tcPr>
            <w:tcW w:w="950" w:type="dxa"/>
            <w:hideMark/>
          </w:tcPr>
          <w:p w14:paraId="471F22D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653-c/18</w:t>
            </w:r>
          </w:p>
        </w:tc>
        <w:tc>
          <w:tcPr>
            <w:tcW w:w="950" w:type="dxa"/>
            <w:hideMark/>
          </w:tcPr>
          <w:p w14:paraId="108766A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19.11.2018</w:t>
            </w:r>
          </w:p>
        </w:tc>
        <w:tc>
          <w:tcPr>
            <w:tcW w:w="1149" w:type="dxa"/>
            <w:hideMark/>
          </w:tcPr>
          <w:p w14:paraId="357A978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Rîșcani, str. Pietrăriei 19.</w:t>
            </w:r>
          </w:p>
        </w:tc>
        <w:tc>
          <w:tcPr>
            <w:tcW w:w="1606" w:type="dxa"/>
            <w:hideMark/>
          </w:tcPr>
          <w:p w14:paraId="3B149F2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100423004</w:t>
            </w:r>
          </w:p>
        </w:tc>
        <w:tc>
          <w:tcPr>
            <w:tcW w:w="1223" w:type="dxa"/>
            <w:hideMark/>
          </w:tcPr>
          <w:p w14:paraId="2129F44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0,0638</w:t>
            </w:r>
          </w:p>
        </w:tc>
        <w:tc>
          <w:tcPr>
            <w:tcW w:w="1777" w:type="dxa"/>
            <w:hideMark/>
          </w:tcPr>
          <w:p w14:paraId="618D3D9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0280454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0DEED84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1EEC4F67" w14:textId="4F0D88C8"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Nu sunt indicate în proiect numărul apartamentelor.  Conform datelor cadastrale sunt </w:t>
            </w:r>
            <w:r w:rsidR="0022739D" w:rsidRPr="009E5B39">
              <w:rPr>
                <w:rFonts w:asciiTheme="majorHAnsi" w:hAnsiTheme="majorHAnsi" w:cstheme="majorHAnsi"/>
                <w:sz w:val="16"/>
                <w:szCs w:val="16"/>
                <w:lang w:val="ro-MD"/>
              </w:rPr>
              <w:t>î</w:t>
            </w:r>
            <w:r w:rsidRPr="009E5B39">
              <w:rPr>
                <w:rFonts w:asciiTheme="majorHAnsi" w:hAnsiTheme="majorHAnsi" w:cstheme="majorHAnsi"/>
                <w:sz w:val="16"/>
                <w:szCs w:val="16"/>
                <w:lang w:val="ro-MD"/>
              </w:rPr>
              <w:t>nregistrate 90 apartamente.             Conf</w:t>
            </w:r>
            <w:r w:rsidR="0022739D"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proiect Supr. tot. Construită - 6274.67 m.p., t</w:t>
            </w:r>
            <w:r w:rsidR="0022739D" w:rsidRPr="009E5B39">
              <w:rPr>
                <w:rFonts w:asciiTheme="majorHAnsi" w:hAnsiTheme="majorHAnsi" w:cstheme="majorHAnsi"/>
                <w:sz w:val="16"/>
                <w:szCs w:val="16"/>
                <w:lang w:val="ro-MD"/>
              </w:rPr>
              <w:t>o</w:t>
            </w:r>
            <w:r w:rsidRPr="009E5B39">
              <w:rPr>
                <w:rFonts w:asciiTheme="majorHAnsi" w:hAnsiTheme="majorHAnsi" w:cstheme="majorHAnsi"/>
                <w:sz w:val="16"/>
                <w:szCs w:val="16"/>
                <w:lang w:val="ro-MD"/>
              </w:rPr>
              <w:t>tală locativă - 3999.39 m.p., parcări auto demisol - 191.07 m.p., spații depozitare 57.64 m.p., spații c</w:t>
            </w:r>
            <w:r w:rsidR="0022739D" w:rsidRPr="009E5B39">
              <w:rPr>
                <w:rFonts w:asciiTheme="majorHAnsi" w:hAnsiTheme="majorHAnsi" w:cstheme="majorHAnsi"/>
                <w:sz w:val="16"/>
                <w:szCs w:val="16"/>
                <w:lang w:val="ro-MD"/>
              </w:rPr>
              <w:t>o</w:t>
            </w:r>
            <w:r w:rsidRPr="009E5B39">
              <w:rPr>
                <w:rFonts w:asciiTheme="majorHAnsi" w:hAnsiTheme="majorHAnsi" w:cstheme="majorHAnsi"/>
                <w:sz w:val="16"/>
                <w:szCs w:val="16"/>
                <w:lang w:val="ro-MD"/>
              </w:rPr>
              <w:t>mune - 457.90 m.p..</w:t>
            </w:r>
          </w:p>
        </w:tc>
        <w:tc>
          <w:tcPr>
            <w:tcW w:w="1559" w:type="dxa"/>
            <w:hideMark/>
          </w:tcPr>
          <w:p w14:paraId="6AAED597" w14:textId="55452D62"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plan Urbanistic general al or. Chișinău, aprobat prin decizia CMC nr 68/1-2 din 22.03.2007,  imobilul este amplasat în zona cu codul</w:t>
            </w:r>
            <w:r w:rsidR="0022739D"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„Re~ . Conform deciziei CMC nr.10/42 din 09.12.2014 imobilul este amplasat în zona cu codul „R7”.  Conform dispoziției nr.480-d din 29.05.2014, pentru această zonă  procentul de ocupare a terenului a construcției, 20-30%, parcaj obligatoriu pentru locuitori 70% din numărul de locuințe.</w:t>
            </w:r>
          </w:p>
        </w:tc>
        <w:tc>
          <w:tcPr>
            <w:tcW w:w="1310" w:type="dxa"/>
            <w:hideMark/>
          </w:tcPr>
          <w:p w14:paraId="5045046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Nu sunt indicate numărul de parcări în proiectul </w:t>
            </w:r>
          </w:p>
        </w:tc>
      </w:tr>
      <w:tr w:rsidR="003E291B" w:rsidRPr="009E5B39" w14:paraId="23B97517" w14:textId="77777777" w:rsidTr="00092EAE">
        <w:trPr>
          <w:trHeight w:val="20"/>
        </w:trPr>
        <w:tc>
          <w:tcPr>
            <w:tcW w:w="726" w:type="dxa"/>
            <w:hideMark/>
          </w:tcPr>
          <w:p w14:paraId="7D40104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114-c/21</w:t>
            </w:r>
          </w:p>
        </w:tc>
        <w:tc>
          <w:tcPr>
            <w:tcW w:w="950" w:type="dxa"/>
            <w:hideMark/>
          </w:tcPr>
          <w:p w14:paraId="1DBCB42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114-c/21</w:t>
            </w:r>
          </w:p>
        </w:tc>
        <w:tc>
          <w:tcPr>
            <w:tcW w:w="950" w:type="dxa"/>
            <w:hideMark/>
          </w:tcPr>
          <w:p w14:paraId="6B59316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05.05.2021</w:t>
            </w:r>
          </w:p>
        </w:tc>
        <w:tc>
          <w:tcPr>
            <w:tcW w:w="1149" w:type="dxa"/>
            <w:hideMark/>
          </w:tcPr>
          <w:p w14:paraId="57C87349" w14:textId="178E19F8"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str. N.</w:t>
            </w:r>
            <w:r w:rsidR="0022739D"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Zelinschi, 5/5</w:t>
            </w:r>
          </w:p>
        </w:tc>
        <w:tc>
          <w:tcPr>
            <w:tcW w:w="1606" w:type="dxa"/>
            <w:hideMark/>
          </w:tcPr>
          <w:p w14:paraId="3FFBACE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100108140</w:t>
            </w:r>
          </w:p>
        </w:tc>
        <w:tc>
          <w:tcPr>
            <w:tcW w:w="1223" w:type="dxa"/>
            <w:hideMark/>
          </w:tcPr>
          <w:p w14:paraId="35261881" w14:textId="59EAE270"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- 0.076 h.,      construcția încă</w:t>
            </w:r>
            <w:r w:rsidR="0022739D" w:rsidRPr="009E5B39">
              <w:rPr>
                <w:rFonts w:asciiTheme="majorHAnsi" w:hAnsiTheme="majorHAnsi" w:cstheme="majorHAnsi"/>
                <w:sz w:val="16"/>
                <w:szCs w:val="16"/>
                <w:lang w:val="ro-MD"/>
              </w:rPr>
              <w:t>p</w:t>
            </w:r>
            <w:r w:rsidRPr="009E5B39">
              <w:rPr>
                <w:rFonts w:asciiTheme="majorHAnsi" w:hAnsiTheme="majorHAnsi" w:cstheme="majorHAnsi"/>
                <w:sz w:val="16"/>
                <w:szCs w:val="16"/>
                <w:lang w:val="ro-MD"/>
              </w:rPr>
              <w:t xml:space="preserve">erea nelocativă - 329,7 m.p.   </w:t>
            </w:r>
          </w:p>
        </w:tc>
        <w:tc>
          <w:tcPr>
            <w:tcW w:w="1777" w:type="dxa"/>
            <w:hideMark/>
          </w:tcPr>
          <w:p w14:paraId="1186D1E0" w14:textId="22FDDABA"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nr. cad. 0100108140. conf datelor cadas</w:t>
            </w:r>
            <w:r w:rsidR="0022739D" w:rsidRPr="009E5B39">
              <w:rPr>
                <w:rFonts w:asciiTheme="majorHAnsi" w:hAnsiTheme="majorHAnsi" w:cstheme="majorHAnsi"/>
                <w:sz w:val="16"/>
                <w:szCs w:val="16"/>
                <w:lang w:val="ro-MD"/>
              </w:rPr>
              <w:t>t</w:t>
            </w:r>
            <w:r w:rsidRPr="009E5B39">
              <w:rPr>
                <w:rFonts w:asciiTheme="majorHAnsi" w:hAnsiTheme="majorHAnsi" w:cstheme="majorHAnsi"/>
                <w:sz w:val="16"/>
                <w:szCs w:val="16"/>
                <w:lang w:val="ro-MD"/>
              </w:rPr>
              <w:t xml:space="preserve">rale proprietar municipiul Chișinău, a fost construit bloc locativ cu nr. cadastral 0100108140.01,  cu 65 apartamente, propriet. R.M., contract de arendă a terenului lipsește, încăperea nelocativă cu nr. cad.0100108140.01.041 propriet. SRL„Siderolit”. </w:t>
            </w:r>
          </w:p>
        </w:tc>
        <w:tc>
          <w:tcPr>
            <w:tcW w:w="878" w:type="dxa"/>
            <w:hideMark/>
          </w:tcPr>
          <w:p w14:paraId="7C2E3D0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14E7969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138944D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142212F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7A3D7B8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1178F7A3" w14:textId="77777777" w:rsidTr="00092EAE">
        <w:trPr>
          <w:trHeight w:val="20"/>
        </w:trPr>
        <w:tc>
          <w:tcPr>
            <w:tcW w:w="726" w:type="dxa"/>
            <w:hideMark/>
          </w:tcPr>
          <w:p w14:paraId="1CCDB4E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74-c/21</w:t>
            </w:r>
          </w:p>
        </w:tc>
        <w:tc>
          <w:tcPr>
            <w:tcW w:w="950" w:type="dxa"/>
            <w:hideMark/>
          </w:tcPr>
          <w:p w14:paraId="1AA272B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74-c/21 </w:t>
            </w:r>
          </w:p>
        </w:tc>
        <w:tc>
          <w:tcPr>
            <w:tcW w:w="950" w:type="dxa"/>
            <w:hideMark/>
          </w:tcPr>
          <w:p w14:paraId="65188E8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19.03.2021</w:t>
            </w:r>
          </w:p>
        </w:tc>
        <w:tc>
          <w:tcPr>
            <w:tcW w:w="1149" w:type="dxa"/>
            <w:hideMark/>
          </w:tcPr>
          <w:p w14:paraId="7A21CBE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 str. Alecu Russo</w:t>
            </w:r>
          </w:p>
        </w:tc>
        <w:tc>
          <w:tcPr>
            <w:tcW w:w="1606" w:type="dxa"/>
            <w:hideMark/>
          </w:tcPr>
          <w:p w14:paraId="7D975EF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0,058 h</w:t>
            </w:r>
          </w:p>
        </w:tc>
        <w:tc>
          <w:tcPr>
            <w:tcW w:w="1223" w:type="dxa"/>
            <w:hideMark/>
          </w:tcPr>
          <w:p w14:paraId="3322F6A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777" w:type="dxa"/>
            <w:hideMark/>
          </w:tcPr>
          <w:p w14:paraId="5F5E600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4296DF2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30FCE47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70D593A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4C8D5EA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667429E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5C7EA4F3" w14:textId="77777777" w:rsidTr="00092EAE">
        <w:trPr>
          <w:trHeight w:val="20"/>
        </w:trPr>
        <w:tc>
          <w:tcPr>
            <w:tcW w:w="726" w:type="dxa"/>
            <w:hideMark/>
          </w:tcPr>
          <w:p w14:paraId="68C0E4D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89-c/21</w:t>
            </w:r>
          </w:p>
        </w:tc>
        <w:tc>
          <w:tcPr>
            <w:tcW w:w="950" w:type="dxa"/>
            <w:hideMark/>
          </w:tcPr>
          <w:p w14:paraId="4B17973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89-c/21</w:t>
            </w:r>
          </w:p>
        </w:tc>
        <w:tc>
          <w:tcPr>
            <w:tcW w:w="950" w:type="dxa"/>
            <w:hideMark/>
          </w:tcPr>
          <w:p w14:paraId="63102E8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07.04.2021</w:t>
            </w:r>
          </w:p>
        </w:tc>
        <w:tc>
          <w:tcPr>
            <w:tcW w:w="1149" w:type="dxa"/>
            <w:hideMark/>
          </w:tcPr>
          <w:p w14:paraId="7ED506C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Ciocana, bd Mircea cel Bătrîn</w:t>
            </w:r>
          </w:p>
        </w:tc>
        <w:tc>
          <w:tcPr>
            <w:tcW w:w="1606" w:type="dxa"/>
            <w:hideMark/>
          </w:tcPr>
          <w:p w14:paraId="4D72843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0,068 h terenul                  612,2 m.p. construcția nefinalizată</w:t>
            </w:r>
          </w:p>
        </w:tc>
        <w:tc>
          <w:tcPr>
            <w:tcW w:w="1223" w:type="dxa"/>
            <w:hideMark/>
          </w:tcPr>
          <w:p w14:paraId="3D47368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777" w:type="dxa"/>
            <w:hideMark/>
          </w:tcPr>
          <w:p w14:paraId="7003BF3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datelor și planului cadastral folosirea terenul municipal cu nr. cad. 0100312448 pentru parcarea auto a centrului comercial, în lipsa relațiilor contractuale de arendă a terenului.</w:t>
            </w:r>
          </w:p>
        </w:tc>
        <w:tc>
          <w:tcPr>
            <w:tcW w:w="878" w:type="dxa"/>
            <w:hideMark/>
          </w:tcPr>
          <w:p w14:paraId="5ACCA46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77CD1A5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1278DB5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4183812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6CFDB7BC" w14:textId="07CEEFD0"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 Plan Urbanistic general al mun. Chișinău aprobat prin decizia CMC nr.68/1-2 din 22.03.2007, imobilul este situat într-o zonă cu densi</w:t>
            </w:r>
            <w:r w:rsidR="0022739D" w:rsidRPr="009E5B39">
              <w:rPr>
                <w:rFonts w:asciiTheme="majorHAnsi" w:hAnsiTheme="majorHAnsi" w:cstheme="majorHAnsi"/>
                <w:sz w:val="16"/>
                <w:szCs w:val="16"/>
                <w:lang w:val="ro-MD"/>
              </w:rPr>
              <w:t>t</w:t>
            </w:r>
            <w:r w:rsidRPr="009E5B39">
              <w:rPr>
                <w:rFonts w:asciiTheme="majorHAnsi" w:hAnsiTheme="majorHAnsi" w:cstheme="majorHAnsi"/>
                <w:sz w:val="16"/>
                <w:szCs w:val="16"/>
                <w:lang w:val="ro-MD"/>
              </w:rPr>
              <w:t xml:space="preserve">ate medie, comercială, prestări servicii . Conf. Regulam local a mun. Chișinău din 25.12.2008 nr. 22/40, este </w:t>
            </w:r>
            <w:r w:rsidR="0022739D" w:rsidRPr="009E5B39">
              <w:rPr>
                <w:rFonts w:asciiTheme="majorHAnsi" w:hAnsiTheme="majorHAnsi" w:cstheme="majorHAnsi"/>
                <w:sz w:val="16"/>
                <w:szCs w:val="16"/>
                <w:lang w:val="ro-MD"/>
              </w:rPr>
              <w:t>î</w:t>
            </w:r>
            <w:r w:rsidRPr="009E5B39">
              <w:rPr>
                <w:rFonts w:asciiTheme="majorHAnsi" w:hAnsiTheme="majorHAnsi" w:cstheme="majorHAnsi"/>
                <w:sz w:val="16"/>
                <w:szCs w:val="16"/>
                <w:lang w:val="ro-MD"/>
              </w:rPr>
              <w:t>ntr-o zonă cu codul„C2”, este necesar de prevăzut % pentru construcție și % pentru locurile de parcare. În proiectul de execuție nu sunt indicate numărul locurilor de parcare.</w:t>
            </w:r>
          </w:p>
        </w:tc>
      </w:tr>
      <w:tr w:rsidR="003E291B" w:rsidRPr="009E5B39" w14:paraId="2612DCAD" w14:textId="77777777" w:rsidTr="00092EAE">
        <w:trPr>
          <w:trHeight w:val="20"/>
        </w:trPr>
        <w:tc>
          <w:tcPr>
            <w:tcW w:w="726" w:type="dxa"/>
            <w:hideMark/>
          </w:tcPr>
          <w:p w14:paraId="018AEFA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05-c/21</w:t>
            </w:r>
          </w:p>
        </w:tc>
        <w:tc>
          <w:tcPr>
            <w:tcW w:w="950" w:type="dxa"/>
            <w:hideMark/>
          </w:tcPr>
          <w:p w14:paraId="4A185FF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05-c/21</w:t>
            </w:r>
          </w:p>
        </w:tc>
        <w:tc>
          <w:tcPr>
            <w:tcW w:w="950" w:type="dxa"/>
            <w:hideMark/>
          </w:tcPr>
          <w:p w14:paraId="2426441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05.01.2021</w:t>
            </w:r>
          </w:p>
        </w:tc>
        <w:tc>
          <w:tcPr>
            <w:tcW w:w="1149" w:type="dxa"/>
            <w:hideMark/>
          </w:tcPr>
          <w:p w14:paraId="6B0F4F5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Albișoara, colț cu str. Mihai Viteazul 20/3</w:t>
            </w:r>
          </w:p>
        </w:tc>
        <w:tc>
          <w:tcPr>
            <w:tcW w:w="1606" w:type="dxa"/>
            <w:hideMark/>
          </w:tcPr>
          <w:p w14:paraId="4562C74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223" w:type="dxa"/>
            <w:hideMark/>
          </w:tcPr>
          <w:p w14:paraId="79836AD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777" w:type="dxa"/>
            <w:hideMark/>
          </w:tcPr>
          <w:p w14:paraId="41A5E27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Amenajarea terenului adiacent cu parcare auto pentru utilitate publică, fără a avea careva relații contractuale  de arendă a terenului municipal.</w:t>
            </w:r>
          </w:p>
        </w:tc>
        <w:tc>
          <w:tcPr>
            <w:tcW w:w="878" w:type="dxa"/>
            <w:hideMark/>
          </w:tcPr>
          <w:p w14:paraId="13ECCF1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7ED238A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61D3D2C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1649149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0CA80D4C" w14:textId="6215F305"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supr. de 6,7486 h(nr. cad. 0100417806, situat în intravilanul mun. Chișinău fiin</w:t>
            </w:r>
            <w:r w:rsidR="0022739D" w:rsidRPr="009E5B39">
              <w:rPr>
                <w:rFonts w:asciiTheme="majorHAnsi" w:hAnsiTheme="majorHAnsi" w:cstheme="majorHAnsi"/>
                <w:sz w:val="16"/>
                <w:szCs w:val="16"/>
                <w:lang w:val="ro-MD"/>
              </w:rPr>
              <w:t>d</w:t>
            </w:r>
            <w:r w:rsidRPr="009E5B39">
              <w:rPr>
                <w:rFonts w:asciiTheme="majorHAnsi" w:hAnsiTheme="majorHAnsi" w:cstheme="majorHAnsi"/>
                <w:sz w:val="16"/>
                <w:szCs w:val="16"/>
                <w:lang w:val="ro-MD"/>
              </w:rPr>
              <w:t xml:space="preserve"> proprietate mun. Chișinău, delimitat în baza deciziei CMC nr.2/18-2 din 27.02.2014., pavilionul comercial cu suprafața totală de 40,5 m.p. proprietatea solicitantului. Zona amenajată pentru parcare auto pe terenul municipal pentru utilitate publică.</w:t>
            </w:r>
          </w:p>
        </w:tc>
      </w:tr>
      <w:tr w:rsidR="003E291B" w:rsidRPr="009E5B39" w14:paraId="516223F3" w14:textId="77777777" w:rsidTr="00092EAE">
        <w:trPr>
          <w:trHeight w:val="20"/>
        </w:trPr>
        <w:tc>
          <w:tcPr>
            <w:tcW w:w="726" w:type="dxa"/>
            <w:hideMark/>
          </w:tcPr>
          <w:p w14:paraId="3CA897F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35-c/21</w:t>
            </w:r>
          </w:p>
        </w:tc>
        <w:tc>
          <w:tcPr>
            <w:tcW w:w="950" w:type="dxa"/>
            <w:hideMark/>
          </w:tcPr>
          <w:p w14:paraId="2AD9A9C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611-c/19          35-c/21</w:t>
            </w:r>
          </w:p>
        </w:tc>
        <w:tc>
          <w:tcPr>
            <w:tcW w:w="950" w:type="dxa"/>
            <w:hideMark/>
          </w:tcPr>
          <w:p w14:paraId="7B531E1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08.11.2019              05.02.2021</w:t>
            </w:r>
          </w:p>
        </w:tc>
        <w:tc>
          <w:tcPr>
            <w:tcW w:w="1149" w:type="dxa"/>
            <w:hideMark/>
          </w:tcPr>
          <w:p w14:paraId="3EB660A7" w14:textId="33E8939E"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Rîșcani, bd. Moscova, 20</w:t>
            </w:r>
          </w:p>
        </w:tc>
        <w:tc>
          <w:tcPr>
            <w:tcW w:w="1606" w:type="dxa"/>
            <w:hideMark/>
          </w:tcPr>
          <w:p w14:paraId="75A6A9BA" w14:textId="7C73F54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terenul(nr. cad. 0100414435) proprietatea mun. Chișinău.,                     încăperile nelocative</w:t>
            </w:r>
            <w:r w:rsidR="0022739D"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(nr</w:t>
            </w:r>
            <w:r w:rsidR="0022739D"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cad. 0100414117.01.254) proprietatea solicitantului.</w:t>
            </w:r>
          </w:p>
        </w:tc>
        <w:tc>
          <w:tcPr>
            <w:tcW w:w="1223" w:type="dxa"/>
            <w:hideMark/>
          </w:tcPr>
          <w:p w14:paraId="15CA343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 municipal 0100414435 - 17,49 ha.                            Teren municipal 0100414117 - 0,208 ha.</w:t>
            </w:r>
          </w:p>
        </w:tc>
        <w:tc>
          <w:tcPr>
            <w:tcW w:w="1777" w:type="dxa"/>
            <w:hideMark/>
          </w:tcPr>
          <w:p w14:paraId="0941EE5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4161103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43B8DA7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25A0D23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25ACF4B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7735434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7EDE84E2" w14:textId="77777777" w:rsidTr="00092EAE">
        <w:trPr>
          <w:trHeight w:val="20"/>
        </w:trPr>
        <w:tc>
          <w:tcPr>
            <w:tcW w:w="726" w:type="dxa"/>
            <w:hideMark/>
          </w:tcPr>
          <w:p w14:paraId="3D0A0D8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171-c/21</w:t>
            </w:r>
          </w:p>
        </w:tc>
        <w:tc>
          <w:tcPr>
            <w:tcW w:w="950" w:type="dxa"/>
            <w:hideMark/>
          </w:tcPr>
          <w:p w14:paraId="45B69FC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171-c/21</w:t>
            </w:r>
          </w:p>
        </w:tc>
        <w:tc>
          <w:tcPr>
            <w:tcW w:w="950" w:type="dxa"/>
            <w:hideMark/>
          </w:tcPr>
          <w:p w14:paraId="0A1B9E8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14.06.2021</w:t>
            </w:r>
          </w:p>
        </w:tc>
        <w:tc>
          <w:tcPr>
            <w:tcW w:w="1149" w:type="dxa"/>
            <w:hideMark/>
          </w:tcPr>
          <w:p w14:paraId="609DA51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Buiucani, str. Vasile Lupu 28</w:t>
            </w:r>
          </w:p>
        </w:tc>
        <w:tc>
          <w:tcPr>
            <w:tcW w:w="1606" w:type="dxa"/>
            <w:hideMark/>
          </w:tcPr>
          <w:p w14:paraId="1AD258F7" w14:textId="07959FAE"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w:t>
            </w:r>
            <w:r w:rsidR="0022739D" w:rsidRPr="009E5B39">
              <w:rPr>
                <w:rFonts w:asciiTheme="majorHAnsi" w:hAnsiTheme="majorHAnsi" w:cstheme="majorHAnsi"/>
                <w:sz w:val="16"/>
                <w:szCs w:val="16"/>
                <w:lang w:val="ro-MD"/>
              </w:rPr>
              <w:t>l</w:t>
            </w:r>
            <w:r w:rsidRPr="009E5B39">
              <w:rPr>
                <w:rFonts w:asciiTheme="majorHAnsi" w:hAnsiTheme="majorHAnsi" w:cstheme="majorHAnsi"/>
                <w:sz w:val="16"/>
                <w:szCs w:val="16"/>
                <w:lang w:val="ro-MD"/>
              </w:rPr>
              <w:t xml:space="preserve"> cu nr. cadastral 0100515519 - proprietatea solicitantului în baza contr</w:t>
            </w:r>
            <w:r w:rsidR="0022739D"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de v</w:t>
            </w:r>
            <w:r w:rsidR="0022739D" w:rsidRPr="009E5B39">
              <w:rPr>
                <w:rFonts w:asciiTheme="majorHAnsi" w:hAnsiTheme="majorHAnsi" w:cstheme="majorHAnsi"/>
                <w:sz w:val="16"/>
                <w:szCs w:val="16"/>
                <w:lang w:val="ro-MD"/>
              </w:rPr>
              <w:t>â</w:t>
            </w:r>
            <w:r w:rsidRPr="009E5B39">
              <w:rPr>
                <w:rFonts w:asciiTheme="majorHAnsi" w:hAnsiTheme="majorHAnsi" w:cstheme="majorHAnsi"/>
                <w:sz w:val="16"/>
                <w:szCs w:val="16"/>
                <w:lang w:val="ro-MD"/>
              </w:rPr>
              <w:t>nzare</w:t>
            </w:r>
            <w:r w:rsidR="0022739D"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cumpărare nr.1-353 din 18.11.2020, conform datelor RBI.</w:t>
            </w:r>
          </w:p>
        </w:tc>
        <w:tc>
          <w:tcPr>
            <w:tcW w:w="1223" w:type="dxa"/>
            <w:hideMark/>
          </w:tcPr>
          <w:p w14:paraId="12ABC2C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1,5 ha</w:t>
            </w:r>
          </w:p>
        </w:tc>
        <w:tc>
          <w:tcPr>
            <w:tcW w:w="1777" w:type="dxa"/>
            <w:hideMark/>
          </w:tcPr>
          <w:p w14:paraId="625B942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6E5033F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15E5D48F" w14:textId="480F392D"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deciziei CMC 2/9 din 05.02.2019 a fost aprobat Planul urbanistic Zonal privind valorificarea terenului cu nr. cad. 0100515519, și operate mod</w:t>
            </w:r>
            <w:r w:rsidR="0022739D" w:rsidRPr="009E5B39">
              <w:rPr>
                <w:rFonts w:asciiTheme="majorHAnsi" w:hAnsiTheme="majorHAnsi" w:cstheme="majorHAnsi"/>
                <w:sz w:val="16"/>
                <w:szCs w:val="16"/>
                <w:lang w:val="ro-MD"/>
              </w:rPr>
              <w:t>i</w:t>
            </w:r>
            <w:r w:rsidRPr="009E5B39">
              <w:rPr>
                <w:rFonts w:asciiTheme="majorHAnsi" w:hAnsiTheme="majorHAnsi" w:cstheme="majorHAnsi"/>
                <w:sz w:val="16"/>
                <w:szCs w:val="16"/>
                <w:lang w:val="ro-MD"/>
              </w:rPr>
              <w:t>ficări în regulamentul local de urbanism, în vederea schimbării codului de reglement. Urbanistică  din „Re”(zona de revitalizare) în codul „R7„(zona rezidențială</w:t>
            </w:r>
            <w:r w:rsidR="0022739D"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cu densitate medie) și par</w:t>
            </w:r>
            <w:r w:rsidR="0022739D" w:rsidRPr="009E5B39">
              <w:rPr>
                <w:rFonts w:asciiTheme="majorHAnsi" w:hAnsiTheme="majorHAnsi" w:cstheme="majorHAnsi"/>
                <w:sz w:val="16"/>
                <w:szCs w:val="16"/>
                <w:lang w:val="ro-MD"/>
              </w:rPr>
              <w:t>ț</w:t>
            </w:r>
            <w:r w:rsidRPr="009E5B39">
              <w:rPr>
                <w:rFonts w:asciiTheme="majorHAnsi" w:hAnsiTheme="majorHAnsi" w:cstheme="majorHAnsi"/>
                <w:sz w:val="16"/>
                <w:szCs w:val="16"/>
                <w:lang w:val="ro-MD"/>
              </w:rPr>
              <w:t>ial codul</w:t>
            </w:r>
            <w:r w:rsidR="0022739D"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 xml:space="preserve">„S”(cu funcțiuni speciale) construirea unei grădinițe.  Procentul de ocupare a construcției 32,15% și asigurarea parcajelor </w:t>
            </w:r>
            <w:r w:rsidR="009B5922" w:rsidRPr="009E5B39">
              <w:rPr>
                <w:rFonts w:asciiTheme="majorHAnsi" w:hAnsiTheme="majorHAnsi" w:cstheme="majorHAnsi"/>
                <w:sz w:val="16"/>
                <w:szCs w:val="16"/>
                <w:lang w:val="ro-MD"/>
              </w:rPr>
              <w:t>a</w:t>
            </w:r>
            <w:r w:rsidRPr="009E5B39">
              <w:rPr>
                <w:rFonts w:asciiTheme="majorHAnsi" w:hAnsiTheme="majorHAnsi" w:cstheme="majorHAnsi"/>
                <w:sz w:val="16"/>
                <w:szCs w:val="16"/>
                <w:lang w:val="ro-MD"/>
              </w:rPr>
              <w:t>uto pentru locatari la 70%.</w:t>
            </w:r>
          </w:p>
        </w:tc>
        <w:tc>
          <w:tcPr>
            <w:tcW w:w="1361" w:type="dxa"/>
            <w:hideMark/>
          </w:tcPr>
          <w:p w14:paraId="2D183F5A" w14:textId="2C4871C9"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În proiect nu sunt indicate numărul apartamentelo</w:t>
            </w:r>
            <w:r w:rsidR="0022739D" w:rsidRPr="009E5B39">
              <w:rPr>
                <w:rFonts w:asciiTheme="majorHAnsi" w:hAnsiTheme="majorHAnsi" w:cstheme="majorHAnsi"/>
                <w:sz w:val="16"/>
                <w:szCs w:val="16"/>
                <w:lang w:val="ro-MD"/>
              </w:rPr>
              <w:t>r</w:t>
            </w:r>
            <w:r w:rsidRPr="009E5B39">
              <w:rPr>
                <w:rFonts w:asciiTheme="majorHAnsi" w:hAnsiTheme="majorHAnsi" w:cstheme="majorHAnsi"/>
                <w:sz w:val="16"/>
                <w:szCs w:val="16"/>
                <w:lang w:val="ro-MD"/>
              </w:rPr>
              <w:t xml:space="preserve"> și  parcărilor auto. Conform datelor RBI  4 blocuri de locuit cu  327 apartamente-226 locuri par</w:t>
            </w:r>
            <w:r w:rsidR="0022739D" w:rsidRPr="009E5B39">
              <w:rPr>
                <w:rFonts w:asciiTheme="majorHAnsi" w:hAnsiTheme="majorHAnsi" w:cstheme="majorHAnsi"/>
                <w:sz w:val="16"/>
                <w:szCs w:val="16"/>
                <w:lang w:val="ro-MD"/>
              </w:rPr>
              <w:t>ca</w:t>
            </w:r>
            <w:r w:rsidRPr="009E5B39">
              <w:rPr>
                <w:rFonts w:asciiTheme="majorHAnsi" w:hAnsiTheme="majorHAnsi" w:cstheme="majorHAnsi"/>
                <w:sz w:val="16"/>
                <w:szCs w:val="16"/>
                <w:lang w:val="ro-MD"/>
              </w:rPr>
              <w:t>re; 367 apartamente-151 locuri par</w:t>
            </w:r>
            <w:r w:rsidR="0022739D" w:rsidRPr="009E5B39">
              <w:rPr>
                <w:rFonts w:asciiTheme="majorHAnsi" w:hAnsiTheme="majorHAnsi" w:cstheme="majorHAnsi"/>
                <w:sz w:val="16"/>
                <w:szCs w:val="16"/>
                <w:lang w:val="ro-MD"/>
              </w:rPr>
              <w:t>ca</w:t>
            </w:r>
            <w:r w:rsidRPr="009E5B39">
              <w:rPr>
                <w:rFonts w:asciiTheme="majorHAnsi" w:hAnsiTheme="majorHAnsi" w:cstheme="majorHAnsi"/>
                <w:sz w:val="16"/>
                <w:szCs w:val="16"/>
                <w:lang w:val="ro-MD"/>
              </w:rPr>
              <w:t>re; 158 apartamente-47 locuri par</w:t>
            </w:r>
            <w:r w:rsidR="0022739D" w:rsidRPr="009E5B39">
              <w:rPr>
                <w:rFonts w:asciiTheme="majorHAnsi" w:hAnsiTheme="majorHAnsi" w:cstheme="majorHAnsi"/>
                <w:sz w:val="16"/>
                <w:szCs w:val="16"/>
                <w:lang w:val="ro-MD"/>
              </w:rPr>
              <w:t>ca</w:t>
            </w:r>
            <w:r w:rsidRPr="009E5B39">
              <w:rPr>
                <w:rFonts w:asciiTheme="majorHAnsi" w:hAnsiTheme="majorHAnsi" w:cstheme="majorHAnsi"/>
                <w:sz w:val="16"/>
                <w:szCs w:val="16"/>
                <w:lang w:val="ro-MD"/>
              </w:rPr>
              <w:t>re; 259 apartamente-72 locuri parcare.</w:t>
            </w:r>
          </w:p>
        </w:tc>
        <w:tc>
          <w:tcPr>
            <w:tcW w:w="1559" w:type="dxa"/>
            <w:hideMark/>
          </w:tcPr>
          <w:p w14:paraId="16432B8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29E986A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527CCBAD" w14:textId="77777777" w:rsidTr="00092EAE">
        <w:trPr>
          <w:trHeight w:val="20"/>
        </w:trPr>
        <w:tc>
          <w:tcPr>
            <w:tcW w:w="726" w:type="dxa"/>
            <w:hideMark/>
          </w:tcPr>
          <w:p w14:paraId="399CCD5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109-c/21</w:t>
            </w:r>
          </w:p>
        </w:tc>
        <w:tc>
          <w:tcPr>
            <w:tcW w:w="950" w:type="dxa"/>
            <w:hideMark/>
          </w:tcPr>
          <w:p w14:paraId="4F7F149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109-c/21</w:t>
            </w:r>
          </w:p>
        </w:tc>
        <w:tc>
          <w:tcPr>
            <w:tcW w:w="950" w:type="dxa"/>
            <w:hideMark/>
          </w:tcPr>
          <w:p w14:paraId="5946D53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29.04.2021</w:t>
            </w:r>
          </w:p>
        </w:tc>
        <w:tc>
          <w:tcPr>
            <w:tcW w:w="1149" w:type="dxa"/>
            <w:hideMark/>
          </w:tcPr>
          <w:p w14:paraId="0D6E03A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Buiucani, str. 31 august 78</w:t>
            </w:r>
          </w:p>
        </w:tc>
        <w:tc>
          <w:tcPr>
            <w:tcW w:w="1606" w:type="dxa"/>
            <w:hideMark/>
          </w:tcPr>
          <w:p w14:paraId="508E2C3A" w14:textId="6A9CD751"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 cu nr. cad. 0100520206, cu supr de 0,587 ha pro</w:t>
            </w:r>
            <w:r w:rsidR="0022739D" w:rsidRPr="009E5B39">
              <w:rPr>
                <w:rFonts w:asciiTheme="majorHAnsi" w:hAnsiTheme="majorHAnsi" w:cstheme="majorHAnsi"/>
                <w:sz w:val="16"/>
                <w:szCs w:val="16"/>
                <w:lang w:val="ro-MD"/>
              </w:rPr>
              <w:t>p</w:t>
            </w:r>
            <w:r w:rsidRPr="009E5B39">
              <w:rPr>
                <w:rFonts w:asciiTheme="majorHAnsi" w:hAnsiTheme="majorHAnsi" w:cstheme="majorHAnsi"/>
                <w:sz w:val="16"/>
                <w:szCs w:val="16"/>
                <w:lang w:val="ro-MD"/>
              </w:rPr>
              <w:t>rietate de stat</w:t>
            </w:r>
            <w:r w:rsidR="0022739D"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(RM).</w:t>
            </w:r>
          </w:p>
        </w:tc>
        <w:tc>
          <w:tcPr>
            <w:tcW w:w="1223" w:type="dxa"/>
            <w:hideMark/>
          </w:tcPr>
          <w:p w14:paraId="794386C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0,587 h</w:t>
            </w:r>
          </w:p>
        </w:tc>
        <w:tc>
          <w:tcPr>
            <w:tcW w:w="1777" w:type="dxa"/>
            <w:hideMark/>
          </w:tcPr>
          <w:p w14:paraId="2E95AA94" w14:textId="6766976E"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nr. cad.0100520206 cu supr de 0,587 h, proprietar RM, a fost transmis în folosință la 19.05.2015 instituției publice UTM, cu construcțiile în gestiune economică tot RM, nr. cad.0100520206.01 și 02., cu supr. de 1002,8 m.p. și 1258,4 m.p.,  confirmat prin informați</w:t>
            </w:r>
            <w:r w:rsidR="000C5683" w:rsidRPr="009E5B39">
              <w:rPr>
                <w:rFonts w:asciiTheme="majorHAnsi" w:hAnsiTheme="majorHAnsi" w:cstheme="majorHAnsi"/>
                <w:sz w:val="16"/>
                <w:szCs w:val="16"/>
                <w:lang w:val="ro-MD"/>
              </w:rPr>
              <w:t>a</w:t>
            </w:r>
            <w:r w:rsidRPr="009E5B39">
              <w:rPr>
                <w:rFonts w:asciiTheme="majorHAnsi" w:hAnsiTheme="majorHAnsi" w:cstheme="majorHAnsi"/>
                <w:sz w:val="16"/>
                <w:szCs w:val="16"/>
                <w:lang w:val="ro-MD"/>
              </w:rPr>
              <w:t xml:space="preserve"> din RBI. Procentul de ocupare a terenului 80%.Cu privire la executarea proiectului a fost dat avizul expertizei arheologice și fișa de avizare al ședinței Consiliului Na</w:t>
            </w:r>
            <w:r w:rsidR="000C5683" w:rsidRPr="009E5B39">
              <w:rPr>
                <w:rFonts w:asciiTheme="majorHAnsi" w:hAnsiTheme="majorHAnsi" w:cstheme="majorHAnsi"/>
                <w:sz w:val="16"/>
                <w:szCs w:val="16"/>
                <w:lang w:val="ro-MD"/>
              </w:rPr>
              <w:t>ț</w:t>
            </w:r>
            <w:r w:rsidRPr="009E5B39">
              <w:rPr>
                <w:rFonts w:asciiTheme="majorHAnsi" w:hAnsiTheme="majorHAnsi" w:cstheme="majorHAnsi"/>
                <w:sz w:val="16"/>
                <w:szCs w:val="16"/>
                <w:lang w:val="ro-MD"/>
              </w:rPr>
              <w:t>ional al monumentelor istorice.</w:t>
            </w:r>
          </w:p>
        </w:tc>
        <w:tc>
          <w:tcPr>
            <w:tcW w:w="878" w:type="dxa"/>
            <w:hideMark/>
          </w:tcPr>
          <w:p w14:paraId="3EBDAB0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0D5745C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681B832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028470E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2DEC04B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677185BC" w14:textId="77777777" w:rsidTr="00092EAE">
        <w:trPr>
          <w:trHeight w:val="20"/>
        </w:trPr>
        <w:tc>
          <w:tcPr>
            <w:tcW w:w="726" w:type="dxa"/>
            <w:hideMark/>
          </w:tcPr>
          <w:p w14:paraId="189E805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361-c/21</w:t>
            </w:r>
          </w:p>
        </w:tc>
        <w:tc>
          <w:tcPr>
            <w:tcW w:w="950" w:type="dxa"/>
            <w:hideMark/>
          </w:tcPr>
          <w:p w14:paraId="13AF6BC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361-c/21</w:t>
            </w:r>
          </w:p>
        </w:tc>
        <w:tc>
          <w:tcPr>
            <w:tcW w:w="950" w:type="dxa"/>
            <w:hideMark/>
          </w:tcPr>
          <w:p w14:paraId="4BC715D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13.09.2021</w:t>
            </w:r>
          </w:p>
        </w:tc>
        <w:tc>
          <w:tcPr>
            <w:tcW w:w="1149" w:type="dxa"/>
            <w:hideMark/>
          </w:tcPr>
          <w:p w14:paraId="2F9D19A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botanica, str. Sarmisegetusa</w:t>
            </w:r>
          </w:p>
        </w:tc>
        <w:tc>
          <w:tcPr>
            <w:tcW w:w="1606" w:type="dxa"/>
            <w:hideMark/>
          </w:tcPr>
          <w:p w14:paraId="38ED8830" w14:textId="6AE83B8C"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Teren cu nr. cad. 0100107001 , teren proprietate privată a solicitantului din 25.02.2020 în baza contr. </w:t>
            </w:r>
            <w:r w:rsidR="000C5683" w:rsidRPr="009E5B39">
              <w:rPr>
                <w:rFonts w:asciiTheme="majorHAnsi" w:hAnsiTheme="majorHAnsi" w:cstheme="majorHAnsi"/>
                <w:sz w:val="16"/>
                <w:szCs w:val="16"/>
                <w:lang w:val="ro-MD"/>
              </w:rPr>
              <w:t>d</w:t>
            </w:r>
            <w:r w:rsidRPr="009E5B39">
              <w:rPr>
                <w:rFonts w:asciiTheme="majorHAnsi" w:hAnsiTheme="majorHAnsi" w:cstheme="majorHAnsi"/>
                <w:sz w:val="16"/>
                <w:szCs w:val="16"/>
                <w:lang w:val="ro-MD"/>
              </w:rPr>
              <w:t>e v</w:t>
            </w:r>
            <w:r w:rsidR="000C5683" w:rsidRPr="009E5B39">
              <w:rPr>
                <w:rFonts w:asciiTheme="majorHAnsi" w:hAnsiTheme="majorHAnsi" w:cstheme="majorHAnsi"/>
                <w:sz w:val="16"/>
                <w:szCs w:val="16"/>
                <w:lang w:val="ro-MD"/>
              </w:rPr>
              <w:t>â</w:t>
            </w:r>
            <w:r w:rsidRPr="009E5B39">
              <w:rPr>
                <w:rFonts w:asciiTheme="majorHAnsi" w:hAnsiTheme="majorHAnsi" w:cstheme="majorHAnsi"/>
                <w:sz w:val="16"/>
                <w:szCs w:val="16"/>
                <w:lang w:val="ro-MD"/>
              </w:rPr>
              <w:t xml:space="preserve">nzare-cumpărare nr. 380 din 24.02.2020. </w:t>
            </w:r>
          </w:p>
        </w:tc>
        <w:tc>
          <w:tcPr>
            <w:tcW w:w="1223" w:type="dxa"/>
            <w:hideMark/>
          </w:tcPr>
          <w:p w14:paraId="0B8E6A9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0,014 h</w:t>
            </w:r>
          </w:p>
        </w:tc>
        <w:tc>
          <w:tcPr>
            <w:tcW w:w="1777" w:type="dxa"/>
            <w:hideMark/>
          </w:tcPr>
          <w:p w14:paraId="719BCB77" w14:textId="23E4AF8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proiectului de execuție executat de SRL</w:t>
            </w:r>
            <w:r w:rsidR="000C5683"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 xml:space="preserve">„Cazacu”, pe ternul privat cu nr. cad. 0100107001 , situat </w:t>
            </w:r>
            <w:r w:rsidR="00EC524A" w:rsidRPr="009E5B39">
              <w:rPr>
                <w:rFonts w:asciiTheme="majorHAnsi" w:hAnsiTheme="majorHAnsi" w:cstheme="majorHAnsi"/>
                <w:sz w:val="16"/>
                <w:szCs w:val="16"/>
                <w:lang w:val="ro-MD"/>
              </w:rPr>
              <w:t xml:space="preserve">în </w:t>
            </w:r>
            <w:r w:rsidRPr="009E5B39">
              <w:rPr>
                <w:rFonts w:asciiTheme="majorHAnsi" w:hAnsiTheme="majorHAnsi" w:cstheme="majorHAnsi"/>
                <w:sz w:val="16"/>
                <w:szCs w:val="16"/>
                <w:lang w:val="ro-MD"/>
              </w:rPr>
              <w:t xml:space="preserve">mun. Chișinău, strada </w:t>
            </w:r>
            <w:r w:rsidR="000C5683" w:rsidRPr="009E5B39">
              <w:rPr>
                <w:rFonts w:asciiTheme="majorHAnsi" w:hAnsiTheme="majorHAnsi" w:cstheme="majorHAnsi"/>
                <w:sz w:val="16"/>
                <w:szCs w:val="16"/>
                <w:lang w:val="ro-MD"/>
              </w:rPr>
              <w:t>S</w:t>
            </w:r>
            <w:r w:rsidRPr="009E5B39">
              <w:rPr>
                <w:rFonts w:asciiTheme="majorHAnsi" w:hAnsiTheme="majorHAnsi" w:cstheme="majorHAnsi"/>
                <w:sz w:val="16"/>
                <w:szCs w:val="16"/>
                <w:lang w:val="ro-MD"/>
              </w:rPr>
              <w:t xml:space="preserve">armisegetusa, se prevede construcția uni obiectiv comercial cu nivelul de înălțime P,. Construcția se va efectua pe suprafața terenului privat, </w:t>
            </w:r>
            <w:r w:rsidR="000C5683" w:rsidRPr="009E5B39">
              <w:rPr>
                <w:rFonts w:asciiTheme="majorHAnsi" w:hAnsiTheme="majorHAnsi" w:cstheme="majorHAnsi"/>
                <w:sz w:val="16"/>
                <w:szCs w:val="16"/>
                <w:lang w:val="ro-MD"/>
              </w:rPr>
              <w:t>i</w:t>
            </w:r>
            <w:r w:rsidRPr="009E5B39">
              <w:rPr>
                <w:rFonts w:asciiTheme="majorHAnsi" w:hAnsiTheme="majorHAnsi" w:cstheme="majorHAnsi"/>
                <w:sz w:val="16"/>
                <w:szCs w:val="16"/>
                <w:lang w:val="ro-MD"/>
              </w:rPr>
              <w:t>ar pe terenul adiacent cu nr. cad. 0100107445-teren municipal, va fi amen</w:t>
            </w:r>
            <w:r w:rsidR="000C5683" w:rsidRPr="009E5B39">
              <w:rPr>
                <w:rFonts w:asciiTheme="majorHAnsi" w:hAnsiTheme="majorHAnsi" w:cstheme="majorHAnsi"/>
                <w:sz w:val="16"/>
                <w:szCs w:val="16"/>
                <w:lang w:val="ro-MD"/>
              </w:rPr>
              <w:t>a</w:t>
            </w:r>
            <w:r w:rsidRPr="009E5B39">
              <w:rPr>
                <w:rFonts w:asciiTheme="majorHAnsi" w:hAnsiTheme="majorHAnsi" w:cstheme="majorHAnsi"/>
                <w:sz w:val="16"/>
                <w:szCs w:val="16"/>
                <w:lang w:val="ro-MD"/>
              </w:rPr>
              <w:t>jată o parcare auto pentru clienții centrului comercial, dar fără a fi încheiat un careva contract de arendă funciară a terenului munic</w:t>
            </w:r>
            <w:r w:rsidR="000C5683" w:rsidRPr="009E5B39">
              <w:rPr>
                <w:rFonts w:asciiTheme="majorHAnsi" w:hAnsiTheme="majorHAnsi" w:cstheme="majorHAnsi"/>
                <w:sz w:val="16"/>
                <w:szCs w:val="16"/>
                <w:lang w:val="ro-MD"/>
              </w:rPr>
              <w:t>i</w:t>
            </w:r>
            <w:r w:rsidRPr="009E5B39">
              <w:rPr>
                <w:rFonts w:asciiTheme="majorHAnsi" w:hAnsiTheme="majorHAnsi" w:cstheme="majorHAnsi"/>
                <w:sz w:val="16"/>
                <w:szCs w:val="16"/>
                <w:lang w:val="ro-MD"/>
              </w:rPr>
              <w:t>pal.</w:t>
            </w:r>
          </w:p>
        </w:tc>
        <w:tc>
          <w:tcPr>
            <w:tcW w:w="878" w:type="dxa"/>
            <w:hideMark/>
          </w:tcPr>
          <w:p w14:paraId="00D97F4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32F59C8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138345B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2E16F5F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41E7749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78E6D5E1" w14:textId="77777777" w:rsidTr="00092EAE">
        <w:trPr>
          <w:trHeight w:val="20"/>
        </w:trPr>
        <w:tc>
          <w:tcPr>
            <w:tcW w:w="726" w:type="dxa"/>
            <w:hideMark/>
          </w:tcPr>
          <w:p w14:paraId="0924659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351-c/21</w:t>
            </w:r>
          </w:p>
        </w:tc>
        <w:tc>
          <w:tcPr>
            <w:tcW w:w="950" w:type="dxa"/>
            <w:hideMark/>
          </w:tcPr>
          <w:p w14:paraId="545A726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351-c/21</w:t>
            </w:r>
          </w:p>
        </w:tc>
        <w:tc>
          <w:tcPr>
            <w:tcW w:w="950" w:type="dxa"/>
            <w:hideMark/>
          </w:tcPr>
          <w:p w14:paraId="2CE4A34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01.09.2021</w:t>
            </w:r>
          </w:p>
        </w:tc>
        <w:tc>
          <w:tcPr>
            <w:tcW w:w="1149" w:type="dxa"/>
            <w:hideMark/>
          </w:tcPr>
          <w:p w14:paraId="5A57BE6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Rîșcani, str. Cojocarilor 20</w:t>
            </w:r>
          </w:p>
        </w:tc>
        <w:tc>
          <w:tcPr>
            <w:tcW w:w="1606" w:type="dxa"/>
            <w:hideMark/>
          </w:tcPr>
          <w:p w14:paraId="7330E57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 cu nr. cad 0100420465 teren municipal</w:t>
            </w:r>
          </w:p>
        </w:tc>
        <w:tc>
          <w:tcPr>
            <w:tcW w:w="1223" w:type="dxa"/>
            <w:hideMark/>
          </w:tcPr>
          <w:p w14:paraId="35E0C55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0,358 h</w:t>
            </w:r>
          </w:p>
        </w:tc>
        <w:tc>
          <w:tcPr>
            <w:tcW w:w="1777" w:type="dxa"/>
            <w:hideMark/>
          </w:tcPr>
          <w:p w14:paraId="0AFFD88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14235E4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2BE5C24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285C20B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716032BE" w14:textId="172E976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Imobilul este amplasat în zona codul„C5”, (comercială, regimul de înălțime mică). Trebuie de prevăzut obligatoriu parcaje auto pentru locatari în proprorție de 70%din numărul de locuințe și de amenajare a teritoriului cu teren de joacă de odihnă pentru maturi.</w:t>
            </w:r>
          </w:p>
        </w:tc>
        <w:tc>
          <w:tcPr>
            <w:tcW w:w="1310" w:type="dxa"/>
            <w:hideMark/>
          </w:tcPr>
          <w:p w14:paraId="1287A58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6F71EDAC" w14:textId="77777777" w:rsidTr="00092EAE">
        <w:trPr>
          <w:trHeight w:val="20"/>
        </w:trPr>
        <w:tc>
          <w:tcPr>
            <w:tcW w:w="726" w:type="dxa"/>
            <w:hideMark/>
          </w:tcPr>
          <w:p w14:paraId="4AA819C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328-c/21</w:t>
            </w:r>
          </w:p>
        </w:tc>
        <w:tc>
          <w:tcPr>
            <w:tcW w:w="950" w:type="dxa"/>
            <w:hideMark/>
          </w:tcPr>
          <w:p w14:paraId="2DF145F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328-c/21</w:t>
            </w:r>
          </w:p>
        </w:tc>
        <w:tc>
          <w:tcPr>
            <w:tcW w:w="950" w:type="dxa"/>
            <w:hideMark/>
          </w:tcPr>
          <w:p w14:paraId="1C155BA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19.08.2021</w:t>
            </w:r>
          </w:p>
        </w:tc>
        <w:tc>
          <w:tcPr>
            <w:tcW w:w="1149" w:type="dxa"/>
            <w:hideMark/>
          </w:tcPr>
          <w:p w14:paraId="7A69465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Rîșcani, bd. renașterii Naționle nr.10</w:t>
            </w:r>
          </w:p>
        </w:tc>
        <w:tc>
          <w:tcPr>
            <w:tcW w:w="1606" w:type="dxa"/>
            <w:hideMark/>
          </w:tcPr>
          <w:p w14:paraId="33BB83E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nr. cad. 0100423536  teren proprietate privată a solicitantului</w:t>
            </w:r>
          </w:p>
        </w:tc>
        <w:tc>
          <w:tcPr>
            <w:tcW w:w="1223" w:type="dxa"/>
            <w:hideMark/>
          </w:tcPr>
          <w:p w14:paraId="3BC096D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0,2167 h</w:t>
            </w:r>
          </w:p>
        </w:tc>
        <w:tc>
          <w:tcPr>
            <w:tcW w:w="1777" w:type="dxa"/>
            <w:hideMark/>
          </w:tcPr>
          <w:p w14:paraId="66670F4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1AC286A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33B4059D" w14:textId="3E0116E6"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Prin comasarea a două terenuri proprieta</w:t>
            </w:r>
            <w:r w:rsidR="000C5683" w:rsidRPr="009E5B39">
              <w:rPr>
                <w:rFonts w:asciiTheme="majorHAnsi" w:hAnsiTheme="majorHAnsi" w:cstheme="majorHAnsi"/>
                <w:sz w:val="16"/>
                <w:szCs w:val="16"/>
                <w:lang w:val="ro-MD"/>
              </w:rPr>
              <w:t>t</w:t>
            </w:r>
            <w:r w:rsidRPr="009E5B39">
              <w:rPr>
                <w:rFonts w:asciiTheme="majorHAnsi" w:hAnsiTheme="majorHAnsi" w:cstheme="majorHAnsi"/>
                <w:sz w:val="16"/>
                <w:szCs w:val="16"/>
                <w:lang w:val="ro-MD"/>
              </w:rPr>
              <w:t>ea solicitantului, cu nr. cad. 011423519, mun. Chișinău str. Bd Renașteri  Naționale, 19, și nr. cad. 0100423534, mun. Chi</w:t>
            </w:r>
            <w:r w:rsidR="000C5683" w:rsidRPr="009E5B39">
              <w:rPr>
                <w:rFonts w:asciiTheme="majorHAnsi" w:hAnsiTheme="majorHAnsi" w:cstheme="majorHAnsi"/>
                <w:sz w:val="16"/>
                <w:szCs w:val="16"/>
                <w:lang w:val="ro-MD"/>
              </w:rPr>
              <w:t>și</w:t>
            </w:r>
            <w:r w:rsidRPr="009E5B39">
              <w:rPr>
                <w:rFonts w:asciiTheme="majorHAnsi" w:hAnsiTheme="majorHAnsi" w:cstheme="majorHAnsi"/>
                <w:sz w:val="16"/>
                <w:szCs w:val="16"/>
                <w:lang w:val="ro-MD"/>
              </w:rPr>
              <w:t>nău. Str. Pietrăriei, 15, a fost eliberată autorizația de construire a blocului locativ pe terenul cu nr. cad. 0100423536.  Potrivit PUZ aprobat, terenurile private sunt amplasate parțial în zona „C”(comercială, birouri, construcții cu n</w:t>
            </w:r>
            <w:r w:rsidR="0022739D" w:rsidRPr="009E5B39">
              <w:rPr>
                <w:rFonts w:asciiTheme="majorHAnsi" w:hAnsiTheme="majorHAnsi" w:cstheme="majorHAnsi"/>
                <w:sz w:val="16"/>
                <w:szCs w:val="16"/>
                <w:lang w:val="ro-MD"/>
              </w:rPr>
              <w:t>i</w:t>
            </w:r>
            <w:r w:rsidRPr="009E5B39">
              <w:rPr>
                <w:rFonts w:asciiTheme="majorHAnsi" w:hAnsiTheme="majorHAnsi" w:cstheme="majorHAnsi"/>
                <w:sz w:val="16"/>
                <w:szCs w:val="16"/>
                <w:lang w:val="ro-MD"/>
              </w:rPr>
              <w:t>vel mic)</w:t>
            </w:r>
            <w:r w:rsidR="0022739D"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și parțial în zona „R7”(construcții rezidențiale cu densitate medie, locuințe cu nivel înalte). Fără a ține cont de cele menționate CMC a eliberat A/C pentru construirea blocului locativ  P+11E și P+14E.pe aceste terenuri private. Totodată trebuie de ținut cont de procentul de ocupare a construcției 30-35% și procentul pentru parcarea și amenajarea teri</w:t>
            </w:r>
            <w:r w:rsidR="0022739D" w:rsidRPr="009E5B39">
              <w:rPr>
                <w:rFonts w:asciiTheme="majorHAnsi" w:hAnsiTheme="majorHAnsi" w:cstheme="majorHAnsi"/>
                <w:sz w:val="16"/>
                <w:szCs w:val="16"/>
                <w:lang w:val="ro-MD"/>
              </w:rPr>
              <w:t>t</w:t>
            </w:r>
            <w:r w:rsidRPr="009E5B39">
              <w:rPr>
                <w:rFonts w:asciiTheme="majorHAnsi" w:hAnsiTheme="majorHAnsi" w:cstheme="majorHAnsi"/>
                <w:sz w:val="16"/>
                <w:szCs w:val="16"/>
                <w:lang w:val="ro-MD"/>
              </w:rPr>
              <w:t xml:space="preserve">oriului în cuantum de 70% din suprafața terenului. </w:t>
            </w:r>
          </w:p>
        </w:tc>
        <w:tc>
          <w:tcPr>
            <w:tcW w:w="1361" w:type="dxa"/>
            <w:hideMark/>
          </w:tcPr>
          <w:p w14:paraId="1C482F2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proiectului sunt prevăzute 193 apartamente</w:t>
            </w:r>
          </w:p>
        </w:tc>
        <w:tc>
          <w:tcPr>
            <w:tcW w:w="1559" w:type="dxa"/>
            <w:hideMark/>
          </w:tcPr>
          <w:p w14:paraId="1846B4B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6B8F31AF" w14:textId="4AD843B4"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proiectului sunt prevăzute 3 niveluri de parcare în jos cu 137 locuri de par</w:t>
            </w:r>
            <w:r w:rsidR="000C5683" w:rsidRPr="009E5B39">
              <w:rPr>
                <w:rFonts w:asciiTheme="majorHAnsi" w:hAnsiTheme="majorHAnsi" w:cstheme="majorHAnsi"/>
                <w:sz w:val="16"/>
                <w:szCs w:val="16"/>
                <w:lang w:val="ro-MD"/>
              </w:rPr>
              <w:t>ca</w:t>
            </w:r>
            <w:r w:rsidRPr="009E5B39">
              <w:rPr>
                <w:rFonts w:asciiTheme="majorHAnsi" w:hAnsiTheme="majorHAnsi" w:cstheme="majorHAnsi"/>
                <w:sz w:val="16"/>
                <w:szCs w:val="16"/>
                <w:lang w:val="ro-MD"/>
              </w:rPr>
              <w:t>re</w:t>
            </w:r>
          </w:p>
        </w:tc>
      </w:tr>
      <w:tr w:rsidR="003E291B" w:rsidRPr="009E5B39" w14:paraId="0F1F5FAE" w14:textId="77777777" w:rsidTr="00092EAE">
        <w:trPr>
          <w:trHeight w:val="20"/>
        </w:trPr>
        <w:tc>
          <w:tcPr>
            <w:tcW w:w="726" w:type="dxa"/>
            <w:hideMark/>
          </w:tcPr>
          <w:p w14:paraId="00B7DD4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302-c/21</w:t>
            </w:r>
          </w:p>
        </w:tc>
        <w:tc>
          <w:tcPr>
            <w:tcW w:w="950" w:type="dxa"/>
            <w:hideMark/>
          </w:tcPr>
          <w:p w14:paraId="28B138D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302-c/21</w:t>
            </w:r>
          </w:p>
        </w:tc>
        <w:tc>
          <w:tcPr>
            <w:tcW w:w="950" w:type="dxa"/>
            <w:hideMark/>
          </w:tcPr>
          <w:p w14:paraId="31DDC16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12.08.2021</w:t>
            </w:r>
          </w:p>
        </w:tc>
        <w:tc>
          <w:tcPr>
            <w:tcW w:w="1149" w:type="dxa"/>
            <w:hideMark/>
          </w:tcPr>
          <w:p w14:paraId="235288F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Ciocana, porțiunea str. Mihai Sadoveanu pînă la str. Igor Vieru</w:t>
            </w:r>
          </w:p>
        </w:tc>
        <w:tc>
          <w:tcPr>
            <w:tcW w:w="1606" w:type="dxa"/>
            <w:hideMark/>
          </w:tcPr>
          <w:p w14:paraId="305C5DEE" w14:textId="4EBAED3B"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nr. cad. 0100312419 - teren municipal dat în folosință Direcți</w:t>
            </w:r>
            <w:r w:rsidR="00600A51" w:rsidRPr="009E5B39">
              <w:rPr>
                <w:rFonts w:asciiTheme="majorHAnsi" w:hAnsiTheme="majorHAnsi" w:cstheme="majorHAnsi"/>
                <w:sz w:val="16"/>
                <w:szCs w:val="16"/>
                <w:lang w:val="ro-MD"/>
              </w:rPr>
              <w:t>ei</w:t>
            </w:r>
            <w:r w:rsidRPr="009E5B39">
              <w:rPr>
                <w:rFonts w:asciiTheme="majorHAnsi" w:hAnsiTheme="majorHAnsi" w:cstheme="majorHAnsi"/>
                <w:sz w:val="16"/>
                <w:szCs w:val="16"/>
                <w:lang w:val="ro-MD"/>
              </w:rPr>
              <w:t xml:space="preserve"> generale educație, tineret și sport.,       0100312439 - proprietate municipală.</w:t>
            </w:r>
          </w:p>
        </w:tc>
        <w:tc>
          <w:tcPr>
            <w:tcW w:w="1223" w:type="dxa"/>
            <w:hideMark/>
          </w:tcPr>
          <w:p w14:paraId="628C438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2,077 h                   16,23 h</w:t>
            </w:r>
          </w:p>
        </w:tc>
        <w:tc>
          <w:tcPr>
            <w:tcW w:w="1777" w:type="dxa"/>
            <w:hideMark/>
          </w:tcPr>
          <w:p w14:paraId="3A07358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419D1C9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435D93B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77F866F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0F92CDE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0DF1C50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28FA1AEB" w14:textId="77777777" w:rsidTr="00092EAE">
        <w:trPr>
          <w:trHeight w:val="20"/>
        </w:trPr>
        <w:tc>
          <w:tcPr>
            <w:tcW w:w="726" w:type="dxa"/>
            <w:hideMark/>
          </w:tcPr>
          <w:p w14:paraId="41A63F0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294-c/21</w:t>
            </w:r>
          </w:p>
        </w:tc>
        <w:tc>
          <w:tcPr>
            <w:tcW w:w="950" w:type="dxa"/>
            <w:hideMark/>
          </w:tcPr>
          <w:p w14:paraId="21CD88F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294-c/21</w:t>
            </w:r>
          </w:p>
        </w:tc>
        <w:tc>
          <w:tcPr>
            <w:tcW w:w="950" w:type="dxa"/>
            <w:hideMark/>
          </w:tcPr>
          <w:p w14:paraId="650C9B9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09.08.2021</w:t>
            </w:r>
          </w:p>
        </w:tc>
        <w:tc>
          <w:tcPr>
            <w:tcW w:w="1149" w:type="dxa"/>
            <w:hideMark/>
          </w:tcPr>
          <w:p w14:paraId="2FB9AF3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str. Dimo nr.6</w:t>
            </w:r>
          </w:p>
        </w:tc>
        <w:tc>
          <w:tcPr>
            <w:tcW w:w="1606" w:type="dxa"/>
            <w:hideMark/>
          </w:tcPr>
          <w:p w14:paraId="0184D0FE" w14:textId="742BD0F0"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terenul municipal cu nr. cad. 0100424637 - propriet. </w:t>
            </w:r>
            <w:r w:rsidR="000C5683" w:rsidRPr="009E5B39">
              <w:rPr>
                <w:rFonts w:asciiTheme="majorHAnsi" w:hAnsiTheme="majorHAnsi" w:cstheme="majorHAnsi"/>
                <w:sz w:val="16"/>
                <w:szCs w:val="16"/>
                <w:lang w:val="ro-MD"/>
              </w:rPr>
              <w:t>m</w:t>
            </w:r>
            <w:r w:rsidRPr="009E5B39">
              <w:rPr>
                <w:rFonts w:asciiTheme="majorHAnsi" w:hAnsiTheme="majorHAnsi" w:cstheme="majorHAnsi"/>
                <w:sz w:val="16"/>
                <w:szCs w:val="16"/>
                <w:lang w:val="ro-MD"/>
              </w:rPr>
              <w:t>unicipală</w:t>
            </w:r>
          </w:p>
        </w:tc>
        <w:tc>
          <w:tcPr>
            <w:tcW w:w="1223" w:type="dxa"/>
            <w:hideMark/>
          </w:tcPr>
          <w:p w14:paraId="5F52503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2,088 ha</w:t>
            </w:r>
          </w:p>
        </w:tc>
        <w:tc>
          <w:tcPr>
            <w:tcW w:w="1777" w:type="dxa"/>
            <w:hideMark/>
          </w:tcPr>
          <w:p w14:paraId="73DCA48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729FA93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722BF11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1ACD8D5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5AB36E0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3090402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34A14BF4" w14:textId="77777777" w:rsidTr="00092EAE">
        <w:trPr>
          <w:trHeight w:val="20"/>
        </w:trPr>
        <w:tc>
          <w:tcPr>
            <w:tcW w:w="726" w:type="dxa"/>
            <w:hideMark/>
          </w:tcPr>
          <w:p w14:paraId="1DE781C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299-c/21</w:t>
            </w:r>
          </w:p>
        </w:tc>
        <w:tc>
          <w:tcPr>
            <w:tcW w:w="950" w:type="dxa"/>
            <w:hideMark/>
          </w:tcPr>
          <w:p w14:paraId="556AE2B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299-c/21</w:t>
            </w:r>
          </w:p>
        </w:tc>
        <w:tc>
          <w:tcPr>
            <w:tcW w:w="950" w:type="dxa"/>
            <w:hideMark/>
          </w:tcPr>
          <w:p w14:paraId="0089945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10.08.2021</w:t>
            </w:r>
          </w:p>
        </w:tc>
        <w:tc>
          <w:tcPr>
            <w:tcW w:w="1149" w:type="dxa"/>
            <w:hideMark/>
          </w:tcPr>
          <w:p w14:paraId="390D07C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mun. Chișinău, sect. Buiucani, str, Calea Ieșilor 14 </w:t>
            </w:r>
          </w:p>
        </w:tc>
        <w:tc>
          <w:tcPr>
            <w:tcW w:w="1606" w:type="dxa"/>
            <w:hideMark/>
          </w:tcPr>
          <w:p w14:paraId="43F12BC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nr. cad 0100518210 propriet. Solicitantului., 0100518210.02 - propriet solicitantului.</w:t>
            </w:r>
          </w:p>
        </w:tc>
        <w:tc>
          <w:tcPr>
            <w:tcW w:w="1223" w:type="dxa"/>
            <w:hideMark/>
          </w:tcPr>
          <w:p w14:paraId="16292A3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supr. terenului - 1,015 ha.,</w:t>
            </w:r>
          </w:p>
        </w:tc>
        <w:tc>
          <w:tcPr>
            <w:tcW w:w="1777" w:type="dxa"/>
            <w:hideMark/>
          </w:tcPr>
          <w:p w14:paraId="444641C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56570E9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64D6BA3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1CB4007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4082BF8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72FB7AC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4FD28482" w14:textId="77777777" w:rsidTr="00092EAE">
        <w:trPr>
          <w:trHeight w:val="20"/>
        </w:trPr>
        <w:tc>
          <w:tcPr>
            <w:tcW w:w="726" w:type="dxa"/>
            <w:hideMark/>
          </w:tcPr>
          <w:p w14:paraId="2AEBA3A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409-c/21</w:t>
            </w:r>
          </w:p>
        </w:tc>
        <w:tc>
          <w:tcPr>
            <w:tcW w:w="950" w:type="dxa"/>
            <w:hideMark/>
          </w:tcPr>
          <w:p w14:paraId="2CF16F7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409-c</w:t>
            </w:r>
          </w:p>
        </w:tc>
        <w:tc>
          <w:tcPr>
            <w:tcW w:w="950" w:type="dxa"/>
            <w:hideMark/>
          </w:tcPr>
          <w:p w14:paraId="454D29F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30.09.2021</w:t>
            </w:r>
          </w:p>
        </w:tc>
        <w:tc>
          <w:tcPr>
            <w:tcW w:w="1149" w:type="dxa"/>
            <w:hideMark/>
          </w:tcPr>
          <w:p w14:paraId="3C503330" w14:textId="4FFB859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Rîșca</w:t>
            </w:r>
            <w:r w:rsidR="00600A51" w:rsidRPr="009E5B39">
              <w:rPr>
                <w:rFonts w:asciiTheme="majorHAnsi" w:hAnsiTheme="majorHAnsi" w:cstheme="majorHAnsi"/>
                <w:sz w:val="16"/>
                <w:szCs w:val="16"/>
                <w:lang w:val="ro-MD"/>
              </w:rPr>
              <w:t>ni</w:t>
            </w:r>
            <w:r w:rsidRPr="009E5B39">
              <w:rPr>
                <w:rFonts w:asciiTheme="majorHAnsi" w:hAnsiTheme="majorHAnsi" w:cstheme="majorHAnsi"/>
                <w:sz w:val="16"/>
                <w:szCs w:val="16"/>
                <w:lang w:val="ro-MD"/>
              </w:rPr>
              <w:t>, STR. Cornești 11 a</w:t>
            </w:r>
          </w:p>
        </w:tc>
        <w:tc>
          <w:tcPr>
            <w:tcW w:w="1606" w:type="dxa"/>
            <w:hideMark/>
          </w:tcPr>
          <w:p w14:paraId="6BC88A55" w14:textId="02E4F281"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nr. cad</w:t>
            </w:r>
            <w:r w:rsidR="000C5683"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0100423265 și 0100423265.01 propriet</w:t>
            </w:r>
            <w:r w:rsidR="000C5683"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solicitantului în baza cont</w:t>
            </w:r>
            <w:r w:rsidR="000C5683" w:rsidRPr="009E5B39">
              <w:rPr>
                <w:rFonts w:asciiTheme="majorHAnsi" w:hAnsiTheme="majorHAnsi" w:cstheme="majorHAnsi"/>
                <w:sz w:val="16"/>
                <w:szCs w:val="16"/>
                <w:lang w:val="ro-MD"/>
              </w:rPr>
              <w:t>r.</w:t>
            </w:r>
            <w:r w:rsidRPr="009E5B39">
              <w:rPr>
                <w:rFonts w:asciiTheme="majorHAnsi" w:hAnsiTheme="majorHAnsi" w:cstheme="majorHAnsi"/>
                <w:sz w:val="16"/>
                <w:szCs w:val="16"/>
                <w:lang w:val="ro-MD"/>
              </w:rPr>
              <w:t xml:space="preserve"> de v</w:t>
            </w:r>
            <w:r w:rsidR="00600A51" w:rsidRPr="009E5B39">
              <w:rPr>
                <w:rFonts w:asciiTheme="majorHAnsi" w:hAnsiTheme="majorHAnsi" w:cstheme="majorHAnsi"/>
                <w:sz w:val="16"/>
                <w:szCs w:val="16"/>
                <w:lang w:val="ro-MD"/>
              </w:rPr>
              <w:t>â</w:t>
            </w:r>
            <w:r w:rsidRPr="009E5B39">
              <w:rPr>
                <w:rFonts w:asciiTheme="majorHAnsi" w:hAnsiTheme="majorHAnsi" w:cstheme="majorHAnsi"/>
                <w:sz w:val="16"/>
                <w:szCs w:val="16"/>
                <w:lang w:val="ro-MD"/>
              </w:rPr>
              <w:t>nzare</w:t>
            </w:r>
            <w:r w:rsidR="00600A51"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cump</w:t>
            </w:r>
            <w:r w:rsidR="00600A51"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din 07.03.2019. pentru eliberarea A/C a fost avizul  contract supr de autor, avizul de construcție de la „Arhitect Faur”. Terenul se află în zona de reglementare urbanistică „R7” ( subzona lo</w:t>
            </w:r>
            <w:r w:rsidR="000C5683" w:rsidRPr="009E5B39">
              <w:rPr>
                <w:rFonts w:asciiTheme="majorHAnsi" w:hAnsiTheme="majorHAnsi" w:cstheme="majorHAnsi"/>
                <w:sz w:val="16"/>
                <w:szCs w:val="16"/>
                <w:lang w:val="ro-MD"/>
              </w:rPr>
              <w:t>c</w:t>
            </w:r>
            <w:r w:rsidRPr="009E5B39">
              <w:rPr>
                <w:rFonts w:asciiTheme="majorHAnsi" w:hAnsiTheme="majorHAnsi" w:cstheme="majorHAnsi"/>
                <w:sz w:val="16"/>
                <w:szCs w:val="16"/>
                <w:lang w:val="ro-MD"/>
              </w:rPr>
              <w:t>uințelor sociale înalte), trebuie de respectat procentul de ocupare a construcției 35%, 70% parcare auto cu amenajarea teritoriului).</w:t>
            </w:r>
          </w:p>
        </w:tc>
        <w:tc>
          <w:tcPr>
            <w:tcW w:w="1223" w:type="dxa"/>
            <w:hideMark/>
          </w:tcPr>
          <w:p w14:paraId="076FCD2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supr terenului 0,0683 h</w:t>
            </w:r>
          </w:p>
        </w:tc>
        <w:tc>
          <w:tcPr>
            <w:tcW w:w="1777" w:type="dxa"/>
            <w:hideMark/>
          </w:tcPr>
          <w:p w14:paraId="671EF935" w14:textId="6D614A8A"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Terenurile adiacente cu nr. cad. 0100423181 cu supr</w:t>
            </w:r>
            <w:r w:rsidR="00600A51"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de 0,055 ha, sit str. Cornești 15 - proprietate mun. Chișinău, pe care sunt construite 3 construcții  proprieta</w:t>
            </w:r>
            <w:r w:rsidR="00600A51" w:rsidRPr="009E5B39">
              <w:rPr>
                <w:rFonts w:asciiTheme="majorHAnsi" w:hAnsiTheme="majorHAnsi" w:cstheme="majorHAnsi"/>
                <w:sz w:val="16"/>
                <w:szCs w:val="16"/>
                <w:lang w:val="ro-MD"/>
              </w:rPr>
              <w:t>t</w:t>
            </w:r>
            <w:r w:rsidRPr="009E5B39">
              <w:rPr>
                <w:rFonts w:asciiTheme="majorHAnsi" w:hAnsiTheme="majorHAnsi" w:cstheme="majorHAnsi"/>
                <w:sz w:val="16"/>
                <w:szCs w:val="16"/>
                <w:lang w:val="ro-MD"/>
              </w:rPr>
              <w:t xml:space="preserve">e pers fizice Braganiuc Alexei și </w:t>
            </w:r>
            <w:r w:rsidR="000C5683" w:rsidRPr="009E5B39">
              <w:rPr>
                <w:rFonts w:asciiTheme="majorHAnsi" w:hAnsiTheme="majorHAnsi" w:cstheme="majorHAnsi"/>
                <w:sz w:val="16"/>
                <w:szCs w:val="16"/>
                <w:lang w:val="ro-MD"/>
              </w:rPr>
              <w:t>B</w:t>
            </w:r>
            <w:r w:rsidRPr="009E5B39">
              <w:rPr>
                <w:rFonts w:asciiTheme="majorHAnsi" w:hAnsiTheme="majorHAnsi" w:cstheme="majorHAnsi"/>
                <w:sz w:val="16"/>
                <w:szCs w:val="16"/>
                <w:lang w:val="ro-MD"/>
              </w:rPr>
              <w:t>raganiuc Ala , în baza contr. de v</w:t>
            </w:r>
            <w:r w:rsidR="000C5683" w:rsidRPr="009E5B39">
              <w:rPr>
                <w:rFonts w:asciiTheme="majorHAnsi" w:hAnsiTheme="majorHAnsi" w:cstheme="majorHAnsi"/>
                <w:sz w:val="16"/>
                <w:szCs w:val="16"/>
                <w:lang w:val="ro-MD"/>
              </w:rPr>
              <w:t>â</w:t>
            </w:r>
            <w:r w:rsidRPr="009E5B39">
              <w:rPr>
                <w:rFonts w:asciiTheme="majorHAnsi" w:hAnsiTheme="majorHAnsi" w:cstheme="majorHAnsi"/>
                <w:sz w:val="16"/>
                <w:szCs w:val="16"/>
                <w:lang w:val="ro-MD"/>
              </w:rPr>
              <w:t>nzare</w:t>
            </w:r>
            <w:r w:rsidR="000C5683"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cumpărare din 29.12.2021 și 0100423266, supr. 0,07 ha, str. Cornești 17  proprietate mun. Chișinău, și 3 construcții proprietar Braganiuc Alexei și </w:t>
            </w:r>
            <w:r w:rsidR="000C5683" w:rsidRPr="009E5B39">
              <w:rPr>
                <w:rFonts w:asciiTheme="majorHAnsi" w:hAnsiTheme="majorHAnsi" w:cstheme="majorHAnsi"/>
                <w:sz w:val="16"/>
                <w:szCs w:val="16"/>
                <w:lang w:val="ro-MD"/>
              </w:rPr>
              <w:t>B</w:t>
            </w:r>
            <w:r w:rsidRPr="009E5B39">
              <w:rPr>
                <w:rFonts w:asciiTheme="majorHAnsi" w:hAnsiTheme="majorHAnsi" w:cstheme="majorHAnsi"/>
                <w:sz w:val="16"/>
                <w:szCs w:val="16"/>
                <w:lang w:val="ro-MD"/>
              </w:rPr>
              <w:t>raganiuc Ala, în baza contr. de v</w:t>
            </w:r>
            <w:r w:rsidR="000C5683" w:rsidRPr="009E5B39">
              <w:rPr>
                <w:rFonts w:asciiTheme="majorHAnsi" w:hAnsiTheme="majorHAnsi" w:cstheme="majorHAnsi"/>
                <w:sz w:val="16"/>
                <w:szCs w:val="16"/>
                <w:lang w:val="ro-MD"/>
              </w:rPr>
              <w:t>â</w:t>
            </w:r>
            <w:r w:rsidRPr="009E5B39">
              <w:rPr>
                <w:rFonts w:asciiTheme="majorHAnsi" w:hAnsiTheme="majorHAnsi" w:cstheme="majorHAnsi"/>
                <w:sz w:val="16"/>
                <w:szCs w:val="16"/>
                <w:lang w:val="ro-MD"/>
              </w:rPr>
              <w:t>nzare</w:t>
            </w:r>
            <w:r w:rsidR="000C5683"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cumpărare din 29.12.2021.  În ambele cazuri pentru folosirea terenurilor municipale pers. fizice careva dre</w:t>
            </w:r>
            <w:r w:rsidR="000C5683" w:rsidRPr="009E5B39">
              <w:rPr>
                <w:rFonts w:asciiTheme="majorHAnsi" w:hAnsiTheme="majorHAnsi" w:cstheme="majorHAnsi"/>
                <w:sz w:val="16"/>
                <w:szCs w:val="16"/>
                <w:lang w:val="ro-MD"/>
              </w:rPr>
              <w:t>p</w:t>
            </w:r>
            <w:r w:rsidRPr="009E5B39">
              <w:rPr>
                <w:rFonts w:asciiTheme="majorHAnsi" w:hAnsiTheme="majorHAnsi" w:cstheme="majorHAnsi"/>
                <w:sz w:val="16"/>
                <w:szCs w:val="16"/>
                <w:lang w:val="ro-MD"/>
              </w:rPr>
              <w:t>t sau relații contractuale de arendă asupra terenurilor municipale  nu sunt.</w:t>
            </w:r>
          </w:p>
        </w:tc>
        <w:tc>
          <w:tcPr>
            <w:tcW w:w="878" w:type="dxa"/>
            <w:hideMark/>
          </w:tcPr>
          <w:p w14:paraId="2A4B597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27B51E8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6A61D0A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49 apartamente</w:t>
            </w:r>
          </w:p>
        </w:tc>
        <w:tc>
          <w:tcPr>
            <w:tcW w:w="1559" w:type="dxa"/>
            <w:hideMark/>
          </w:tcPr>
          <w:p w14:paraId="458E70C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048A7C63" w14:textId="48757B6E"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43 locuri de parcare</w:t>
            </w:r>
          </w:p>
        </w:tc>
      </w:tr>
      <w:tr w:rsidR="003E291B" w:rsidRPr="009E5B39" w14:paraId="1B09CCEA" w14:textId="77777777" w:rsidTr="00092EAE">
        <w:trPr>
          <w:trHeight w:val="20"/>
        </w:trPr>
        <w:tc>
          <w:tcPr>
            <w:tcW w:w="726" w:type="dxa"/>
            <w:hideMark/>
          </w:tcPr>
          <w:p w14:paraId="5A323EF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276c</w:t>
            </w:r>
          </w:p>
        </w:tc>
        <w:tc>
          <w:tcPr>
            <w:tcW w:w="950" w:type="dxa"/>
            <w:hideMark/>
          </w:tcPr>
          <w:p w14:paraId="54A5D44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276c</w:t>
            </w:r>
          </w:p>
        </w:tc>
        <w:tc>
          <w:tcPr>
            <w:tcW w:w="950" w:type="dxa"/>
            <w:hideMark/>
          </w:tcPr>
          <w:p w14:paraId="78CEA0F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05.08.2021</w:t>
            </w:r>
          </w:p>
        </w:tc>
        <w:tc>
          <w:tcPr>
            <w:tcW w:w="1149" w:type="dxa"/>
            <w:hideMark/>
          </w:tcPr>
          <w:p w14:paraId="2A02A58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Str. Testemițanu 3</w:t>
            </w:r>
          </w:p>
        </w:tc>
        <w:tc>
          <w:tcPr>
            <w:tcW w:w="1606" w:type="dxa"/>
            <w:hideMark/>
          </w:tcPr>
          <w:p w14:paraId="429639D6" w14:textId="351EF6E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Terenul cu nr. cad. 01001011222 cu supr de 3,8441 proprietatea solicitantului în baza contr. </w:t>
            </w:r>
            <w:r w:rsidR="000C5683" w:rsidRPr="009E5B39">
              <w:rPr>
                <w:rFonts w:asciiTheme="majorHAnsi" w:hAnsiTheme="majorHAnsi" w:cstheme="majorHAnsi"/>
                <w:sz w:val="16"/>
                <w:szCs w:val="16"/>
                <w:lang w:val="ro-MD"/>
              </w:rPr>
              <w:t>d</w:t>
            </w:r>
            <w:r w:rsidRPr="009E5B39">
              <w:rPr>
                <w:rFonts w:asciiTheme="majorHAnsi" w:hAnsiTheme="majorHAnsi" w:cstheme="majorHAnsi"/>
                <w:sz w:val="16"/>
                <w:szCs w:val="16"/>
                <w:lang w:val="ro-MD"/>
              </w:rPr>
              <w:t>e v</w:t>
            </w:r>
            <w:r w:rsidR="000C5683" w:rsidRPr="009E5B39">
              <w:rPr>
                <w:rFonts w:asciiTheme="majorHAnsi" w:hAnsiTheme="majorHAnsi" w:cstheme="majorHAnsi"/>
                <w:sz w:val="16"/>
                <w:szCs w:val="16"/>
                <w:lang w:val="ro-MD"/>
              </w:rPr>
              <w:t>â</w:t>
            </w:r>
            <w:r w:rsidRPr="009E5B39">
              <w:rPr>
                <w:rFonts w:asciiTheme="majorHAnsi" w:hAnsiTheme="majorHAnsi" w:cstheme="majorHAnsi"/>
                <w:sz w:val="16"/>
                <w:szCs w:val="16"/>
                <w:lang w:val="ro-MD"/>
              </w:rPr>
              <w:t>nzare-cumpărare din 20.11.2018.</w:t>
            </w:r>
          </w:p>
        </w:tc>
        <w:tc>
          <w:tcPr>
            <w:tcW w:w="1223" w:type="dxa"/>
            <w:hideMark/>
          </w:tcPr>
          <w:p w14:paraId="1835AD3F" w14:textId="7FF2D4B4"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supr. </w:t>
            </w:r>
            <w:r w:rsidR="000C5683" w:rsidRPr="009E5B39">
              <w:rPr>
                <w:rFonts w:asciiTheme="majorHAnsi" w:hAnsiTheme="majorHAnsi" w:cstheme="majorHAnsi"/>
                <w:sz w:val="16"/>
                <w:szCs w:val="16"/>
                <w:lang w:val="ro-MD"/>
              </w:rPr>
              <w:t>t</w:t>
            </w:r>
            <w:r w:rsidRPr="009E5B39">
              <w:rPr>
                <w:rFonts w:asciiTheme="majorHAnsi" w:hAnsiTheme="majorHAnsi" w:cstheme="majorHAnsi"/>
                <w:sz w:val="16"/>
                <w:szCs w:val="16"/>
                <w:lang w:val="ro-MD"/>
              </w:rPr>
              <w:t>erenului 3,8441</w:t>
            </w:r>
          </w:p>
        </w:tc>
        <w:tc>
          <w:tcPr>
            <w:tcW w:w="1777" w:type="dxa"/>
            <w:hideMark/>
          </w:tcPr>
          <w:p w14:paraId="5E440FF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74248A6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38DDB8C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2D0688C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6EBA160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73EB0AC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0032F8FD" w14:textId="77777777" w:rsidTr="00092EAE">
        <w:trPr>
          <w:trHeight w:val="20"/>
        </w:trPr>
        <w:tc>
          <w:tcPr>
            <w:tcW w:w="726" w:type="dxa"/>
            <w:hideMark/>
          </w:tcPr>
          <w:p w14:paraId="6206E54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277c</w:t>
            </w:r>
          </w:p>
        </w:tc>
        <w:tc>
          <w:tcPr>
            <w:tcW w:w="950" w:type="dxa"/>
            <w:hideMark/>
          </w:tcPr>
          <w:p w14:paraId="3D96BE7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277c</w:t>
            </w:r>
          </w:p>
        </w:tc>
        <w:tc>
          <w:tcPr>
            <w:tcW w:w="950" w:type="dxa"/>
            <w:hideMark/>
          </w:tcPr>
          <w:p w14:paraId="5B14D33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06.08.2021</w:t>
            </w:r>
          </w:p>
        </w:tc>
        <w:tc>
          <w:tcPr>
            <w:tcW w:w="1149" w:type="dxa"/>
            <w:hideMark/>
          </w:tcPr>
          <w:p w14:paraId="48F88B0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Str. Testemițanu 3</w:t>
            </w:r>
          </w:p>
        </w:tc>
        <w:tc>
          <w:tcPr>
            <w:tcW w:w="1606" w:type="dxa"/>
            <w:hideMark/>
          </w:tcPr>
          <w:p w14:paraId="01F94F8D" w14:textId="5132D1B9"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Terenul cu nr. cad. 01001011222 cu supr de 3,8441 proprietatea solicitantului în baza contr. </w:t>
            </w:r>
            <w:r w:rsidR="000C5683" w:rsidRPr="009E5B39">
              <w:rPr>
                <w:rFonts w:asciiTheme="majorHAnsi" w:hAnsiTheme="majorHAnsi" w:cstheme="majorHAnsi"/>
                <w:sz w:val="16"/>
                <w:szCs w:val="16"/>
                <w:lang w:val="ro-MD"/>
              </w:rPr>
              <w:t>d</w:t>
            </w:r>
            <w:r w:rsidRPr="009E5B39">
              <w:rPr>
                <w:rFonts w:asciiTheme="majorHAnsi" w:hAnsiTheme="majorHAnsi" w:cstheme="majorHAnsi"/>
                <w:sz w:val="16"/>
                <w:szCs w:val="16"/>
                <w:lang w:val="ro-MD"/>
              </w:rPr>
              <w:t>e v</w:t>
            </w:r>
            <w:r w:rsidR="000C5683" w:rsidRPr="009E5B39">
              <w:rPr>
                <w:rFonts w:asciiTheme="majorHAnsi" w:hAnsiTheme="majorHAnsi" w:cstheme="majorHAnsi"/>
                <w:sz w:val="16"/>
                <w:szCs w:val="16"/>
                <w:lang w:val="ro-MD"/>
              </w:rPr>
              <w:t>â</w:t>
            </w:r>
            <w:r w:rsidRPr="009E5B39">
              <w:rPr>
                <w:rFonts w:asciiTheme="majorHAnsi" w:hAnsiTheme="majorHAnsi" w:cstheme="majorHAnsi"/>
                <w:sz w:val="16"/>
                <w:szCs w:val="16"/>
                <w:lang w:val="ro-MD"/>
              </w:rPr>
              <w:t>nzare-cumpărare din 20.11.2018.</w:t>
            </w:r>
          </w:p>
        </w:tc>
        <w:tc>
          <w:tcPr>
            <w:tcW w:w="1223" w:type="dxa"/>
            <w:hideMark/>
          </w:tcPr>
          <w:p w14:paraId="546D91D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777" w:type="dxa"/>
            <w:hideMark/>
          </w:tcPr>
          <w:p w14:paraId="0A7FBE3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61B22DA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0B8E7DC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747BAC1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4785805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679953D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1778747B" w14:textId="77777777" w:rsidTr="00092EAE">
        <w:trPr>
          <w:trHeight w:val="20"/>
        </w:trPr>
        <w:tc>
          <w:tcPr>
            <w:tcW w:w="726" w:type="dxa"/>
            <w:hideMark/>
          </w:tcPr>
          <w:p w14:paraId="3E86C22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272c</w:t>
            </w:r>
          </w:p>
        </w:tc>
        <w:tc>
          <w:tcPr>
            <w:tcW w:w="950" w:type="dxa"/>
            <w:hideMark/>
          </w:tcPr>
          <w:p w14:paraId="52D212A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272-c</w:t>
            </w:r>
          </w:p>
        </w:tc>
        <w:tc>
          <w:tcPr>
            <w:tcW w:w="950" w:type="dxa"/>
            <w:hideMark/>
          </w:tcPr>
          <w:p w14:paraId="60226E6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04.08.2021</w:t>
            </w:r>
          </w:p>
        </w:tc>
        <w:tc>
          <w:tcPr>
            <w:tcW w:w="1149" w:type="dxa"/>
            <w:hideMark/>
          </w:tcPr>
          <w:p w14:paraId="23F2482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str. Vovințeni-Gheorghe Codreanu</w:t>
            </w:r>
          </w:p>
        </w:tc>
        <w:tc>
          <w:tcPr>
            <w:tcW w:w="1606" w:type="dxa"/>
            <w:hideMark/>
          </w:tcPr>
          <w:p w14:paraId="20C7A94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Terenurile menționate sunt proprietatea solicitantului SRL„Gonvaro-Con”conform datelor RBI .</w:t>
            </w:r>
          </w:p>
        </w:tc>
        <w:tc>
          <w:tcPr>
            <w:tcW w:w="1223" w:type="dxa"/>
            <w:hideMark/>
          </w:tcPr>
          <w:p w14:paraId="26B52AA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supr. terenului 0,4437 ha</w:t>
            </w:r>
          </w:p>
        </w:tc>
        <w:tc>
          <w:tcPr>
            <w:tcW w:w="1777" w:type="dxa"/>
            <w:hideMark/>
          </w:tcPr>
          <w:p w14:paraId="0F33500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3E919E7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737A16F8" w14:textId="62DF060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planului urbanistic general aprobat prin decizia CMC nr.68/1-2 din 22.03.2007, si regulamentul local de urbanism aprobat prin decizia CMC nr. 22/40 din 25.12.2008 imobilul este situat în zona rezidențială cu codul de urbanistică</w:t>
            </w:r>
            <w:r w:rsidR="000C5683"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„Re”(zona de revitalizare) și R3(rezidențială,, liniștită dar cu densitate redusă. As</w:t>
            </w:r>
            <w:r w:rsidR="000C5683" w:rsidRPr="009E5B39">
              <w:rPr>
                <w:rFonts w:asciiTheme="majorHAnsi" w:hAnsiTheme="majorHAnsi" w:cstheme="majorHAnsi"/>
                <w:sz w:val="16"/>
                <w:szCs w:val="16"/>
                <w:lang w:val="ro-MD"/>
              </w:rPr>
              <w:t>t</w:t>
            </w:r>
            <w:r w:rsidRPr="009E5B39">
              <w:rPr>
                <w:rFonts w:asciiTheme="majorHAnsi" w:hAnsiTheme="majorHAnsi" w:cstheme="majorHAnsi"/>
                <w:sz w:val="16"/>
                <w:szCs w:val="16"/>
                <w:lang w:val="ro-MD"/>
              </w:rPr>
              <w:t>fel</w:t>
            </w:r>
            <w:r w:rsidR="000C5683"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conform deciziei CMC nr,11/20 din 18.12.2014 au fost o</w:t>
            </w:r>
            <w:r w:rsidR="000C5683" w:rsidRPr="009E5B39">
              <w:rPr>
                <w:rFonts w:asciiTheme="majorHAnsi" w:hAnsiTheme="majorHAnsi" w:cstheme="majorHAnsi"/>
                <w:sz w:val="16"/>
                <w:szCs w:val="16"/>
                <w:lang w:val="ro-MD"/>
              </w:rPr>
              <w:t>p</w:t>
            </w:r>
            <w:r w:rsidRPr="009E5B39">
              <w:rPr>
                <w:rFonts w:asciiTheme="majorHAnsi" w:hAnsiTheme="majorHAnsi" w:cstheme="majorHAnsi"/>
                <w:sz w:val="16"/>
                <w:szCs w:val="16"/>
                <w:lang w:val="ro-MD"/>
              </w:rPr>
              <w:t>erate modificări la regulamentul local de urbanism, din zona „Re„ și „R3” în zon</w:t>
            </w:r>
            <w:r w:rsidR="000C5683" w:rsidRPr="009E5B39">
              <w:rPr>
                <w:rFonts w:asciiTheme="majorHAnsi" w:hAnsiTheme="majorHAnsi" w:cstheme="majorHAnsi"/>
                <w:sz w:val="16"/>
                <w:szCs w:val="16"/>
                <w:lang w:val="ro-MD"/>
              </w:rPr>
              <w:t>a</w:t>
            </w:r>
            <w:r w:rsidRPr="009E5B39">
              <w:rPr>
                <w:rFonts w:asciiTheme="majorHAnsi" w:hAnsiTheme="majorHAnsi" w:cstheme="majorHAnsi"/>
                <w:sz w:val="16"/>
                <w:szCs w:val="16"/>
                <w:lang w:val="ro-MD"/>
              </w:rPr>
              <w:t xml:space="preserve"> cu codul „R6”(rezidențială, cu densitate medie), de</w:t>
            </w:r>
            <w:r w:rsidR="000C5683"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la P+4E p</w:t>
            </w:r>
            <w:r w:rsidR="000C5683" w:rsidRPr="009E5B39">
              <w:rPr>
                <w:rFonts w:asciiTheme="majorHAnsi" w:hAnsiTheme="majorHAnsi" w:cstheme="majorHAnsi"/>
                <w:sz w:val="16"/>
                <w:szCs w:val="16"/>
                <w:lang w:val="ro-MD"/>
              </w:rPr>
              <w:t>â</w:t>
            </w:r>
            <w:r w:rsidRPr="009E5B39">
              <w:rPr>
                <w:rFonts w:asciiTheme="majorHAnsi" w:hAnsiTheme="majorHAnsi" w:cstheme="majorHAnsi"/>
                <w:sz w:val="16"/>
                <w:szCs w:val="16"/>
                <w:lang w:val="ro-MD"/>
              </w:rPr>
              <w:t>nă</w:t>
            </w:r>
            <w:r w:rsidR="000C5683"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la P+9E. Construcția trebuie să fie 30-40% din suprafa</w:t>
            </w:r>
            <w:r w:rsidR="000C5683" w:rsidRPr="009E5B39">
              <w:rPr>
                <w:rFonts w:asciiTheme="majorHAnsi" w:hAnsiTheme="majorHAnsi" w:cstheme="majorHAnsi"/>
                <w:sz w:val="16"/>
                <w:szCs w:val="16"/>
                <w:lang w:val="ro-MD"/>
              </w:rPr>
              <w:t>ț</w:t>
            </w:r>
            <w:r w:rsidRPr="009E5B39">
              <w:rPr>
                <w:rFonts w:asciiTheme="majorHAnsi" w:hAnsiTheme="majorHAnsi" w:cstheme="majorHAnsi"/>
                <w:sz w:val="16"/>
                <w:szCs w:val="16"/>
                <w:lang w:val="ro-MD"/>
              </w:rPr>
              <w:t xml:space="preserve">ă, loc de parcare cu amenajarea terenului - 70%. </w:t>
            </w:r>
          </w:p>
        </w:tc>
        <w:tc>
          <w:tcPr>
            <w:tcW w:w="1361" w:type="dxa"/>
            <w:hideMark/>
          </w:tcPr>
          <w:p w14:paraId="2DD0281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proiectului și datelor cadastrale sunt 65 apartamente la un bloc și 63 apartamente alt bloc</w:t>
            </w:r>
          </w:p>
        </w:tc>
        <w:tc>
          <w:tcPr>
            <w:tcW w:w="1559" w:type="dxa"/>
            <w:hideMark/>
          </w:tcPr>
          <w:p w14:paraId="259E1DA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3DE50EE0" w14:textId="136CB5C0"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locuri de parcare nu sunt </w:t>
            </w:r>
            <w:r w:rsidR="000C5683" w:rsidRPr="009E5B39">
              <w:rPr>
                <w:rFonts w:asciiTheme="majorHAnsi" w:hAnsiTheme="majorHAnsi" w:cstheme="majorHAnsi"/>
                <w:sz w:val="16"/>
                <w:szCs w:val="16"/>
                <w:lang w:val="ro-MD"/>
              </w:rPr>
              <w:t>i</w:t>
            </w:r>
            <w:r w:rsidRPr="009E5B39">
              <w:rPr>
                <w:rFonts w:asciiTheme="majorHAnsi" w:hAnsiTheme="majorHAnsi" w:cstheme="majorHAnsi"/>
                <w:sz w:val="16"/>
                <w:szCs w:val="16"/>
                <w:lang w:val="ro-MD"/>
              </w:rPr>
              <w:t>ndicate în proiect , nici în cadastru.  În proiect se menționează doar nr. locuri de sta</w:t>
            </w:r>
            <w:r w:rsidR="000C5683" w:rsidRPr="009E5B39">
              <w:rPr>
                <w:rFonts w:asciiTheme="majorHAnsi" w:hAnsiTheme="majorHAnsi" w:cstheme="majorHAnsi"/>
                <w:sz w:val="16"/>
                <w:szCs w:val="16"/>
                <w:lang w:val="ro-MD"/>
              </w:rPr>
              <w:t>ț</w:t>
            </w:r>
            <w:r w:rsidRPr="009E5B39">
              <w:rPr>
                <w:rFonts w:asciiTheme="majorHAnsi" w:hAnsiTheme="majorHAnsi" w:cstheme="majorHAnsi"/>
                <w:sz w:val="16"/>
                <w:szCs w:val="16"/>
                <w:lang w:val="ro-MD"/>
              </w:rPr>
              <w:t>ionare auto 42 și 35.</w:t>
            </w:r>
          </w:p>
        </w:tc>
      </w:tr>
      <w:tr w:rsidR="003E291B" w:rsidRPr="009E5B39" w14:paraId="0132DE4F" w14:textId="77777777" w:rsidTr="00092EAE">
        <w:trPr>
          <w:trHeight w:val="20"/>
        </w:trPr>
        <w:tc>
          <w:tcPr>
            <w:tcW w:w="726" w:type="dxa"/>
            <w:hideMark/>
          </w:tcPr>
          <w:p w14:paraId="031942A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478c</w:t>
            </w:r>
          </w:p>
        </w:tc>
        <w:tc>
          <w:tcPr>
            <w:tcW w:w="950" w:type="dxa"/>
            <w:hideMark/>
          </w:tcPr>
          <w:p w14:paraId="7B1E4AA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478-c/21</w:t>
            </w:r>
          </w:p>
        </w:tc>
        <w:tc>
          <w:tcPr>
            <w:tcW w:w="950" w:type="dxa"/>
            <w:hideMark/>
          </w:tcPr>
          <w:p w14:paraId="5422773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26.11.2021</w:t>
            </w:r>
          </w:p>
        </w:tc>
        <w:tc>
          <w:tcPr>
            <w:tcW w:w="1149" w:type="dxa"/>
            <w:hideMark/>
          </w:tcPr>
          <w:p w14:paraId="4943FFF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str. Andrei Doga 24</w:t>
            </w:r>
          </w:p>
        </w:tc>
        <w:tc>
          <w:tcPr>
            <w:tcW w:w="1606" w:type="dxa"/>
            <w:hideMark/>
          </w:tcPr>
          <w:p w14:paraId="50BEE2FF" w14:textId="246636FB"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nr. cad. 0100423182 și cu încăperea reconstruită,  proprietatea solicitantului .Pentru efectuarea reconstrucției au fost avizate de DGAURF, Avizul Apă Canal; Avizul Agenției de Mediu; Avizul Direcției transport „Ex</w:t>
            </w:r>
            <w:r w:rsidR="000C5683" w:rsidRPr="009E5B39">
              <w:rPr>
                <w:rFonts w:asciiTheme="majorHAnsi" w:hAnsiTheme="majorHAnsi" w:cstheme="majorHAnsi"/>
                <w:sz w:val="16"/>
                <w:szCs w:val="16"/>
                <w:lang w:val="ro-MD"/>
              </w:rPr>
              <w:t>D</w:t>
            </w:r>
            <w:r w:rsidRPr="009E5B39">
              <w:rPr>
                <w:rFonts w:asciiTheme="majorHAnsi" w:hAnsiTheme="majorHAnsi" w:cstheme="majorHAnsi"/>
                <w:sz w:val="16"/>
                <w:szCs w:val="16"/>
                <w:lang w:val="ro-MD"/>
              </w:rPr>
              <w:t>rupo”</w:t>
            </w:r>
          </w:p>
        </w:tc>
        <w:tc>
          <w:tcPr>
            <w:tcW w:w="1223" w:type="dxa"/>
            <w:hideMark/>
          </w:tcPr>
          <w:p w14:paraId="461722AF" w14:textId="63598589"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 supr. de 0,689 h</w:t>
            </w:r>
            <w:r w:rsidR="000C5683" w:rsidRPr="009E5B39">
              <w:rPr>
                <w:rFonts w:asciiTheme="majorHAnsi" w:hAnsiTheme="majorHAnsi" w:cstheme="majorHAnsi"/>
                <w:sz w:val="16"/>
                <w:szCs w:val="16"/>
                <w:lang w:val="ro-MD"/>
              </w:rPr>
              <w:t>a</w:t>
            </w:r>
            <w:r w:rsidRPr="009E5B39">
              <w:rPr>
                <w:rFonts w:asciiTheme="majorHAnsi" w:hAnsiTheme="majorHAnsi" w:cstheme="majorHAnsi"/>
                <w:sz w:val="16"/>
                <w:szCs w:val="16"/>
                <w:lang w:val="ro-MD"/>
              </w:rPr>
              <w:t xml:space="preserve">; </w:t>
            </w:r>
          </w:p>
        </w:tc>
        <w:tc>
          <w:tcPr>
            <w:tcW w:w="1777" w:type="dxa"/>
            <w:hideMark/>
          </w:tcPr>
          <w:p w14:paraId="009A697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3ECBF40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315DCAE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763D9F6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35187DE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07A2877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402B04C9" w14:textId="77777777" w:rsidTr="00092EAE">
        <w:trPr>
          <w:trHeight w:val="20"/>
        </w:trPr>
        <w:tc>
          <w:tcPr>
            <w:tcW w:w="726" w:type="dxa"/>
            <w:hideMark/>
          </w:tcPr>
          <w:p w14:paraId="1787318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144</w:t>
            </w:r>
          </w:p>
        </w:tc>
        <w:tc>
          <w:tcPr>
            <w:tcW w:w="950" w:type="dxa"/>
            <w:hideMark/>
          </w:tcPr>
          <w:p w14:paraId="3883BDB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67-c/21</w:t>
            </w:r>
          </w:p>
        </w:tc>
        <w:tc>
          <w:tcPr>
            <w:tcW w:w="950" w:type="dxa"/>
            <w:hideMark/>
          </w:tcPr>
          <w:p w14:paraId="311116B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15.03.2021</w:t>
            </w:r>
          </w:p>
        </w:tc>
        <w:tc>
          <w:tcPr>
            <w:tcW w:w="1149" w:type="dxa"/>
            <w:hideMark/>
          </w:tcPr>
          <w:p w14:paraId="77A23450" w14:textId="4A7F6324"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mun, Chișinău, sect </w:t>
            </w:r>
            <w:r w:rsidR="000C5683" w:rsidRPr="009E5B39">
              <w:rPr>
                <w:rFonts w:asciiTheme="majorHAnsi" w:hAnsiTheme="majorHAnsi" w:cstheme="majorHAnsi"/>
                <w:sz w:val="16"/>
                <w:szCs w:val="16"/>
                <w:lang w:val="ro-MD"/>
              </w:rPr>
              <w:t>B</w:t>
            </w:r>
            <w:r w:rsidRPr="009E5B39">
              <w:rPr>
                <w:rFonts w:asciiTheme="majorHAnsi" w:hAnsiTheme="majorHAnsi" w:cstheme="majorHAnsi"/>
                <w:sz w:val="16"/>
                <w:szCs w:val="16"/>
                <w:lang w:val="ro-MD"/>
              </w:rPr>
              <w:t xml:space="preserve">otanica, intersecția </w:t>
            </w:r>
            <w:r w:rsidR="000C5683" w:rsidRPr="009E5B39">
              <w:rPr>
                <w:rFonts w:asciiTheme="majorHAnsi" w:hAnsiTheme="majorHAnsi" w:cstheme="majorHAnsi"/>
                <w:sz w:val="16"/>
                <w:szCs w:val="16"/>
                <w:lang w:val="ro-MD"/>
              </w:rPr>
              <w:t>b</w:t>
            </w:r>
            <w:r w:rsidRPr="009E5B39">
              <w:rPr>
                <w:rFonts w:asciiTheme="majorHAnsi" w:hAnsiTheme="majorHAnsi" w:cstheme="majorHAnsi"/>
                <w:sz w:val="16"/>
                <w:szCs w:val="16"/>
                <w:lang w:val="ro-MD"/>
              </w:rPr>
              <w:t>d</w:t>
            </w:r>
            <w:r w:rsidR="000C5683"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Traian și bd</w:t>
            </w:r>
            <w:r w:rsidR="000C5683"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Decebal</w:t>
            </w:r>
          </w:p>
        </w:tc>
        <w:tc>
          <w:tcPr>
            <w:tcW w:w="1606" w:type="dxa"/>
            <w:hideMark/>
          </w:tcPr>
          <w:p w14:paraId="24BDD13B" w14:textId="140B3A58"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nr. cad. 0100105330 teren municipal. Dreptul asupra construcției nu este înregistrat î</w:t>
            </w:r>
            <w:r w:rsidR="000C5683" w:rsidRPr="009E5B39">
              <w:rPr>
                <w:rFonts w:asciiTheme="majorHAnsi" w:hAnsiTheme="majorHAnsi" w:cstheme="majorHAnsi"/>
                <w:sz w:val="16"/>
                <w:szCs w:val="16"/>
                <w:lang w:val="ro-MD"/>
              </w:rPr>
              <w:t xml:space="preserve">n </w:t>
            </w:r>
            <w:r w:rsidRPr="009E5B39">
              <w:rPr>
                <w:rFonts w:asciiTheme="majorHAnsi" w:hAnsiTheme="majorHAnsi" w:cstheme="majorHAnsi"/>
                <w:sz w:val="16"/>
                <w:szCs w:val="16"/>
                <w:lang w:val="ro-MD"/>
              </w:rPr>
              <w:t xml:space="preserve">RBI. Conf CUP trebuie de avizat doar de DGAURF(este). </w:t>
            </w:r>
          </w:p>
        </w:tc>
        <w:tc>
          <w:tcPr>
            <w:tcW w:w="1223" w:type="dxa"/>
            <w:hideMark/>
          </w:tcPr>
          <w:p w14:paraId="21109B2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777" w:type="dxa"/>
            <w:hideMark/>
          </w:tcPr>
          <w:p w14:paraId="151BFA8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6D67206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2853DA7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33F05A8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26CCA97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148EAA6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357FFE48" w14:textId="77777777" w:rsidTr="00092EAE">
        <w:trPr>
          <w:trHeight w:val="20"/>
        </w:trPr>
        <w:tc>
          <w:tcPr>
            <w:tcW w:w="726" w:type="dxa"/>
            <w:hideMark/>
          </w:tcPr>
          <w:p w14:paraId="4D6359A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515-c/21</w:t>
            </w:r>
          </w:p>
        </w:tc>
        <w:tc>
          <w:tcPr>
            <w:tcW w:w="950" w:type="dxa"/>
            <w:hideMark/>
          </w:tcPr>
          <w:p w14:paraId="777426B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515-c/21</w:t>
            </w:r>
          </w:p>
        </w:tc>
        <w:tc>
          <w:tcPr>
            <w:tcW w:w="950" w:type="dxa"/>
            <w:hideMark/>
          </w:tcPr>
          <w:p w14:paraId="3DFD8D9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30.12.2021</w:t>
            </w:r>
          </w:p>
        </w:tc>
        <w:tc>
          <w:tcPr>
            <w:tcW w:w="1149" w:type="dxa"/>
            <w:hideMark/>
          </w:tcPr>
          <w:p w14:paraId="432E081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Buiucani, Alexei Mateevici 109/2</w:t>
            </w:r>
          </w:p>
        </w:tc>
        <w:tc>
          <w:tcPr>
            <w:tcW w:w="1606" w:type="dxa"/>
            <w:hideMark/>
          </w:tcPr>
          <w:p w14:paraId="57F833B7" w14:textId="689BC829"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nr. cad. 010020523 proprietatea solicitantului. Avizul DGAURF(este); Avizul MECC procesul verbal al ședinței Consiliului Național al Monumentelor(este); Avizele Termocom și Union</w:t>
            </w:r>
            <w:r w:rsidR="000C5683" w:rsidRPr="009E5B39">
              <w:rPr>
                <w:rFonts w:asciiTheme="majorHAnsi" w:hAnsiTheme="majorHAnsi" w:cstheme="majorHAnsi"/>
                <w:sz w:val="16"/>
                <w:szCs w:val="16"/>
                <w:lang w:val="ro-MD"/>
              </w:rPr>
              <w:t xml:space="preserve"> F</w:t>
            </w:r>
            <w:r w:rsidRPr="009E5B39">
              <w:rPr>
                <w:rFonts w:asciiTheme="majorHAnsi" w:hAnsiTheme="majorHAnsi" w:cstheme="majorHAnsi"/>
                <w:sz w:val="16"/>
                <w:szCs w:val="16"/>
                <w:lang w:val="ro-MD"/>
              </w:rPr>
              <w:t>enosa - lipsesc.</w:t>
            </w:r>
          </w:p>
        </w:tc>
        <w:tc>
          <w:tcPr>
            <w:tcW w:w="1223" w:type="dxa"/>
            <w:hideMark/>
          </w:tcPr>
          <w:p w14:paraId="67E4CE8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Supr. de 0,235 ha</w:t>
            </w:r>
          </w:p>
        </w:tc>
        <w:tc>
          <w:tcPr>
            <w:tcW w:w="1777" w:type="dxa"/>
            <w:hideMark/>
          </w:tcPr>
          <w:p w14:paraId="4FD3926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02A3EA8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6568517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6E09628C" w14:textId="7AB48E88"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proiectului</w:t>
            </w:r>
            <w:r w:rsidR="00B75B8C"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33 apartamente., în RBI nu sunt înregistrate.</w:t>
            </w:r>
          </w:p>
        </w:tc>
        <w:tc>
          <w:tcPr>
            <w:tcW w:w="1559" w:type="dxa"/>
            <w:hideMark/>
          </w:tcPr>
          <w:p w14:paraId="7916876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7056301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42 locuri conform proiectului</w:t>
            </w:r>
          </w:p>
        </w:tc>
      </w:tr>
      <w:tr w:rsidR="003E291B" w:rsidRPr="009E5B39" w14:paraId="4AB6508A" w14:textId="77777777" w:rsidTr="00092EAE">
        <w:trPr>
          <w:trHeight w:val="20"/>
        </w:trPr>
        <w:tc>
          <w:tcPr>
            <w:tcW w:w="726" w:type="dxa"/>
            <w:hideMark/>
          </w:tcPr>
          <w:p w14:paraId="0A4AE9D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239-c/21</w:t>
            </w:r>
          </w:p>
        </w:tc>
        <w:tc>
          <w:tcPr>
            <w:tcW w:w="950" w:type="dxa"/>
            <w:hideMark/>
          </w:tcPr>
          <w:p w14:paraId="76F9ED9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239-c/21</w:t>
            </w:r>
          </w:p>
        </w:tc>
        <w:tc>
          <w:tcPr>
            <w:tcW w:w="950" w:type="dxa"/>
            <w:hideMark/>
          </w:tcPr>
          <w:p w14:paraId="6D1BB54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21.07.2021</w:t>
            </w:r>
          </w:p>
        </w:tc>
        <w:tc>
          <w:tcPr>
            <w:tcW w:w="1149" w:type="dxa"/>
            <w:hideMark/>
          </w:tcPr>
          <w:p w14:paraId="5B076540" w14:textId="3B5AAA41"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Buiucani, str. Serghei Lazo 19.</w:t>
            </w:r>
          </w:p>
        </w:tc>
        <w:tc>
          <w:tcPr>
            <w:tcW w:w="1606" w:type="dxa"/>
            <w:hideMark/>
          </w:tcPr>
          <w:p w14:paraId="45C42217" w14:textId="292C16CE"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nr. cad. 0100520198, cu supr. de 0,274 ha și construcția cu nr. cad. 0100520198.01, cu supr. de 1561,7 m.p. - proprietatea solicitantului, conform datelor RBI. Conform regulam local imobilul este amplasat în zona cu codul „R4”, în nucleul istoric al Chi</w:t>
            </w:r>
            <w:r w:rsidR="00B75B8C" w:rsidRPr="009E5B39">
              <w:rPr>
                <w:rFonts w:asciiTheme="majorHAnsi" w:hAnsiTheme="majorHAnsi" w:cstheme="majorHAnsi"/>
                <w:sz w:val="16"/>
                <w:szCs w:val="16"/>
                <w:lang w:val="ro-MD"/>
              </w:rPr>
              <w:t>ș</w:t>
            </w:r>
            <w:r w:rsidRPr="009E5B39">
              <w:rPr>
                <w:rFonts w:asciiTheme="majorHAnsi" w:hAnsiTheme="majorHAnsi" w:cstheme="majorHAnsi"/>
                <w:sz w:val="16"/>
                <w:szCs w:val="16"/>
                <w:lang w:val="ro-MD"/>
              </w:rPr>
              <w:t>inău. P/u eliberarea A/C  conf CUR e necesar : avizul DGAURF(este); av</w:t>
            </w:r>
            <w:r w:rsidR="00B75B8C" w:rsidRPr="009E5B39">
              <w:rPr>
                <w:rFonts w:asciiTheme="majorHAnsi" w:hAnsiTheme="majorHAnsi" w:cstheme="majorHAnsi"/>
                <w:sz w:val="16"/>
                <w:szCs w:val="16"/>
                <w:lang w:val="ro-MD"/>
              </w:rPr>
              <w:t>i</w:t>
            </w:r>
            <w:r w:rsidRPr="009E5B39">
              <w:rPr>
                <w:rFonts w:asciiTheme="majorHAnsi" w:hAnsiTheme="majorHAnsi" w:cstheme="majorHAnsi"/>
                <w:sz w:val="16"/>
                <w:szCs w:val="16"/>
                <w:lang w:val="ro-MD"/>
              </w:rPr>
              <w:t>zul MECC, procesul verbal al ședinței consiliului Monumentelor(este), contractul supravegherea de autor(este).</w:t>
            </w:r>
          </w:p>
        </w:tc>
        <w:tc>
          <w:tcPr>
            <w:tcW w:w="1223" w:type="dxa"/>
            <w:hideMark/>
          </w:tcPr>
          <w:p w14:paraId="105C9E0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 - 0,274 ha; construcția - 1561,7 m.p.</w:t>
            </w:r>
          </w:p>
        </w:tc>
        <w:tc>
          <w:tcPr>
            <w:tcW w:w="1777" w:type="dxa"/>
            <w:hideMark/>
          </w:tcPr>
          <w:p w14:paraId="4C274BE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1A98DE0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758B647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7F9A684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61A00CA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5411D21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2D60990E" w14:textId="77777777" w:rsidTr="00092EAE">
        <w:trPr>
          <w:trHeight w:val="20"/>
        </w:trPr>
        <w:tc>
          <w:tcPr>
            <w:tcW w:w="726" w:type="dxa"/>
            <w:hideMark/>
          </w:tcPr>
          <w:p w14:paraId="4F3CAC3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242-c/21</w:t>
            </w:r>
          </w:p>
        </w:tc>
        <w:tc>
          <w:tcPr>
            <w:tcW w:w="950" w:type="dxa"/>
            <w:hideMark/>
          </w:tcPr>
          <w:p w14:paraId="65A71A3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242-c/21</w:t>
            </w:r>
          </w:p>
        </w:tc>
        <w:tc>
          <w:tcPr>
            <w:tcW w:w="950" w:type="dxa"/>
            <w:hideMark/>
          </w:tcPr>
          <w:p w14:paraId="56A562D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21.07.2021</w:t>
            </w:r>
          </w:p>
        </w:tc>
        <w:tc>
          <w:tcPr>
            <w:tcW w:w="1149" w:type="dxa"/>
            <w:hideMark/>
          </w:tcPr>
          <w:p w14:paraId="21CE523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Buiucani, str, Mitropolit Dosoftei 95</w:t>
            </w:r>
          </w:p>
        </w:tc>
        <w:tc>
          <w:tcPr>
            <w:tcW w:w="1606" w:type="dxa"/>
            <w:hideMark/>
          </w:tcPr>
          <w:p w14:paraId="0334B59E" w14:textId="3D48A9A8"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nr. cad. 0100519172, cu supr. de 360 m.p., ha și construcția cu nr. cad. 0100519172.01, cu supr. de 1561,7 m.p. - proprietatea în devălmăsie a pers. fizice Urechean Vitale și Urechean Jana, conform datelor RBI. Conform Contractului de societate civilă din 31.03,2021 proprietarii menționați și SRL„NG-Invest” au creat o societate civilă Conform regulam local imobilul este amplasat în zona cu codul „R4”, în nucleul istoric al Chi</w:t>
            </w:r>
            <w:r w:rsidR="00B75B8C" w:rsidRPr="009E5B39">
              <w:rPr>
                <w:rFonts w:asciiTheme="majorHAnsi" w:hAnsiTheme="majorHAnsi" w:cstheme="majorHAnsi"/>
                <w:sz w:val="16"/>
                <w:szCs w:val="16"/>
                <w:lang w:val="ro-MD"/>
              </w:rPr>
              <w:t>ș</w:t>
            </w:r>
            <w:r w:rsidRPr="009E5B39">
              <w:rPr>
                <w:rFonts w:asciiTheme="majorHAnsi" w:hAnsiTheme="majorHAnsi" w:cstheme="majorHAnsi"/>
                <w:sz w:val="16"/>
                <w:szCs w:val="16"/>
                <w:lang w:val="ro-MD"/>
              </w:rPr>
              <w:t>inău. P/u eliberarea A/C  conf CUP e necesar : avizul DGAURF(este); avizul MECC, procesul verbal al ședinței consiliului Monumentelor(este), contractul supravegherea de autor(este).</w:t>
            </w:r>
          </w:p>
        </w:tc>
        <w:tc>
          <w:tcPr>
            <w:tcW w:w="1223" w:type="dxa"/>
            <w:hideMark/>
          </w:tcPr>
          <w:p w14:paraId="1828134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777" w:type="dxa"/>
            <w:hideMark/>
          </w:tcPr>
          <w:p w14:paraId="5477D94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14D6F41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155E45B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5CA6060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684308D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6EB83F4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5023A41A" w14:textId="77777777" w:rsidTr="00092EAE">
        <w:trPr>
          <w:trHeight w:val="20"/>
        </w:trPr>
        <w:tc>
          <w:tcPr>
            <w:tcW w:w="726" w:type="dxa"/>
            <w:hideMark/>
          </w:tcPr>
          <w:p w14:paraId="6DDC772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249-c/21</w:t>
            </w:r>
          </w:p>
        </w:tc>
        <w:tc>
          <w:tcPr>
            <w:tcW w:w="950" w:type="dxa"/>
            <w:hideMark/>
          </w:tcPr>
          <w:p w14:paraId="3DD37DB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249-c/21</w:t>
            </w:r>
          </w:p>
        </w:tc>
        <w:tc>
          <w:tcPr>
            <w:tcW w:w="950" w:type="dxa"/>
            <w:hideMark/>
          </w:tcPr>
          <w:p w14:paraId="758B979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26.07.2021</w:t>
            </w:r>
          </w:p>
        </w:tc>
        <w:tc>
          <w:tcPr>
            <w:tcW w:w="1149" w:type="dxa"/>
            <w:hideMark/>
          </w:tcPr>
          <w:p w14:paraId="07439D8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str. Mitropolit Varlaam 63.</w:t>
            </w:r>
          </w:p>
        </w:tc>
        <w:tc>
          <w:tcPr>
            <w:tcW w:w="1606" w:type="dxa"/>
            <w:hideMark/>
          </w:tcPr>
          <w:p w14:paraId="48000376" w14:textId="27A157DE"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nr. cad. 0100206112, cu supr. de 3,5255 ha, teren municipal dat în arendă, în baza contractului de arendă nr. 6248/2013 din 22.07.2013, plata de arendă 298625 lei(achitat pînă la etapa actuală). Conf CUP pentru modernizare este necesar : aviz DGAURF(este); aviz MECC</w:t>
            </w:r>
            <w:r w:rsidR="00B75B8C"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procesul verbal al Consili</w:t>
            </w:r>
            <w:r w:rsidR="00B75B8C" w:rsidRPr="009E5B39">
              <w:rPr>
                <w:rFonts w:asciiTheme="majorHAnsi" w:hAnsiTheme="majorHAnsi" w:cstheme="majorHAnsi"/>
                <w:sz w:val="16"/>
                <w:szCs w:val="16"/>
                <w:lang w:val="ro-MD"/>
              </w:rPr>
              <w:t>u</w:t>
            </w:r>
            <w:r w:rsidRPr="009E5B39">
              <w:rPr>
                <w:rFonts w:asciiTheme="majorHAnsi" w:hAnsiTheme="majorHAnsi" w:cstheme="majorHAnsi"/>
                <w:sz w:val="16"/>
                <w:szCs w:val="16"/>
                <w:lang w:val="ro-MD"/>
              </w:rPr>
              <w:t xml:space="preserve">lui monumentelor(este); avizul Centrului de Sănătate </w:t>
            </w:r>
            <w:r w:rsidR="00B75B8C" w:rsidRPr="009E5B39">
              <w:rPr>
                <w:rFonts w:asciiTheme="majorHAnsi" w:hAnsiTheme="majorHAnsi" w:cstheme="majorHAnsi"/>
                <w:sz w:val="16"/>
                <w:szCs w:val="16"/>
                <w:lang w:val="ro-MD"/>
              </w:rPr>
              <w:t>P</w:t>
            </w:r>
            <w:r w:rsidRPr="009E5B39">
              <w:rPr>
                <w:rFonts w:asciiTheme="majorHAnsi" w:hAnsiTheme="majorHAnsi" w:cstheme="majorHAnsi"/>
                <w:sz w:val="16"/>
                <w:szCs w:val="16"/>
                <w:lang w:val="ro-MD"/>
              </w:rPr>
              <w:t>ublică a mun. Chișinău(este).</w:t>
            </w:r>
          </w:p>
        </w:tc>
        <w:tc>
          <w:tcPr>
            <w:tcW w:w="1223" w:type="dxa"/>
            <w:hideMark/>
          </w:tcPr>
          <w:p w14:paraId="4391AC8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777" w:type="dxa"/>
            <w:hideMark/>
          </w:tcPr>
          <w:p w14:paraId="46943E5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40274E4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3EF354C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1809609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559" w:type="dxa"/>
            <w:hideMark/>
          </w:tcPr>
          <w:p w14:paraId="3ACA6C93"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02B40B5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r>
      <w:tr w:rsidR="003E291B" w:rsidRPr="009E5B39" w14:paraId="4E7F0B75" w14:textId="77777777" w:rsidTr="00092EAE">
        <w:trPr>
          <w:trHeight w:val="20"/>
        </w:trPr>
        <w:tc>
          <w:tcPr>
            <w:tcW w:w="726" w:type="dxa"/>
            <w:hideMark/>
          </w:tcPr>
          <w:p w14:paraId="025B6CB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232-c</w:t>
            </w:r>
          </w:p>
        </w:tc>
        <w:tc>
          <w:tcPr>
            <w:tcW w:w="950" w:type="dxa"/>
            <w:hideMark/>
          </w:tcPr>
          <w:p w14:paraId="0865745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232-c/21</w:t>
            </w:r>
          </w:p>
        </w:tc>
        <w:tc>
          <w:tcPr>
            <w:tcW w:w="950" w:type="dxa"/>
            <w:hideMark/>
          </w:tcPr>
          <w:p w14:paraId="372D876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19.07.2021</w:t>
            </w:r>
          </w:p>
        </w:tc>
        <w:tc>
          <w:tcPr>
            <w:tcW w:w="1149" w:type="dxa"/>
            <w:hideMark/>
          </w:tcPr>
          <w:p w14:paraId="68B12C3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Rîșcani, str. Iazului</w:t>
            </w:r>
          </w:p>
        </w:tc>
        <w:tc>
          <w:tcPr>
            <w:tcW w:w="1606" w:type="dxa"/>
            <w:hideMark/>
          </w:tcPr>
          <w:p w14:paraId="6FF928EB" w14:textId="73B49E36"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nr. cad. 0100404509, supr de 0,2915 h</w:t>
            </w:r>
            <w:r w:rsidR="00B75B8C" w:rsidRPr="009E5B39">
              <w:rPr>
                <w:rFonts w:asciiTheme="majorHAnsi" w:hAnsiTheme="majorHAnsi" w:cstheme="majorHAnsi"/>
                <w:sz w:val="16"/>
                <w:szCs w:val="16"/>
                <w:lang w:val="ro-MD"/>
              </w:rPr>
              <w:t>a</w:t>
            </w:r>
            <w:r w:rsidRPr="009E5B39">
              <w:rPr>
                <w:rFonts w:asciiTheme="majorHAnsi" w:hAnsiTheme="majorHAnsi" w:cstheme="majorHAnsi"/>
                <w:sz w:val="16"/>
                <w:szCs w:val="16"/>
                <w:lang w:val="ro-MD"/>
              </w:rPr>
              <w:t>, și construcția sunt proprietatea solicitantului.</w:t>
            </w:r>
            <w:r w:rsidR="00B75B8C"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în b</w:t>
            </w:r>
            <w:r w:rsidR="00B75B8C" w:rsidRPr="009E5B39">
              <w:rPr>
                <w:rFonts w:asciiTheme="majorHAnsi" w:hAnsiTheme="majorHAnsi" w:cstheme="majorHAnsi"/>
                <w:sz w:val="16"/>
                <w:szCs w:val="16"/>
                <w:lang w:val="ro-MD"/>
              </w:rPr>
              <w:t>a</w:t>
            </w:r>
            <w:r w:rsidRPr="009E5B39">
              <w:rPr>
                <w:rFonts w:asciiTheme="majorHAnsi" w:hAnsiTheme="majorHAnsi" w:cstheme="majorHAnsi"/>
                <w:sz w:val="16"/>
                <w:szCs w:val="16"/>
                <w:lang w:val="ro-MD"/>
              </w:rPr>
              <w:t>za contr. de v</w:t>
            </w:r>
            <w:r w:rsidR="00B75B8C" w:rsidRPr="009E5B39">
              <w:rPr>
                <w:rFonts w:asciiTheme="majorHAnsi" w:hAnsiTheme="majorHAnsi" w:cstheme="majorHAnsi"/>
                <w:sz w:val="16"/>
                <w:szCs w:val="16"/>
                <w:lang w:val="ro-MD"/>
              </w:rPr>
              <w:t>â</w:t>
            </w:r>
            <w:r w:rsidRPr="009E5B39">
              <w:rPr>
                <w:rFonts w:asciiTheme="majorHAnsi" w:hAnsiTheme="majorHAnsi" w:cstheme="majorHAnsi"/>
                <w:sz w:val="16"/>
                <w:szCs w:val="16"/>
                <w:lang w:val="ro-MD"/>
              </w:rPr>
              <w:t>nzare-cumpărare din 17.03.2021, conf datelor RBI.</w:t>
            </w:r>
          </w:p>
        </w:tc>
        <w:tc>
          <w:tcPr>
            <w:tcW w:w="1223" w:type="dxa"/>
            <w:hideMark/>
          </w:tcPr>
          <w:p w14:paraId="44A3A66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777" w:type="dxa"/>
            <w:hideMark/>
          </w:tcPr>
          <w:p w14:paraId="5533679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301A62E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7F50F73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60297EE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proiectului 143 apartamente</w:t>
            </w:r>
          </w:p>
        </w:tc>
        <w:tc>
          <w:tcPr>
            <w:tcW w:w="1559" w:type="dxa"/>
            <w:hideMark/>
          </w:tcPr>
          <w:p w14:paraId="32F74AE7" w14:textId="1FE4CA2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Terenul cu construcția la data de 17.08.2021 au ft date în condominiu. Terenul este ampl</w:t>
            </w:r>
            <w:r w:rsidR="00B75B8C" w:rsidRPr="009E5B39">
              <w:rPr>
                <w:rFonts w:asciiTheme="majorHAnsi" w:hAnsiTheme="majorHAnsi" w:cstheme="majorHAnsi"/>
                <w:sz w:val="16"/>
                <w:szCs w:val="16"/>
                <w:lang w:val="ro-MD"/>
              </w:rPr>
              <w:t>a</w:t>
            </w:r>
            <w:r w:rsidRPr="009E5B39">
              <w:rPr>
                <w:rFonts w:asciiTheme="majorHAnsi" w:hAnsiTheme="majorHAnsi" w:cstheme="majorHAnsi"/>
                <w:sz w:val="16"/>
                <w:szCs w:val="16"/>
                <w:lang w:val="ro-MD"/>
              </w:rPr>
              <w:t xml:space="preserve">sat în zona cod„R6” ce sunt stabiliți indicii cu regimul de înălțime S+4E+P+9E; 60-65% locuri de parcare pentru locatari; </w:t>
            </w:r>
          </w:p>
        </w:tc>
        <w:tc>
          <w:tcPr>
            <w:tcW w:w="1310" w:type="dxa"/>
            <w:hideMark/>
          </w:tcPr>
          <w:p w14:paraId="54013C9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76 locuri de parcare conform  RBI</w:t>
            </w:r>
          </w:p>
        </w:tc>
      </w:tr>
      <w:tr w:rsidR="003E291B" w:rsidRPr="009E5B39" w14:paraId="784552A1" w14:textId="77777777" w:rsidTr="00092EAE">
        <w:trPr>
          <w:trHeight w:val="20"/>
        </w:trPr>
        <w:tc>
          <w:tcPr>
            <w:tcW w:w="726" w:type="dxa"/>
            <w:hideMark/>
          </w:tcPr>
          <w:p w14:paraId="7AE758B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213-c/21</w:t>
            </w:r>
          </w:p>
        </w:tc>
        <w:tc>
          <w:tcPr>
            <w:tcW w:w="950" w:type="dxa"/>
            <w:hideMark/>
          </w:tcPr>
          <w:p w14:paraId="1843AD8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213-c/21</w:t>
            </w:r>
          </w:p>
        </w:tc>
        <w:tc>
          <w:tcPr>
            <w:tcW w:w="950" w:type="dxa"/>
            <w:hideMark/>
          </w:tcPr>
          <w:p w14:paraId="7764619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12.07.2021</w:t>
            </w:r>
          </w:p>
        </w:tc>
        <w:tc>
          <w:tcPr>
            <w:tcW w:w="1149" w:type="dxa"/>
            <w:hideMark/>
          </w:tcPr>
          <w:p w14:paraId="6101BADF" w14:textId="7326712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str. Burebista, 110/1 și bd Dacia 49/6.</w:t>
            </w:r>
          </w:p>
        </w:tc>
        <w:tc>
          <w:tcPr>
            <w:tcW w:w="1606" w:type="dxa"/>
            <w:hideMark/>
          </w:tcPr>
          <w:p w14:paraId="1A6ADA2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Terenurile cu nr. cad. 0100114119 cu supr. de 4,2 ha; 0100114238 cu supr. de 3,517 ha; 0100114008, cu supr. de 0,033 ha cu construcțiile proprietatea solicitantului, conform datelor RBI.</w:t>
            </w:r>
          </w:p>
        </w:tc>
        <w:tc>
          <w:tcPr>
            <w:tcW w:w="1223" w:type="dxa"/>
            <w:hideMark/>
          </w:tcPr>
          <w:p w14:paraId="103FB52E"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777" w:type="dxa"/>
            <w:hideMark/>
          </w:tcPr>
          <w:p w14:paraId="77166339"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30E986C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09E470EA" w14:textId="637E8216"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deciziei CMC nr. 2/27 din 02.04.2021 „Cu privire la aprobarea Planului urbanistic zonal pentru terenurile cuprinse în perimetrul străzilor Burebista-</w:t>
            </w:r>
            <w:r w:rsidR="00B75B8C" w:rsidRPr="009E5B39">
              <w:rPr>
                <w:rFonts w:asciiTheme="majorHAnsi" w:hAnsiTheme="majorHAnsi" w:cstheme="majorHAnsi"/>
                <w:sz w:val="16"/>
                <w:szCs w:val="16"/>
                <w:lang w:val="ro-MD"/>
              </w:rPr>
              <w:t>S</w:t>
            </w:r>
            <w:r w:rsidRPr="009E5B39">
              <w:rPr>
                <w:rFonts w:asciiTheme="majorHAnsi" w:hAnsiTheme="majorHAnsi" w:cstheme="majorHAnsi"/>
                <w:sz w:val="16"/>
                <w:szCs w:val="16"/>
                <w:lang w:val="ro-MD"/>
              </w:rPr>
              <w:t>armiseg</w:t>
            </w:r>
            <w:r w:rsidR="00B75B8C" w:rsidRPr="009E5B39">
              <w:rPr>
                <w:rFonts w:asciiTheme="majorHAnsi" w:hAnsiTheme="majorHAnsi" w:cstheme="majorHAnsi"/>
                <w:sz w:val="16"/>
                <w:szCs w:val="16"/>
                <w:lang w:val="ro-MD"/>
              </w:rPr>
              <w:t>e</w:t>
            </w:r>
            <w:r w:rsidRPr="009E5B39">
              <w:rPr>
                <w:rFonts w:asciiTheme="majorHAnsi" w:hAnsiTheme="majorHAnsi" w:cstheme="majorHAnsi"/>
                <w:sz w:val="16"/>
                <w:szCs w:val="16"/>
                <w:lang w:val="ro-MD"/>
              </w:rPr>
              <w:t>tusa-grădina Botanica, și operate modificări la Regulamentul local de urbanism mun. Chișinău</w:t>
            </w:r>
            <w:r w:rsidR="003C4EB5"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aprobat prin decizia CMC nr. 22/40 din 25. 12.2008, la terenurile ce sunt amplasate în zona cu cod „C4” (comercială , cu restricții de construcție mare) în  zona „R7” (rezidențială). Procentul de ocupare a terenului </w:t>
            </w:r>
            <w:r w:rsidR="003C4EB5"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 xml:space="preserve"> construcției 30-35%, parcare auto pentru locatari - 70%.</w:t>
            </w:r>
          </w:p>
        </w:tc>
        <w:tc>
          <w:tcPr>
            <w:tcW w:w="1361" w:type="dxa"/>
            <w:hideMark/>
          </w:tcPr>
          <w:p w14:paraId="1BCC74B6" w14:textId="1A6F234D"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p</w:t>
            </w:r>
            <w:r w:rsidR="00B75B8C" w:rsidRPr="009E5B39">
              <w:rPr>
                <w:rFonts w:asciiTheme="majorHAnsi" w:hAnsiTheme="majorHAnsi" w:cstheme="majorHAnsi"/>
                <w:sz w:val="16"/>
                <w:szCs w:val="16"/>
                <w:lang w:val="ro-MD"/>
              </w:rPr>
              <w:t>r</w:t>
            </w:r>
            <w:r w:rsidRPr="009E5B39">
              <w:rPr>
                <w:rFonts w:asciiTheme="majorHAnsi" w:hAnsiTheme="majorHAnsi" w:cstheme="majorHAnsi"/>
                <w:sz w:val="16"/>
                <w:szCs w:val="16"/>
                <w:lang w:val="ro-MD"/>
              </w:rPr>
              <w:t>oiectului 549 apartamente</w:t>
            </w:r>
          </w:p>
        </w:tc>
        <w:tc>
          <w:tcPr>
            <w:tcW w:w="1559" w:type="dxa"/>
            <w:hideMark/>
          </w:tcPr>
          <w:p w14:paraId="0DA62A5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3AB2CBE8" w14:textId="40526350"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proiectului</w:t>
            </w:r>
            <w:r w:rsidR="003C4EB5" w:rsidRPr="009E5B39">
              <w:rPr>
                <w:rFonts w:asciiTheme="majorHAnsi" w:hAnsiTheme="majorHAnsi" w:cstheme="majorHAnsi"/>
                <w:sz w:val="16"/>
                <w:szCs w:val="16"/>
                <w:lang w:val="ro-MD"/>
              </w:rPr>
              <w:t>,</w:t>
            </w:r>
            <w:r w:rsidRPr="009E5B39">
              <w:rPr>
                <w:rFonts w:asciiTheme="majorHAnsi" w:hAnsiTheme="majorHAnsi" w:cstheme="majorHAnsi"/>
                <w:sz w:val="16"/>
                <w:szCs w:val="16"/>
                <w:lang w:val="ro-MD"/>
              </w:rPr>
              <w:t xml:space="preserve"> 400 locuri pentru locatari</w:t>
            </w:r>
          </w:p>
        </w:tc>
      </w:tr>
      <w:tr w:rsidR="003E291B" w:rsidRPr="009E5B39" w14:paraId="02E4F3EB" w14:textId="77777777" w:rsidTr="00092EAE">
        <w:trPr>
          <w:trHeight w:val="20"/>
        </w:trPr>
        <w:tc>
          <w:tcPr>
            <w:tcW w:w="726" w:type="dxa"/>
            <w:hideMark/>
          </w:tcPr>
          <w:p w14:paraId="167FD20B"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01-c/21</w:t>
            </w:r>
          </w:p>
        </w:tc>
        <w:tc>
          <w:tcPr>
            <w:tcW w:w="950" w:type="dxa"/>
            <w:hideMark/>
          </w:tcPr>
          <w:p w14:paraId="40A9A4AC"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 112-c/19                                       01-c/21</w:t>
            </w:r>
          </w:p>
        </w:tc>
        <w:tc>
          <w:tcPr>
            <w:tcW w:w="950" w:type="dxa"/>
            <w:hideMark/>
          </w:tcPr>
          <w:p w14:paraId="471F288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 06.03.2019                     05.01.2021</w:t>
            </w:r>
          </w:p>
        </w:tc>
        <w:tc>
          <w:tcPr>
            <w:tcW w:w="1149" w:type="dxa"/>
            <w:hideMark/>
          </w:tcPr>
          <w:p w14:paraId="1163DA2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Rîșcani, str. Ceucari</w:t>
            </w:r>
          </w:p>
        </w:tc>
        <w:tc>
          <w:tcPr>
            <w:tcW w:w="1606" w:type="dxa"/>
            <w:hideMark/>
          </w:tcPr>
          <w:p w14:paraId="3EB3F835" w14:textId="7B4B7BA9"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Terenul cu nr. cad.0100404041, cu supr de 0,285 ha, teren municipal, arendat de solicitant în baza contr. </w:t>
            </w:r>
            <w:r w:rsidR="00B75B8C" w:rsidRPr="009E5B39">
              <w:rPr>
                <w:rFonts w:asciiTheme="majorHAnsi" w:hAnsiTheme="majorHAnsi" w:cstheme="majorHAnsi"/>
                <w:sz w:val="16"/>
                <w:szCs w:val="16"/>
                <w:lang w:val="ro-MD"/>
              </w:rPr>
              <w:t>D</w:t>
            </w:r>
            <w:r w:rsidRPr="009E5B39">
              <w:rPr>
                <w:rFonts w:asciiTheme="majorHAnsi" w:hAnsiTheme="majorHAnsi" w:cstheme="majorHAnsi"/>
                <w:sz w:val="16"/>
                <w:szCs w:val="16"/>
                <w:lang w:val="ro-MD"/>
              </w:rPr>
              <w:t>e arendă  nr.5215/2010  din 21.01.2010-21.01.2020, cu valoarea de arendă în sumă de 61205,00 lei. P</w:t>
            </w:r>
            <w:r w:rsidR="00B75B8C" w:rsidRPr="009E5B39">
              <w:rPr>
                <w:rFonts w:asciiTheme="majorHAnsi" w:hAnsiTheme="majorHAnsi" w:cstheme="majorHAnsi"/>
                <w:sz w:val="16"/>
                <w:szCs w:val="16"/>
                <w:lang w:val="ro-MD"/>
              </w:rPr>
              <w:t>â</w:t>
            </w:r>
            <w:r w:rsidRPr="009E5B39">
              <w:rPr>
                <w:rFonts w:asciiTheme="majorHAnsi" w:hAnsiTheme="majorHAnsi" w:cstheme="majorHAnsi"/>
                <w:sz w:val="16"/>
                <w:szCs w:val="16"/>
                <w:lang w:val="ro-MD"/>
              </w:rPr>
              <w:t>nă</w:t>
            </w:r>
            <w:r w:rsidR="00B75B8C" w:rsidRPr="009E5B39">
              <w:rPr>
                <w:rFonts w:asciiTheme="majorHAnsi" w:hAnsiTheme="majorHAnsi" w:cstheme="majorHAnsi"/>
                <w:sz w:val="16"/>
                <w:szCs w:val="16"/>
                <w:lang w:val="ro-MD"/>
              </w:rPr>
              <w:t xml:space="preserve"> î</w:t>
            </w:r>
            <w:r w:rsidRPr="009E5B39">
              <w:rPr>
                <w:rFonts w:asciiTheme="majorHAnsi" w:hAnsiTheme="majorHAnsi" w:cstheme="majorHAnsi"/>
                <w:sz w:val="16"/>
                <w:szCs w:val="16"/>
                <w:lang w:val="ro-MD"/>
              </w:rPr>
              <w:t>n perioada anului 2020 datorii la arendă nu sunt. Ambele A?C au fost eliberate în baza unui  CUP expirat.</w:t>
            </w:r>
          </w:p>
        </w:tc>
        <w:tc>
          <w:tcPr>
            <w:tcW w:w="1223" w:type="dxa"/>
            <w:hideMark/>
          </w:tcPr>
          <w:p w14:paraId="1945E96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777" w:type="dxa"/>
            <w:hideMark/>
          </w:tcPr>
          <w:p w14:paraId="2A175687"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5C5F5188"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4FC7BC1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61" w:type="dxa"/>
            <w:hideMark/>
          </w:tcPr>
          <w:p w14:paraId="3C88084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În cadrul proiectului de execuție nr. apartamentelor nu sunt indicate.  Conform datelor RBI pe terenul municipal sunt construite 4 blocuri de locuințe cu; 42 apartamente; 70 apartamente; 110 apartamente; 65 apartamente.</w:t>
            </w:r>
          </w:p>
        </w:tc>
        <w:tc>
          <w:tcPr>
            <w:tcW w:w="1559" w:type="dxa"/>
            <w:hideMark/>
          </w:tcPr>
          <w:p w14:paraId="49B2C65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6A70C290"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În cadrul proiectului de execuția și conform datelor RBI nr. locuri de parcare pentru locatari nu sunt indicate</w:t>
            </w:r>
          </w:p>
        </w:tc>
      </w:tr>
      <w:tr w:rsidR="003E291B" w:rsidRPr="009E5B39" w14:paraId="100E1142" w14:textId="77777777" w:rsidTr="00092EAE">
        <w:trPr>
          <w:trHeight w:val="20"/>
        </w:trPr>
        <w:tc>
          <w:tcPr>
            <w:tcW w:w="726" w:type="dxa"/>
            <w:hideMark/>
          </w:tcPr>
          <w:p w14:paraId="246E3D8A"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159-c/21</w:t>
            </w:r>
          </w:p>
        </w:tc>
        <w:tc>
          <w:tcPr>
            <w:tcW w:w="950" w:type="dxa"/>
            <w:hideMark/>
          </w:tcPr>
          <w:p w14:paraId="343B8F5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159-c/21</w:t>
            </w:r>
          </w:p>
        </w:tc>
        <w:tc>
          <w:tcPr>
            <w:tcW w:w="950" w:type="dxa"/>
            <w:hideMark/>
          </w:tcPr>
          <w:p w14:paraId="6BF68332"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11.06.2021</w:t>
            </w:r>
          </w:p>
        </w:tc>
        <w:tc>
          <w:tcPr>
            <w:tcW w:w="1149" w:type="dxa"/>
            <w:hideMark/>
          </w:tcPr>
          <w:p w14:paraId="6B1414C4"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mun. Chișinău,  sect Rîșcaniș str. Calea Orheiului</w:t>
            </w:r>
          </w:p>
        </w:tc>
        <w:tc>
          <w:tcPr>
            <w:tcW w:w="1606" w:type="dxa"/>
            <w:hideMark/>
          </w:tcPr>
          <w:p w14:paraId="7C6D89ED"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xml:space="preserve">Terenul cu nr. cad 0100415016, supr. de 1,45 ha, proprietatea solicitantului, conform datelor RBI. </w:t>
            </w:r>
          </w:p>
        </w:tc>
        <w:tc>
          <w:tcPr>
            <w:tcW w:w="1223" w:type="dxa"/>
            <w:hideMark/>
          </w:tcPr>
          <w:p w14:paraId="11514A8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777" w:type="dxa"/>
            <w:hideMark/>
          </w:tcPr>
          <w:p w14:paraId="76A3DEA6"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878" w:type="dxa"/>
            <w:hideMark/>
          </w:tcPr>
          <w:p w14:paraId="07A17175"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424" w:type="dxa"/>
            <w:hideMark/>
          </w:tcPr>
          <w:p w14:paraId="578A3F63" w14:textId="306F4DAF"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La cerer</w:t>
            </w:r>
            <w:r w:rsidR="00B75B8C" w:rsidRPr="009E5B39">
              <w:rPr>
                <w:rFonts w:asciiTheme="majorHAnsi" w:hAnsiTheme="majorHAnsi" w:cstheme="majorHAnsi"/>
                <w:sz w:val="16"/>
                <w:szCs w:val="16"/>
                <w:lang w:val="ro-MD"/>
              </w:rPr>
              <w:t>e</w:t>
            </w:r>
            <w:r w:rsidRPr="009E5B39">
              <w:rPr>
                <w:rFonts w:asciiTheme="majorHAnsi" w:hAnsiTheme="majorHAnsi" w:cstheme="majorHAnsi"/>
                <w:sz w:val="16"/>
                <w:szCs w:val="16"/>
                <w:lang w:val="ro-MD"/>
              </w:rPr>
              <w:t>a investitorului SRL„Ghercom-Prim”, conform deciziei CMC nr. 14/26 din 13.08.2020 a fost aprobat planul urbanistic zonal privind valorificarea terenului din perimetru</w:t>
            </w:r>
            <w:r w:rsidR="00B75B8C" w:rsidRPr="009E5B39">
              <w:rPr>
                <w:rFonts w:asciiTheme="majorHAnsi" w:hAnsiTheme="majorHAnsi" w:cstheme="majorHAnsi"/>
                <w:sz w:val="16"/>
                <w:szCs w:val="16"/>
                <w:lang w:val="ro-MD"/>
              </w:rPr>
              <w:t>l</w:t>
            </w:r>
            <w:r w:rsidRPr="009E5B39">
              <w:rPr>
                <w:rFonts w:asciiTheme="majorHAnsi" w:hAnsiTheme="majorHAnsi" w:cstheme="majorHAnsi"/>
                <w:sz w:val="16"/>
                <w:szCs w:val="16"/>
                <w:lang w:val="ro-MD"/>
              </w:rPr>
              <w:t xml:space="preserve"> străzii Calea Orheiului-Tudor Vladimire</w:t>
            </w:r>
            <w:r w:rsidR="00B75B8C" w:rsidRPr="009E5B39">
              <w:rPr>
                <w:rFonts w:asciiTheme="majorHAnsi" w:hAnsiTheme="majorHAnsi" w:cstheme="majorHAnsi"/>
                <w:sz w:val="16"/>
                <w:szCs w:val="16"/>
                <w:lang w:val="ro-MD"/>
              </w:rPr>
              <w:t>s</w:t>
            </w:r>
            <w:r w:rsidRPr="009E5B39">
              <w:rPr>
                <w:rFonts w:asciiTheme="majorHAnsi" w:hAnsiTheme="majorHAnsi" w:cstheme="majorHAnsi"/>
                <w:sz w:val="16"/>
                <w:szCs w:val="16"/>
                <w:lang w:val="ro-MD"/>
              </w:rPr>
              <w:t>cu-bd. Renașterii naționale</w:t>
            </w:r>
            <w:r w:rsidR="00B75B8C"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str-la Pietrăriei-Carierei, fiind operate modificări la Regulamentul local de urbanism,</w:t>
            </w:r>
            <w:r w:rsidR="00B75B8C" w:rsidRPr="009E5B39">
              <w:rPr>
                <w:rFonts w:asciiTheme="majorHAnsi" w:hAnsiTheme="majorHAnsi" w:cstheme="majorHAnsi"/>
                <w:sz w:val="16"/>
                <w:szCs w:val="16"/>
                <w:lang w:val="ro-MD"/>
              </w:rPr>
              <w:t xml:space="preserve"> </w:t>
            </w:r>
            <w:r w:rsidRPr="009E5B39">
              <w:rPr>
                <w:rFonts w:asciiTheme="majorHAnsi" w:hAnsiTheme="majorHAnsi" w:cstheme="majorHAnsi"/>
                <w:sz w:val="16"/>
                <w:szCs w:val="16"/>
                <w:lang w:val="ro-MD"/>
              </w:rPr>
              <w:t xml:space="preserve">al mun. </w:t>
            </w:r>
            <w:r w:rsidR="00B75B8C" w:rsidRPr="009E5B39">
              <w:rPr>
                <w:rFonts w:asciiTheme="majorHAnsi" w:hAnsiTheme="majorHAnsi" w:cstheme="majorHAnsi"/>
                <w:sz w:val="16"/>
                <w:szCs w:val="16"/>
                <w:lang w:val="ro-MD"/>
              </w:rPr>
              <w:t>C</w:t>
            </w:r>
            <w:r w:rsidRPr="009E5B39">
              <w:rPr>
                <w:rFonts w:asciiTheme="majorHAnsi" w:hAnsiTheme="majorHAnsi" w:cstheme="majorHAnsi"/>
                <w:sz w:val="16"/>
                <w:szCs w:val="16"/>
                <w:lang w:val="ro-MD"/>
              </w:rPr>
              <w:t xml:space="preserve">hișinău. Terenul privat l este amplasat în zona cu codul„R7”, și parțial în zona „C2”. </w:t>
            </w:r>
          </w:p>
        </w:tc>
        <w:tc>
          <w:tcPr>
            <w:tcW w:w="1361" w:type="dxa"/>
            <w:hideMark/>
          </w:tcPr>
          <w:p w14:paraId="6DAEA768" w14:textId="432F77E0"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proiectului de execuția și datelor RBI, pe terenul public sunt ampl</w:t>
            </w:r>
            <w:r w:rsidR="00B75B8C" w:rsidRPr="009E5B39">
              <w:rPr>
                <w:rFonts w:asciiTheme="majorHAnsi" w:hAnsiTheme="majorHAnsi" w:cstheme="majorHAnsi"/>
                <w:sz w:val="16"/>
                <w:szCs w:val="16"/>
                <w:lang w:val="ro-MD"/>
              </w:rPr>
              <w:t>a</w:t>
            </w:r>
            <w:r w:rsidRPr="009E5B39">
              <w:rPr>
                <w:rFonts w:asciiTheme="majorHAnsi" w:hAnsiTheme="majorHAnsi" w:cstheme="majorHAnsi"/>
                <w:sz w:val="16"/>
                <w:szCs w:val="16"/>
                <w:lang w:val="ro-MD"/>
              </w:rPr>
              <w:t>sate 5 blocuri de locuințe cu  807 apartamente</w:t>
            </w:r>
          </w:p>
        </w:tc>
        <w:tc>
          <w:tcPr>
            <w:tcW w:w="1559" w:type="dxa"/>
            <w:hideMark/>
          </w:tcPr>
          <w:p w14:paraId="605936F1"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 </w:t>
            </w:r>
          </w:p>
        </w:tc>
        <w:tc>
          <w:tcPr>
            <w:tcW w:w="1310" w:type="dxa"/>
            <w:hideMark/>
          </w:tcPr>
          <w:p w14:paraId="599DA69F" w14:textId="77777777" w:rsidR="003E291B" w:rsidRPr="009E5B39" w:rsidRDefault="003E291B" w:rsidP="003E291B">
            <w:pPr>
              <w:tabs>
                <w:tab w:val="left" w:pos="0"/>
              </w:tabs>
              <w:jc w:val="both"/>
              <w:rPr>
                <w:rFonts w:asciiTheme="majorHAnsi" w:hAnsiTheme="majorHAnsi" w:cstheme="majorHAnsi"/>
                <w:sz w:val="16"/>
                <w:szCs w:val="16"/>
                <w:lang w:val="ro-MD"/>
              </w:rPr>
            </w:pPr>
            <w:r w:rsidRPr="009E5B39">
              <w:rPr>
                <w:rFonts w:asciiTheme="majorHAnsi" w:hAnsiTheme="majorHAnsi" w:cstheme="majorHAnsi"/>
                <w:sz w:val="16"/>
                <w:szCs w:val="16"/>
                <w:lang w:val="ro-MD"/>
              </w:rPr>
              <w:t>Conform datelor RBI 635 locuri de parcare</w:t>
            </w:r>
          </w:p>
        </w:tc>
      </w:tr>
    </w:tbl>
    <w:p w14:paraId="06B8CF3F" w14:textId="4BCB7926" w:rsidR="003E291B" w:rsidRPr="009E5B39" w:rsidRDefault="003E291B" w:rsidP="003E291B">
      <w:pPr>
        <w:rPr>
          <w:lang w:val="ro-MD"/>
        </w:rPr>
      </w:pPr>
    </w:p>
    <w:p w14:paraId="6A7FF762" w14:textId="77777777" w:rsidR="00C46FAB" w:rsidRPr="009E5B39" w:rsidRDefault="00C46FAB" w:rsidP="003E291B">
      <w:pPr>
        <w:rPr>
          <w:lang w:val="ro-MD"/>
        </w:rPr>
        <w:sectPr w:rsidR="00C46FAB" w:rsidRPr="009E5B39" w:rsidSect="003E291B">
          <w:footerReference w:type="default" r:id="rId30"/>
          <w:pgSz w:w="16834" w:h="11909" w:orient="landscape" w:code="9"/>
          <w:pgMar w:top="1418" w:right="816" w:bottom="851" w:left="1134" w:header="720" w:footer="130" w:gutter="0"/>
          <w:cols w:space="720"/>
          <w:docGrid w:linePitch="360"/>
        </w:sectPr>
      </w:pPr>
    </w:p>
    <w:p w14:paraId="7AF35530" w14:textId="77777777" w:rsidR="003E291B" w:rsidRPr="009E5B39" w:rsidRDefault="003E291B" w:rsidP="003E291B">
      <w:pPr>
        <w:keepNext/>
        <w:keepLines/>
        <w:spacing w:after="0"/>
        <w:jc w:val="right"/>
        <w:outlineLvl w:val="0"/>
        <w:rPr>
          <w:rFonts w:asciiTheme="majorHAnsi" w:eastAsiaTheme="majorEastAsia" w:hAnsiTheme="majorHAnsi" w:cstheme="majorHAnsi"/>
          <w:b/>
          <w:sz w:val="32"/>
          <w:szCs w:val="32"/>
          <w:lang w:val="ro-MD"/>
        </w:rPr>
      </w:pPr>
      <w:bookmarkStart w:id="37" w:name="_Toc116026902"/>
      <w:r w:rsidRPr="009E5B39">
        <w:rPr>
          <w:rFonts w:asciiTheme="majorHAnsi" w:eastAsiaTheme="majorEastAsia" w:hAnsiTheme="majorHAnsi" w:cstheme="majorHAnsi"/>
          <w:b/>
          <w:sz w:val="32"/>
          <w:szCs w:val="32"/>
          <w:lang w:val="ro-MD"/>
        </w:rPr>
        <w:t>Anexa nr.20</w:t>
      </w:r>
      <w:bookmarkEnd w:id="37"/>
    </w:p>
    <w:p w14:paraId="64180035" w14:textId="77777777" w:rsidR="003E291B" w:rsidRPr="009E5B39" w:rsidRDefault="003E291B" w:rsidP="003E291B">
      <w:pPr>
        <w:spacing w:after="0" w:line="276" w:lineRule="auto"/>
        <w:jc w:val="center"/>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Analiza măsurilor întreprinse în vederea implementării recomandările auditului precedent al Curții de Conturi</w:t>
      </w:r>
    </w:p>
    <w:p w14:paraId="07CCCF25" w14:textId="7B607C1A" w:rsidR="003E291B" w:rsidRPr="009E5B39" w:rsidRDefault="003E291B" w:rsidP="003E291B">
      <w:pPr>
        <w:spacing w:after="0" w:line="276" w:lineRule="auto"/>
        <w:jc w:val="center"/>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w:t>
      </w:r>
      <w:r w:rsidR="009C69A2" w:rsidRPr="009E5B39">
        <w:rPr>
          <w:rFonts w:asciiTheme="majorHAnsi" w:hAnsiTheme="majorHAnsi" w:cstheme="majorHAnsi"/>
          <w:b/>
          <w:bCs/>
          <w:sz w:val="24"/>
          <w:szCs w:val="24"/>
          <w:lang w:val="ro-MD"/>
        </w:rPr>
        <w:t>HCC</w:t>
      </w:r>
      <w:r w:rsidRPr="009E5B39">
        <w:rPr>
          <w:rFonts w:asciiTheme="majorHAnsi" w:hAnsiTheme="majorHAnsi" w:cstheme="majorHAnsi"/>
          <w:b/>
          <w:bCs/>
          <w:sz w:val="24"/>
          <w:szCs w:val="24"/>
          <w:lang w:val="ro-MD"/>
        </w:rPr>
        <w:t xml:space="preserve"> nr. 22 din 24.06.2020 „Cu privire la Raportul auditului conformității asupra executării bugetului </w:t>
      </w:r>
    </w:p>
    <w:p w14:paraId="57336268" w14:textId="77777777" w:rsidR="003E291B" w:rsidRPr="009E5B39" w:rsidRDefault="003E291B" w:rsidP="003E291B">
      <w:pPr>
        <w:spacing w:after="0" w:line="276" w:lineRule="auto"/>
        <w:jc w:val="center"/>
        <w:rPr>
          <w:rFonts w:asciiTheme="majorHAnsi" w:hAnsiTheme="majorHAnsi" w:cstheme="majorHAnsi"/>
          <w:b/>
          <w:bCs/>
          <w:sz w:val="24"/>
          <w:szCs w:val="24"/>
          <w:lang w:val="ro-MD"/>
        </w:rPr>
      </w:pPr>
      <w:r w:rsidRPr="009E5B39">
        <w:rPr>
          <w:rFonts w:asciiTheme="majorHAnsi" w:hAnsiTheme="majorHAnsi" w:cstheme="majorHAnsi"/>
          <w:b/>
          <w:bCs/>
          <w:sz w:val="24"/>
          <w:szCs w:val="24"/>
          <w:lang w:val="ro-MD"/>
        </w:rPr>
        <w:t>și gestionării patrimoniului public de către DGLCA pe anii 2018-2019”)</w:t>
      </w:r>
    </w:p>
    <w:tbl>
      <w:tblPr>
        <w:tblStyle w:val="TableGrid"/>
        <w:tblW w:w="15325" w:type="dxa"/>
        <w:tblInd w:w="-289" w:type="dxa"/>
        <w:tblLook w:val="04A0" w:firstRow="1" w:lastRow="0" w:firstColumn="1" w:lastColumn="0" w:noHBand="0" w:noVBand="1"/>
      </w:tblPr>
      <w:tblGrid>
        <w:gridCol w:w="3602"/>
        <w:gridCol w:w="10149"/>
        <w:gridCol w:w="1574"/>
      </w:tblGrid>
      <w:tr w:rsidR="003E291B" w:rsidRPr="009E5B39" w14:paraId="6DAEE5ED" w14:textId="77777777" w:rsidTr="000156A3">
        <w:tc>
          <w:tcPr>
            <w:tcW w:w="3602" w:type="dxa"/>
            <w:shd w:val="clear" w:color="auto" w:fill="DEEAF6" w:themeFill="accent1" w:themeFillTint="33"/>
            <w:vAlign w:val="center"/>
          </w:tcPr>
          <w:p w14:paraId="32B8DE05" w14:textId="77777777" w:rsidR="003E291B" w:rsidRPr="009E5B39" w:rsidRDefault="003E291B" w:rsidP="000156A3">
            <w:pPr>
              <w:jc w:val="center"/>
              <w:rPr>
                <w:rFonts w:asciiTheme="majorHAnsi" w:hAnsiTheme="majorHAnsi" w:cstheme="majorHAnsi"/>
                <w:b/>
                <w:bCs/>
                <w:sz w:val="20"/>
                <w:szCs w:val="20"/>
                <w:lang w:val="ro-MD"/>
              </w:rPr>
            </w:pPr>
            <w:r w:rsidRPr="009E5B39">
              <w:rPr>
                <w:rFonts w:asciiTheme="majorHAnsi" w:hAnsiTheme="majorHAnsi" w:cstheme="majorHAnsi"/>
                <w:b/>
                <w:bCs/>
                <w:sz w:val="20"/>
                <w:szCs w:val="20"/>
                <w:lang w:val="ro-MD"/>
              </w:rPr>
              <w:t>Textul recomandării</w:t>
            </w:r>
          </w:p>
        </w:tc>
        <w:tc>
          <w:tcPr>
            <w:tcW w:w="10149" w:type="dxa"/>
            <w:shd w:val="clear" w:color="auto" w:fill="DEEAF6" w:themeFill="accent1" w:themeFillTint="33"/>
            <w:vAlign w:val="center"/>
          </w:tcPr>
          <w:p w14:paraId="792A3337" w14:textId="77777777" w:rsidR="003E291B" w:rsidRPr="009E5B39" w:rsidRDefault="003E291B" w:rsidP="000156A3">
            <w:pPr>
              <w:jc w:val="center"/>
              <w:rPr>
                <w:rFonts w:asciiTheme="majorHAnsi" w:hAnsiTheme="majorHAnsi" w:cstheme="majorHAnsi"/>
                <w:b/>
                <w:bCs/>
                <w:sz w:val="20"/>
                <w:szCs w:val="20"/>
                <w:lang w:val="ro-MD"/>
              </w:rPr>
            </w:pPr>
            <w:r w:rsidRPr="009E5B39">
              <w:rPr>
                <w:rFonts w:asciiTheme="majorHAnsi" w:hAnsiTheme="majorHAnsi" w:cstheme="majorHAnsi"/>
                <w:b/>
                <w:bCs/>
                <w:sz w:val="20"/>
                <w:szCs w:val="20"/>
                <w:lang w:val="ro-MD"/>
              </w:rPr>
              <w:t>Răspunsul autorității</w:t>
            </w:r>
          </w:p>
        </w:tc>
        <w:tc>
          <w:tcPr>
            <w:tcW w:w="1574" w:type="dxa"/>
            <w:shd w:val="clear" w:color="auto" w:fill="DEEAF6" w:themeFill="accent1" w:themeFillTint="33"/>
            <w:vAlign w:val="center"/>
          </w:tcPr>
          <w:p w14:paraId="62FBB72B" w14:textId="77777777" w:rsidR="003E291B" w:rsidRPr="009E5B39" w:rsidRDefault="003E291B" w:rsidP="000156A3">
            <w:pPr>
              <w:jc w:val="center"/>
              <w:rPr>
                <w:rFonts w:asciiTheme="majorHAnsi" w:hAnsiTheme="majorHAnsi" w:cstheme="majorHAnsi"/>
                <w:b/>
                <w:bCs/>
                <w:sz w:val="20"/>
                <w:szCs w:val="20"/>
                <w:lang w:val="ro-MD"/>
              </w:rPr>
            </w:pPr>
            <w:r w:rsidRPr="009E5B39">
              <w:rPr>
                <w:rFonts w:asciiTheme="majorHAnsi" w:hAnsiTheme="majorHAnsi" w:cstheme="majorHAnsi"/>
                <w:b/>
                <w:bCs/>
                <w:sz w:val="20"/>
                <w:szCs w:val="20"/>
                <w:lang w:val="ro-MD"/>
              </w:rPr>
              <w:t>Comentariile auditorului</w:t>
            </w:r>
          </w:p>
        </w:tc>
      </w:tr>
      <w:tr w:rsidR="003E291B" w:rsidRPr="009E5B39" w14:paraId="129834D1" w14:textId="77777777" w:rsidTr="000156A3">
        <w:tc>
          <w:tcPr>
            <w:tcW w:w="3602" w:type="dxa"/>
            <w:vAlign w:val="center"/>
          </w:tcPr>
          <w:p w14:paraId="69B7B838" w14:textId="77777777" w:rsidR="003E291B" w:rsidRPr="009E5B39" w:rsidRDefault="003E291B" w:rsidP="000156A3">
            <w:pPr>
              <w:jc w:val="both"/>
              <w:rPr>
                <w:rFonts w:asciiTheme="majorHAnsi" w:hAnsiTheme="majorHAnsi" w:cstheme="majorHAnsi"/>
                <w:b/>
                <w:bCs/>
                <w:sz w:val="20"/>
                <w:szCs w:val="20"/>
                <w:lang w:val="ro-MD"/>
              </w:rPr>
            </w:pPr>
            <w:r w:rsidRPr="009E5B39">
              <w:rPr>
                <w:rFonts w:asciiTheme="majorHAnsi" w:eastAsia="Times New Roman" w:hAnsiTheme="majorHAnsi" w:cstheme="majorHAnsi"/>
                <w:sz w:val="20"/>
                <w:szCs w:val="20"/>
                <w:lang w:val="ro-MD"/>
              </w:rPr>
              <w:t>1. De comun cu Direcția Generală Finanțe a mun. Chișinău să planifice și să execute bugetul DGLCA în strictă conformitate cu prevederile clasificației economice a cheltuielilor bugetare, asigurând alocarea mijloacelor bugetare pentru investiții capitale în Întreprinderile municipale (procurarea, reconstrucția, reparația capitală a mijloacelor fixe) prin intermediul Primăriei municipiului Chișinău (Direcției management financiar)</w:t>
            </w:r>
          </w:p>
        </w:tc>
        <w:tc>
          <w:tcPr>
            <w:tcW w:w="10149" w:type="dxa"/>
            <w:vAlign w:val="center"/>
          </w:tcPr>
          <w:p w14:paraId="482337C0" w14:textId="3F85F000" w:rsidR="003E291B" w:rsidRPr="009E5B39" w:rsidRDefault="003E291B" w:rsidP="000156A3">
            <w:pPr>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Scris. Primări</w:t>
            </w:r>
            <w:r w:rsidR="009C69A2" w:rsidRPr="009E5B39">
              <w:rPr>
                <w:rFonts w:asciiTheme="majorHAnsi" w:eastAsia="Times New Roman" w:hAnsiTheme="majorHAnsi" w:cstheme="majorHAnsi"/>
                <w:b/>
                <w:bCs/>
                <w:sz w:val="20"/>
                <w:szCs w:val="20"/>
                <w:lang w:val="ro-MD"/>
              </w:rPr>
              <w:t>ei</w:t>
            </w:r>
            <w:r w:rsidRPr="009E5B39">
              <w:rPr>
                <w:rFonts w:asciiTheme="majorHAnsi" w:eastAsia="Times New Roman" w:hAnsiTheme="majorHAnsi" w:cstheme="majorHAnsi"/>
                <w:b/>
                <w:bCs/>
                <w:sz w:val="20"/>
                <w:szCs w:val="20"/>
                <w:lang w:val="ro-MD"/>
              </w:rPr>
              <w:t xml:space="preserve"> Chișinău nr.02-118/4226/20 din 21.01.2021:</w:t>
            </w:r>
          </w:p>
          <w:p w14:paraId="0A1EA0D0" w14:textId="77777777" w:rsidR="003E291B" w:rsidRPr="009E5B39" w:rsidRDefault="003E291B" w:rsidP="000156A3">
            <w:pPr>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 xml:space="preserve"> 1. Este efectuată monitorizarea permanenta privind respectarea clasificației economice a cheltuielilor conform prevederilor Ordinului Ministerului Finanțelor al Republicii Moldova nr.191 din 31.12.2014.</w:t>
            </w:r>
          </w:p>
          <w:p w14:paraId="540BF9CB" w14:textId="77777777" w:rsidR="003E291B" w:rsidRPr="009E5B39" w:rsidRDefault="003E291B" w:rsidP="000156A3">
            <w:pPr>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 xml:space="preserve">2. Permanent, pe parcursul anului a fost efectuata verificarea executării Bugetului municipal Chișinău, conform destinației și clasificației economice. Pentru fiecare luna a anului a fost întocmită informația privind executarea bugetului aprobat pentru anul 2020. </w:t>
            </w:r>
          </w:p>
          <w:p w14:paraId="6A7ABD5B" w14:textId="00047B82" w:rsidR="003E291B" w:rsidRPr="009E5B39" w:rsidRDefault="003E291B" w:rsidP="000156A3">
            <w:pPr>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3. în bugetul municipal pe anul 2021 alocațiile bugetare aferente DGLCA pentru investiții capitale in întreprinderile municipale (procurarea, reconstrucția, reparația capitala a mijloacelor fixe) au fost clasificate in stricta conformitate cu prevederile clasificației bugetare-Eco- 314,315,316,318- (Implementat)</w:t>
            </w:r>
            <w:r w:rsidR="009C69A2" w:rsidRPr="009E5B39">
              <w:rPr>
                <w:rFonts w:asciiTheme="majorHAnsi" w:eastAsia="Times New Roman" w:hAnsiTheme="majorHAnsi" w:cstheme="majorHAnsi"/>
                <w:sz w:val="20"/>
                <w:szCs w:val="20"/>
                <w:lang w:val="ro-MD"/>
              </w:rPr>
              <w:t>.</w:t>
            </w:r>
          </w:p>
          <w:p w14:paraId="01BF3962" w14:textId="77777777" w:rsidR="003E291B" w:rsidRPr="009E5B39" w:rsidRDefault="003E291B" w:rsidP="000156A3">
            <w:pPr>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4. S-a asigurat permanent acordarea suportului metodologic în ținerea evidentei contabile.</w:t>
            </w:r>
          </w:p>
          <w:p w14:paraId="2009189B" w14:textId="77777777" w:rsidR="003E291B" w:rsidRPr="009E5B39" w:rsidRDefault="003E291B" w:rsidP="000156A3">
            <w:pPr>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 xml:space="preserve">5. A fost încheiat contractul nr. 18/20 din 20.10.2020 intre DGF și CTIF cu privire la prezentarea serviciilor de suport instituțional in vederea tinerii evidenței contabile și anume elaborarea Politicii de contabilitate unificate. La propunerea CTIF conform scrisorii nr. 29/3014 din 15.12.2020 este in proces reîncheierea contractului în anul 2021, în legătură cu situația provocată de pandemia COVID-19 si din lipsa cadrelor. </w:t>
            </w:r>
          </w:p>
        </w:tc>
        <w:tc>
          <w:tcPr>
            <w:tcW w:w="1574" w:type="dxa"/>
            <w:vAlign w:val="center"/>
          </w:tcPr>
          <w:p w14:paraId="1801A80A" w14:textId="10551049" w:rsidR="003E291B" w:rsidRPr="009E5B39" w:rsidRDefault="003E291B" w:rsidP="000156A3">
            <w:pPr>
              <w:jc w:val="center"/>
              <w:rPr>
                <w:rFonts w:asciiTheme="majorHAnsi" w:hAnsiTheme="majorHAnsi" w:cstheme="majorHAnsi"/>
                <w:b/>
                <w:bCs/>
                <w:sz w:val="20"/>
                <w:szCs w:val="20"/>
                <w:lang w:val="ro-MD"/>
              </w:rPr>
            </w:pPr>
            <w:r w:rsidRPr="009E5B39">
              <w:rPr>
                <w:rFonts w:asciiTheme="majorHAnsi" w:hAnsiTheme="majorHAnsi" w:cstheme="majorHAnsi"/>
                <w:b/>
                <w:bCs/>
                <w:sz w:val="20"/>
                <w:szCs w:val="20"/>
                <w:lang w:val="ro-MD"/>
              </w:rPr>
              <w:t xml:space="preserve">Parțial </w:t>
            </w:r>
            <w:r w:rsidR="009C69A2" w:rsidRPr="009E5B39">
              <w:rPr>
                <w:rFonts w:asciiTheme="majorHAnsi" w:hAnsiTheme="majorHAnsi" w:cstheme="majorHAnsi"/>
                <w:b/>
                <w:bCs/>
                <w:sz w:val="20"/>
                <w:szCs w:val="20"/>
                <w:lang w:val="ro-MD"/>
              </w:rPr>
              <w:t>i</w:t>
            </w:r>
            <w:r w:rsidRPr="009E5B39">
              <w:rPr>
                <w:rFonts w:asciiTheme="majorHAnsi" w:hAnsiTheme="majorHAnsi" w:cstheme="majorHAnsi"/>
                <w:b/>
                <w:bCs/>
                <w:sz w:val="20"/>
                <w:szCs w:val="20"/>
                <w:lang w:val="ro-MD"/>
              </w:rPr>
              <w:t>mplementată</w:t>
            </w:r>
          </w:p>
        </w:tc>
      </w:tr>
      <w:tr w:rsidR="003E291B" w:rsidRPr="009E5B39" w14:paraId="181D05B8" w14:textId="77777777" w:rsidTr="000156A3">
        <w:tc>
          <w:tcPr>
            <w:tcW w:w="3602" w:type="dxa"/>
            <w:vAlign w:val="center"/>
          </w:tcPr>
          <w:p w14:paraId="742EFDB4" w14:textId="77777777" w:rsidR="003E291B" w:rsidRPr="009E5B39" w:rsidRDefault="003E291B" w:rsidP="000156A3">
            <w:pPr>
              <w:jc w:val="both"/>
              <w:rPr>
                <w:rFonts w:asciiTheme="majorHAnsi" w:hAnsiTheme="majorHAnsi" w:cstheme="majorHAnsi"/>
                <w:b/>
                <w:bCs/>
                <w:sz w:val="20"/>
                <w:szCs w:val="20"/>
                <w:lang w:val="ro-MD"/>
              </w:rPr>
            </w:pPr>
            <w:r w:rsidRPr="009E5B39">
              <w:rPr>
                <w:rFonts w:asciiTheme="majorHAnsi" w:eastAsia="Times New Roman" w:hAnsiTheme="majorHAnsi" w:cstheme="majorHAnsi"/>
                <w:sz w:val="20"/>
                <w:szCs w:val="20"/>
                <w:lang w:val="ro-MD"/>
              </w:rPr>
              <w:t>2. Să asigure inventarierea regulamentară a spațiilor locative și nelocative (inclusiv a executării deciziilor CMC privind transmiterea în proprietatea municipiului a spațiilor locative și nelocative în contul terenurilor alocate), precum și a patrimoniului investit în entitățile fondate, determinând domeniului de proprietate din care fac parte, cu înregistrarea ulterioară a acestora în evidența contabilă</w:t>
            </w:r>
          </w:p>
        </w:tc>
        <w:tc>
          <w:tcPr>
            <w:tcW w:w="10149" w:type="dxa"/>
            <w:vAlign w:val="center"/>
          </w:tcPr>
          <w:p w14:paraId="49C7E30B" w14:textId="2A5E83A8" w:rsidR="003E291B" w:rsidRPr="009E5B39" w:rsidRDefault="003E291B" w:rsidP="000156A3">
            <w:pPr>
              <w:jc w:val="both"/>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Scris. Primări</w:t>
            </w:r>
            <w:r w:rsidR="009C69A2" w:rsidRPr="009E5B39">
              <w:rPr>
                <w:rFonts w:asciiTheme="majorHAnsi" w:eastAsia="Times New Roman" w:hAnsiTheme="majorHAnsi" w:cstheme="majorHAnsi"/>
                <w:b/>
                <w:bCs/>
                <w:sz w:val="20"/>
                <w:szCs w:val="20"/>
                <w:lang w:val="ro-MD"/>
              </w:rPr>
              <w:t>ei</w:t>
            </w:r>
            <w:r w:rsidRPr="009E5B39">
              <w:rPr>
                <w:rFonts w:asciiTheme="majorHAnsi" w:eastAsia="Times New Roman" w:hAnsiTheme="majorHAnsi" w:cstheme="majorHAnsi"/>
                <w:b/>
                <w:bCs/>
                <w:sz w:val="20"/>
                <w:szCs w:val="20"/>
                <w:lang w:val="ro-MD"/>
              </w:rPr>
              <w:t xml:space="preserve"> Chișinău nr.02-118/4226/20 din 21.01.2021:</w:t>
            </w:r>
          </w:p>
          <w:p w14:paraId="145DF231" w14:textId="2AF303BB" w:rsidR="003E291B" w:rsidRPr="009E5B39" w:rsidRDefault="003E291B" w:rsidP="000156A3">
            <w:pPr>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1. Inventarierea spatiilor locative va continua să fie efectuată în baza ordinului nr. 19-d din 10.02.2020 Cu privire la imobilele ce urmează a fi excluse din evidența contabilă a DGLCA. Inventarierea unor spații nelocative a fost efectuata în baza dispoziției nr.574-d din 15.08.2019. Despre instituirea comisiei pentru inventarierea unor bunuri imobile proprietate publica a municipiului Chișinău, aflate în gestiunea DGLCA</w:t>
            </w:r>
            <w:r w:rsidR="009C69A2" w:rsidRPr="009E5B39">
              <w:rPr>
                <w:rFonts w:asciiTheme="majorHAnsi" w:eastAsia="Times New Roman" w:hAnsiTheme="majorHAnsi" w:cstheme="majorHAnsi"/>
                <w:sz w:val="20"/>
                <w:szCs w:val="20"/>
                <w:lang w:val="ro-MD"/>
              </w:rPr>
              <w:t>.</w:t>
            </w:r>
            <w:r w:rsidRPr="009E5B39">
              <w:rPr>
                <w:rFonts w:asciiTheme="majorHAnsi" w:eastAsia="Times New Roman" w:hAnsiTheme="majorHAnsi" w:cstheme="majorHAnsi"/>
                <w:sz w:val="20"/>
                <w:szCs w:val="20"/>
                <w:lang w:val="ro-MD"/>
              </w:rPr>
              <w:t xml:space="preserve"> </w:t>
            </w:r>
          </w:p>
          <w:p w14:paraId="7321096E" w14:textId="351F31F6" w:rsidR="003E291B" w:rsidRPr="009E5B39" w:rsidRDefault="003E291B" w:rsidP="000156A3">
            <w:pPr>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 xml:space="preserve">2. În cazul a 4 decizii </w:t>
            </w:r>
            <w:r w:rsidR="009C69A2" w:rsidRPr="009E5B39">
              <w:rPr>
                <w:rFonts w:asciiTheme="majorHAnsi" w:eastAsia="Times New Roman" w:hAnsiTheme="majorHAnsi" w:cstheme="majorHAnsi"/>
                <w:sz w:val="20"/>
                <w:szCs w:val="20"/>
                <w:lang w:val="ro-MD"/>
              </w:rPr>
              <w:t xml:space="preserve">ale </w:t>
            </w:r>
            <w:r w:rsidRPr="009E5B39">
              <w:rPr>
                <w:rFonts w:asciiTheme="majorHAnsi" w:eastAsia="Times New Roman" w:hAnsiTheme="majorHAnsi" w:cstheme="majorHAnsi"/>
                <w:sz w:val="20"/>
                <w:szCs w:val="20"/>
                <w:lang w:val="ro-MD"/>
              </w:rPr>
              <w:t>CMC</w:t>
            </w:r>
            <w:r w:rsidR="009C69A2" w:rsidRPr="009E5B39">
              <w:rPr>
                <w:rFonts w:asciiTheme="majorHAnsi" w:eastAsia="Times New Roman" w:hAnsiTheme="majorHAnsi" w:cstheme="majorHAnsi"/>
                <w:sz w:val="20"/>
                <w:szCs w:val="20"/>
                <w:lang w:val="ro-MD"/>
              </w:rPr>
              <w:t>,</w:t>
            </w:r>
            <w:r w:rsidRPr="009E5B39">
              <w:rPr>
                <w:rFonts w:asciiTheme="majorHAnsi" w:eastAsia="Times New Roman" w:hAnsiTheme="majorHAnsi" w:cstheme="majorHAnsi"/>
                <w:sz w:val="20"/>
                <w:szCs w:val="20"/>
                <w:lang w:val="ro-MD"/>
              </w:rPr>
              <w:t xml:space="preserve"> obliga</w:t>
            </w:r>
            <w:r w:rsidR="009C69A2" w:rsidRPr="009E5B39">
              <w:rPr>
                <w:rFonts w:asciiTheme="majorHAnsi" w:eastAsia="Times New Roman" w:hAnsiTheme="majorHAnsi" w:cstheme="majorHAnsi"/>
                <w:sz w:val="20"/>
                <w:szCs w:val="20"/>
                <w:lang w:val="ro-MD"/>
              </w:rPr>
              <w:t>țiile</w:t>
            </w:r>
            <w:r w:rsidRPr="009E5B39">
              <w:rPr>
                <w:rFonts w:asciiTheme="majorHAnsi" w:eastAsia="Times New Roman" w:hAnsiTheme="majorHAnsi" w:cstheme="majorHAnsi"/>
                <w:sz w:val="20"/>
                <w:szCs w:val="20"/>
                <w:lang w:val="ro-MD"/>
              </w:rPr>
              <w:t xml:space="preserve"> companiilor de construcții au fost îndeplinite integral, ceea ce denota ca în aceste cazuri nu exista creanțe</w:t>
            </w:r>
            <w:r w:rsidR="009C69A2" w:rsidRPr="009E5B39">
              <w:rPr>
                <w:rFonts w:asciiTheme="majorHAnsi" w:eastAsia="Times New Roman" w:hAnsiTheme="majorHAnsi" w:cstheme="majorHAnsi"/>
                <w:sz w:val="20"/>
                <w:szCs w:val="20"/>
                <w:lang w:val="ro-MD"/>
              </w:rPr>
              <w:t>, ș</w:t>
            </w:r>
            <w:r w:rsidRPr="009E5B39">
              <w:rPr>
                <w:rFonts w:asciiTheme="majorHAnsi" w:eastAsia="Times New Roman" w:hAnsiTheme="majorHAnsi" w:cstheme="majorHAnsi"/>
                <w:sz w:val="20"/>
                <w:szCs w:val="20"/>
                <w:lang w:val="ro-MD"/>
              </w:rPr>
              <w:t>i anume:</w:t>
            </w:r>
          </w:p>
          <w:p w14:paraId="5573B3AD" w14:textId="77777777" w:rsidR="003E291B" w:rsidRPr="009E5B39" w:rsidRDefault="003E291B" w:rsidP="000156A3">
            <w:pPr>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-în baza deciziei nr.11/53-26 din 17.06.2004 au fost repartizate apartamentele nr. 154/ 101, 96, și 52 din str. M. cel Bătrân nr 48;</w:t>
            </w:r>
          </w:p>
          <w:p w14:paraId="52C0D148" w14:textId="77777777" w:rsidR="003E291B" w:rsidRPr="009E5B39" w:rsidRDefault="003E291B" w:rsidP="000156A3">
            <w:pPr>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-în baza deciziei nr. 5/14-12 din 18.05.2010 - apartamentele nr. 178, 184, 190, 89, 101, 199, 83, 102, 167 din str. M. cel Bătrân nr. 42;</w:t>
            </w:r>
          </w:p>
          <w:p w14:paraId="4A29A467" w14:textId="789AE363" w:rsidR="003E291B" w:rsidRPr="009E5B39" w:rsidRDefault="003E291B" w:rsidP="000156A3">
            <w:pPr>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 xml:space="preserve">-în baza deciziei nr. 6/8-2; din 25.05.2010 </w:t>
            </w:r>
            <w:r w:rsidR="009C69A2" w:rsidRPr="009E5B39">
              <w:rPr>
                <w:rFonts w:asciiTheme="majorHAnsi" w:eastAsia="Times New Roman" w:hAnsiTheme="majorHAnsi" w:cstheme="majorHAnsi"/>
                <w:sz w:val="20"/>
                <w:szCs w:val="20"/>
                <w:lang w:val="ro-MD"/>
              </w:rPr>
              <w:t xml:space="preserve">- </w:t>
            </w:r>
            <w:r w:rsidRPr="009E5B39">
              <w:rPr>
                <w:rFonts w:asciiTheme="majorHAnsi" w:eastAsia="Times New Roman" w:hAnsiTheme="majorHAnsi" w:cstheme="majorHAnsi"/>
                <w:sz w:val="20"/>
                <w:szCs w:val="20"/>
                <w:lang w:val="ro-MD"/>
              </w:rPr>
              <w:t xml:space="preserve">apartamentele nr. 63, 56 și 49, din str. M. Sadoveanu, nr. 9/1; </w:t>
            </w:r>
          </w:p>
          <w:p w14:paraId="3A94D6D0" w14:textId="01B2F76F" w:rsidR="003E291B" w:rsidRPr="009E5B39" w:rsidRDefault="003E291B" w:rsidP="000156A3">
            <w:pPr>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 xml:space="preserve">-în baza deciziei nr. 6/18 din 25.10.2010 </w:t>
            </w:r>
            <w:r w:rsidR="009C69A2" w:rsidRPr="009E5B39">
              <w:rPr>
                <w:rFonts w:asciiTheme="majorHAnsi" w:eastAsia="Times New Roman" w:hAnsiTheme="majorHAnsi" w:cstheme="majorHAnsi"/>
                <w:sz w:val="20"/>
                <w:szCs w:val="20"/>
                <w:lang w:val="ro-MD"/>
              </w:rPr>
              <w:t xml:space="preserve">- </w:t>
            </w:r>
            <w:r w:rsidRPr="009E5B39">
              <w:rPr>
                <w:rFonts w:asciiTheme="majorHAnsi" w:eastAsia="Times New Roman" w:hAnsiTheme="majorHAnsi" w:cstheme="majorHAnsi"/>
                <w:sz w:val="20"/>
                <w:szCs w:val="20"/>
                <w:lang w:val="ro-MD"/>
              </w:rPr>
              <w:t>apartamentele nr. 155, 160, 238, 35 din str. Trandafirilor, nr. 6/1.</w:t>
            </w:r>
          </w:p>
          <w:p w14:paraId="7B01C9C4" w14:textId="4EEA6925" w:rsidR="003E291B" w:rsidRPr="009E5B39" w:rsidRDefault="003E291B" w:rsidP="000156A3">
            <w:pPr>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În cazul deciziei CMC nr. 6/30-10 din 02.10.2014 cu privire la reperfectarea relațiilor funciare de arenda a lotului de pământ din str. Carierei, 5 cu Uniunea conducătorilor auto din Moldova, dl Igor Neznaico și dna Irina Lejniova, aceasta a fost anulata de instanța de judecata, încheierea unui contract cu compania respectiva nu are temei juridic iar situația urmează sa fie clarificata după finalizarea litigiului și identificărilor masurilor care urmează sa fie întreprinse de autoritățile municipale, cazul dat fiind în gestiunea Direcției asistență juridica a PMC.</w:t>
            </w:r>
          </w:p>
          <w:p w14:paraId="0EA66D1A" w14:textId="28D2E99B" w:rsidR="003E291B" w:rsidRPr="009E5B39" w:rsidRDefault="003E291B" w:rsidP="000156A3">
            <w:pPr>
              <w:jc w:val="both"/>
              <w:rPr>
                <w:rFonts w:asciiTheme="majorHAnsi" w:eastAsia="Times New Roman" w:hAnsiTheme="majorHAnsi" w:cstheme="majorHAnsi"/>
                <w:sz w:val="20"/>
                <w:szCs w:val="20"/>
                <w:lang w:val="ro-MD"/>
              </w:rPr>
            </w:pPr>
            <w:r w:rsidRPr="009E5B39">
              <w:rPr>
                <w:rFonts w:asciiTheme="majorHAnsi" w:eastAsia="Times New Roman" w:hAnsiTheme="majorHAnsi" w:cstheme="majorHAnsi"/>
                <w:sz w:val="20"/>
                <w:szCs w:val="20"/>
                <w:lang w:val="ro-MD"/>
              </w:rPr>
              <w:t>La 4 decizii CMC, obligațiile companiilor de construcție au fost îndeplinite integral, ceea ce denota ca in aceste cazuri  nu exista creanțe. Informația a fost prezentata la raportarea din luna septembrie. Desfășurarea acțiunii de executare a prevederilor deciziei CMC nr. 3/77 din 19.05.2015 „</w:t>
            </w:r>
            <w:r w:rsidR="00697728" w:rsidRPr="009E5B39">
              <w:rPr>
                <w:rFonts w:asciiTheme="majorHAnsi" w:eastAsia="Times New Roman" w:hAnsiTheme="majorHAnsi" w:cstheme="majorHAnsi"/>
                <w:sz w:val="20"/>
                <w:szCs w:val="20"/>
                <w:lang w:val="ro-MD"/>
              </w:rPr>
              <w:t>Cu</w:t>
            </w:r>
            <w:r w:rsidRPr="009E5B39">
              <w:rPr>
                <w:rFonts w:asciiTheme="majorHAnsi" w:eastAsia="Times New Roman" w:hAnsiTheme="majorHAnsi" w:cstheme="majorHAnsi"/>
                <w:sz w:val="20"/>
                <w:szCs w:val="20"/>
                <w:lang w:val="ro-MD"/>
              </w:rPr>
              <w:t xml:space="preserve"> privire la reperfectarea relațiilor funciare de arendă a</w:t>
            </w:r>
            <w:r w:rsidR="00697728">
              <w:rPr>
                <w:rFonts w:asciiTheme="majorHAnsi" w:eastAsia="Times New Roman" w:hAnsiTheme="majorHAnsi" w:cstheme="majorHAnsi"/>
                <w:sz w:val="20"/>
                <w:szCs w:val="20"/>
                <w:lang w:val="ro-MD"/>
              </w:rPr>
              <w:t xml:space="preserve"> lotului de pământ din Calea Ieș</w:t>
            </w:r>
            <w:r w:rsidRPr="009E5B39">
              <w:rPr>
                <w:rFonts w:asciiTheme="majorHAnsi" w:eastAsia="Times New Roman" w:hAnsiTheme="majorHAnsi" w:cstheme="majorHAnsi"/>
                <w:sz w:val="20"/>
                <w:szCs w:val="20"/>
                <w:lang w:val="ro-MD"/>
              </w:rPr>
              <w:t xml:space="preserve">ilor, 5, cu dl Ion Vizir”, se monitorizează permanent Contractul cu compania de construcții privind transmiterea a 5% din fondul locativ al blocului locativ în proprietatea municipală administrată de </w:t>
            </w:r>
            <w:r w:rsidR="000156A3">
              <w:rPr>
                <w:rFonts w:asciiTheme="majorHAnsi" w:eastAsia="Times New Roman" w:hAnsiTheme="majorHAnsi" w:cstheme="majorHAnsi"/>
                <w:sz w:val="20"/>
                <w:szCs w:val="20"/>
                <w:lang w:val="ro-MD"/>
              </w:rPr>
              <w:t>CMC</w:t>
            </w:r>
            <w:r w:rsidRPr="009E5B39">
              <w:rPr>
                <w:rFonts w:asciiTheme="majorHAnsi" w:eastAsia="Times New Roman" w:hAnsiTheme="majorHAnsi" w:cstheme="majorHAnsi"/>
                <w:sz w:val="20"/>
                <w:szCs w:val="20"/>
                <w:lang w:val="ro-MD"/>
              </w:rPr>
              <w:t>, urmează a fi încheiat concomitent cu recepția finala a blocului locativ respectiv. La moment, lucrările de construcție sunt în proces de derulare.</w:t>
            </w:r>
          </w:p>
        </w:tc>
        <w:tc>
          <w:tcPr>
            <w:tcW w:w="1574" w:type="dxa"/>
            <w:vAlign w:val="center"/>
          </w:tcPr>
          <w:p w14:paraId="21B42C87" w14:textId="77777777" w:rsidR="003E291B" w:rsidRPr="009E5B39" w:rsidRDefault="003E291B" w:rsidP="000156A3">
            <w:pPr>
              <w:jc w:val="center"/>
              <w:rPr>
                <w:rFonts w:asciiTheme="majorHAnsi" w:hAnsiTheme="majorHAnsi" w:cstheme="majorHAnsi"/>
                <w:b/>
                <w:bCs/>
                <w:sz w:val="20"/>
                <w:szCs w:val="20"/>
                <w:lang w:val="ro-MD"/>
              </w:rPr>
            </w:pPr>
            <w:r w:rsidRPr="009E5B39">
              <w:rPr>
                <w:rFonts w:asciiTheme="majorHAnsi" w:hAnsiTheme="majorHAnsi" w:cstheme="majorHAnsi"/>
                <w:b/>
                <w:bCs/>
                <w:sz w:val="20"/>
                <w:szCs w:val="20"/>
                <w:lang w:val="ro-MD"/>
              </w:rPr>
              <w:t>Neimplementată</w:t>
            </w:r>
          </w:p>
        </w:tc>
      </w:tr>
      <w:tr w:rsidR="003E291B" w:rsidRPr="009E5B39" w14:paraId="40C19D2C" w14:textId="77777777" w:rsidTr="000156A3">
        <w:tc>
          <w:tcPr>
            <w:tcW w:w="3602" w:type="dxa"/>
            <w:vAlign w:val="center"/>
          </w:tcPr>
          <w:p w14:paraId="2C71330B" w14:textId="77777777" w:rsidR="003E291B" w:rsidRPr="009E5B39" w:rsidRDefault="003E291B" w:rsidP="000156A3">
            <w:pPr>
              <w:jc w:val="both"/>
              <w:rPr>
                <w:rFonts w:asciiTheme="majorHAnsi" w:hAnsiTheme="majorHAnsi" w:cstheme="majorHAnsi"/>
                <w:b/>
                <w:bCs/>
                <w:sz w:val="20"/>
                <w:szCs w:val="20"/>
                <w:lang w:val="ro-MD"/>
              </w:rPr>
            </w:pPr>
            <w:r w:rsidRPr="009E5B39">
              <w:rPr>
                <w:rFonts w:asciiTheme="majorHAnsi" w:eastAsia="Times New Roman" w:hAnsiTheme="majorHAnsi" w:cstheme="majorHAnsi"/>
                <w:sz w:val="20"/>
                <w:szCs w:val="20"/>
                <w:lang w:val="ro-MD"/>
              </w:rPr>
              <w:t>3. Să asigure restabilirea în evidența contabilă a DGLCA a investițiilor efectuate în perioadele anterioare în ÎM, cu transmiterea conformă a acestora Primăriei municipiului Chișinău (Direcției management financiar) pentru majorarea investițiilor municipiului Chișinău în ÎM fondate</w:t>
            </w:r>
          </w:p>
        </w:tc>
        <w:tc>
          <w:tcPr>
            <w:tcW w:w="10149" w:type="dxa"/>
          </w:tcPr>
          <w:p w14:paraId="0DC0069D" w14:textId="08CC6F01" w:rsidR="003E291B" w:rsidRPr="009E5B39" w:rsidRDefault="003E291B" w:rsidP="000156A3">
            <w:pPr>
              <w:jc w:val="both"/>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Scris. Primări</w:t>
            </w:r>
            <w:r w:rsidR="000C14FB" w:rsidRPr="009E5B39">
              <w:rPr>
                <w:rFonts w:asciiTheme="majorHAnsi" w:eastAsia="Times New Roman" w:hAnsiTheme="majorHAnsi" w:cstheme="majorHAnsi"/>
                <w:b/>
                <w:bCs/>
                <w:sz w:val="20"/>
                <w:szCs w:val="20"/>
                <w:lang w:val="ro-MD"/>
              </w:rPr>
              <w:t>ei</w:t>
            </w:r>
            <w:r w:rsidRPr="009E5B39">
              <w:rPr>
                <w:rFonts w:asciiTheme="majorHAnsi" w:eastAsia="Times New Roman" w:hAnsiTheme="majorHAnsi" w:cstheme="majorHAnsi"/>
                <w:b/>
                <w:bCs/>
                <w:sz w:val="20"/>
                <w:szCs w:val="20"/>
                <w:lang w:val="ro-MD"/>
              </w:rPr>
              <w:t xml:space="preserve"> Chișinău nr.02-118/4226/20 din 21.01.2021:</w:t>
            </w:r>
          </w:p>
          <w:p w14:paraId="1ACA71CE" w14:textId="77777777" w:rsidR="003E291B" w:rsidRPr="009E5B39" w:rsidRDefault="003E291B" w:rsidP="000156A3">
            <w:pPr>
              <w:jc w:val="both"/>
              <w:rPr>
                <w:rFonts w:asciiTheme="majorHAnsi" w:hAnsiTheme="majorHAnsi" w:cstheme="majorHAnsi"/>
                <w:b/>
                <w:bCs/>
                <w:sz w:val="20"/>
                <w:szCs w:val="20"/>
                <w:lang w:val="ro-MD"/>
              </w:rPr>
            </w:pPr>
            <w:r w:rsidRPr="009E5B39">
              <w:rPr>
                <w:rFonts w:asciiTheme="majorHAnsi" w:eastAsia="Times New Roman" w:hAnsiTheme="majorHAnsi" w:cstheme="majorHAnsi"/>
                <w:sz w:val="20"/>
                <w:szCs w:val="20"/>
                <w:lang w:val="ro-MD"/>
              </w:rPr>
              <w:t>Au fost identificate și corectate în evidența contabilă a DGLCA investițiile efectuate în perioadele 2018-2019 la întreprinderile municipale cu respectarea clasificației economice a cheltuielilor. La moment este în curs de elaborare proiectul de decizie cu privire la transmiterea mijloacelor fixe formate în rezultatul investițiilor la balanța PMC.</w:t>
            </w:r>
          </w:p>
        </w:tc>
        <w:tc>
          <w:tcPr>
            <w:tcW w:w="1574" w:type="dxa"/>
            <w:vAlign w:val="center"/>
          </w:tcPr>
          <w:p w14:paraId="637CAB39" w14:textId="77777777" w:rsidR="003E291B" w:rsidRPr="009E5B39" w:rsidRDefault="003E291B" w:rsidP="000156A3">
            <w:pPr>
              <w:jc w:val="center"/>
              <w:rPr>
                <w:rFonts w:asciiTheme="majorHAnsi" w:hAnsiTheme="majorHAnsi" w:cstheme="majorHAnsi"/>
                <w:b/>
                <w:bCs/>
                <w:sz w:val="20"/>
                <w:szCs w:val="20"/>
                <w:lang w:val="ro-MD"/>
              </w:rPr>
            </w:pPr>
            <w:r w:rsidRPr="009E5B39">
              <w:rPr>
                <w:rFonts w:asciiTheme="majorHAnsi" w:hAnsiTheme="majorHAnsi" w:cstheme="majorHAnsi"/>
                <w:b/>
                <w:bCs/>
                <w:sz w:val="20"/>
                <w:szCs w:val="20"/>
                <w:lang w:val="ro-MD"/>
              </w:rPr>
              <w:t>Neimplementată</w:t>
            </w:r>
          </w:p>
        </w:tc>
      </w:tr>
      <w:tr w:rsidR="003E291B" w:rsidRPr="009E5B39" w14:paraId="1AE2EF9F" w14:textId="77777777" w:rsidTr="000156A3">
        <w:tc>
          <w:tcPr>
            <w:tcW w:w="3602" w:type="dxa"/>
            <w:vAlign w:val="center"/>
          </w:tcPr>
          <w:p w14:paraId="5EB7774D" w14:textId="77777777" w:rsidR="003E291B" w:rsidRPr="009E5B39" w:rsidRDefault="003E291B" w:rsidP="000156A3">
            <w:pPr>
              <w:jc w:val="both"/>
              <w:rPr>
                <w:rFonts w:asciiTheme="majorHAnsi" w:hAnsiTheme="majorHAnsi" w:cstheme="majorHAnsi"/>
                <w:b/>
                <w:bCs/>
                <w:sz w:val="20"/>
                <w:szCs w:val="20"/>
                <w:lang w:val="ro-MD"/>
              </w:rPr>
            </w:pPr>
            <w:r w:rsidRPr="009E5B39">
              <w:rPr>
                <w:rFonts w:asciiTheme="majorHAnsi" w:eastAsia="Times New Roman" w:hAnsiTheme="majorHAnsi" w:cstheme="majorHAnsi"/>
                <w:sz w:val="20"/>
                <w:szCs w:val="20"/>
                <w:lang w:val="ro-MD"/>
              </w:rPr>
              <w:t>4. Să determine persoanele responsabile de deficiențele identificate, asigurând eliminarea deficiențelor și tragerea persoanelor responsabile la răspundere conform cadrului legal existent.</w:t>
            </w:r>
          </w:p>
        </w:tc>
        <w:tc>
          <w:tcPr>
            <w:tcW w:w="10149" w:type="dxa"/>
            <w:vAlign w:val="center"/>
          </w:tcPr>
          <w:p w14:paraId="3F68A867" w14:textId="25CB3B87" w:rsidR="003E291B" w:rsidRPr="009E5B39" w:rsidRDefault="003E291B" w:rsidP="000156A3">
            <w:pPr>
              <w:jc w:val="both"/>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Scris. Primări</w:t>
            </w:r>
            <w:r w:rsidR="000C14FB" w:rsidRPr="009E5B39">
              <w:rPr>
                <w:rFonts w:asciiTheme="majorHAnsi" w:eastAsia="Times New Roman" w:hAnsiTheme="majorHAnsi" w:cstheme="majorHAnsi"/>
                <w:b/>
                <w:bCs/>
                <w:sz w:val="20"/>
                <w:szCs w:val="20"/>
                <w:lang w:val="ro-MD"/>
              </w:rPr>
              <w:t>ei</w:t>
            </w:r>
            <w:r w:rsidRPr="009E5B39">
              <w:rPr>
                <w:rFonts w:asciiTheme="majorHAnsi" w:eastAsia="Times New Roman" w:hAnsiTheme="majorHAnsi" w:cstheme="majorHAnsi"/>
                <w:b/>
                <w:bCs/>
                <w:sz w:val="20"/>
                <w:szCs w:val="20"/>
                <w:lang w:val="ro-MD"/>
              </w:rPr>
              <w:t xml:space="preserve"> Chișinău nr.02-118/4226/20 din 21.01.2021: </w:t>
            </w:r>
          </w:p>
          <w:p w14:paraId="2D1152AF" w14:textId="77777777" w:rsidR="003E291B" w:rsidRPr="009E5B39" w:rsidRDefault="003E291B" w:rsidP="000156A3">
            <w:pPr>
              <w:jc w:val="both"/>
              <w:rPr>
                <w:rFonts w:asciiTheme="majorHAnsi" w:hAnsiTheme="majorHAnsi" w:cstheme="majorHAnsi"/>
                <w:b/>
                <w:bCs/>
                <w:sz w:val="20"/>
                <w:szCs w:val="20"/>
                <w:lang w:val="ro-MD"/>
              </w:rPr>
            </w:pPr>
            <w:r w:rsidRPr="009E5B39">
              <w:rPr>
                <w:rFonts w:asciiTheme="majorHAnsi" w:eastAsia="Times New Roman" w:hAnsiTheme="majorHAnsi" w:cstheme="majorHAnsi"/>
                <w:sz w:val="20"/>
                <w:szCs w:val="20"/>
                <w:lang w:val="ro-MD"/>
              </w:rPr>
              <w:t>În luna iulie 2020 pentru deficiențele admise în executarea obligațiunilor de serviciu au fost sancționați trei specialiști din cadrul DGLCA. Ce ține de Serviciul achiziții publice - persoanele care au deținut funcția de șef (respectiv interimatul) al SAP și specialiști ai serviciului - au demisionat. Au fost aplicate sancțiuni la 3 angajați.</w:t>
            </w:r>
          </w:p>
        </w:tc>
        <w:tc>
          <w:tcPr>
            <w:tcW w:w="1574" w:type="dxa"/>
            <w:vAlign w:val="center"/>
          </w:tcPr>
          <w:p w14:paraId="0C9DC032" w14:textId="00B76C6F" w:rsidR="003E291B" w:rsidRPr="009E5B39" w:rsidRDefault="003E291B" w:rsidP="000156A3">
            <w:pPr>
              <w:jc w:val="center"/>
              <w:rPr>
                <w:rFonts w:asciiTheme="majorHAnsi" w:hAnsiTheme="majorHAnsi" w:cstheme="majorHAnsi"/>
                <w:b/>
                <w:bCs/>
                <w:sz w:val="20"/>
                <w:szCs w:val="20"/>
                <w:lang w:val="ro-MD"/>
              </w:rPr>
            </w:pPr>
            <w:r w:rsidRPr="009E5B39">
              <w:rPr>
                <w:rFonts w:asciiTheme="majorHAnsi" w:hAnsiTheme="majorHAnsi" w:cstheme="majorHAnsi"/>
                <w:b/>
                <w:bCs/>
                <w:sz w:val="20"/>
                <w:szCs w:val="20"/>
                <w:lang w:val="ro-MD"/>
              </w:rPr>
              <w:t xml:space="preserve">Parțial </w:t>
            </w:r>
            <w:r w:rsidR="000C14FB" w:rsidRPr="009E5B39">
              <w:rPr>
                <w:rFonts w:asciiTheme="majorHAnsi" w:hAnsiTheme="majorHAnsi" w:cstheme="majorHAnsi"/>
                <w:b/>
                <w:bCs/>
                <w:sz w:val="20"/>
                <w:szCs w:val="20"/>
                <w:lang w:val="ro-MD"/>
              </w:rPr>
              <w:t>i</w:t>
            </w:r>
            <w:r w:rsidRPr="009E5B39">
              <w:rPr>
                <w:rFonts w:asciiTheme="majorHAnsi" w:hAnsiTheme="majorHAnsi" w:cstheme="majorHAnsi"/>
                <w:b/>
                <w:bCs/>
                <w:sz w:val="20"/>
                <w:szCs w:val="20"/>
                <w:lang w:val="ro-MD"/>
              </w:rPr>
              <w:t>mplementată</w:t>
            </w:r>
          </w:p>
        </w:tc>
      </w:tr>
      <w:tr w:rsidR="003E291B" w:rsidRPr="009E5B39" w14:paraId="29990B5C" w14:textId="77777777" w:rsidTr="000156A3">
        <w:tc>
          <w:tcPr>
            <w:tcW w:w="3602" w:type="dxa"/>
            <w:vAlign w:val="center"/>
          </w:tcPr>
          <w:p w14:paraId="0F0F55BF" w14:textId="77777777" w:rsidR="003E291B" w:rsidRPr="009E5B39" w:rsidRDefault="003E291B" w:rsidP="000156A3">
            <w:pPr>
              <w:jc w:val="both"/>
              <w:rPr>
                <w:rFonts w:asciiTheme="majorHAnsi" w:hAnsiTheme="majorHAnsi" w:cstheme="majorHAnsi"/>
                <w:b/>
                <w:bCs/>
                <w:sz w:val="20"/>
                <w:szCs w:val="20"/>
                <w:lang w:val="ro-MD"/>
              </w:rPr>
            </w:pPr>
            <w:r w:rsidRPr="009E5B39">
              <w:rPr>
                <w:rFonts w:asciiTheme="majorHAnsi" w:eastAsia="Times New Roman" w:hAnsiTheme="majorHAnsi" w:cstheme="majorHAnsi"/>
                <w:sz w:val="20"/>
                <w:szCs w:val="20"/>
                <w:lang w:val="ro-MD"/>
              </w:rPr>
              <w:t>5. inițierea/revizuirea descrierii narative și grafice a proceselor operaționale aferente gestionării veniturilor și cheltuielilor bugetare (în special, în domeniul achizițiilor publice, amenajării și salubrizării teritoriului mun. Chișinău), în vederea identificării și evaluării riscurilor aferente proceselor respective, impunerii unor activități de control mai stricte pentru neadmiterea abaterilor de la prevederile cadrului normativ în vigoare</w:t>
            </w:r>
          </w:p>
        </w:tc>
        <w:tc>
          <w:tcPr>
            <w:tcW w:w="10149" w:type="dxa"/>
          </w:tcPr>
          <w:p w14:paraId="5A592F97" w14:textId="17C78F41" w:rsidR="003E291B" w:rsidRPr="009E5B39" w:rsidRDefault="003E291B" w:rsidP="000156A3">
            <w:pPr>
              <w:jc w:val="both"/>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Scris. Primări</w:t>
            </w:r>
            <w:r w:rsidR="000C14FB" w:rsidRPr="009E5B39">
              <w:rPr>
                <w:rFonts w:asciiTheme="majorHAnsi" w:eastAsia="Times New Roman" w:hAnsiTheme="majorHAnsi" w:cstheme="majorHAnsi"/>
                <w:b/>
                <w:bCs/>
                <w:sz w:val="20"/>
                <w:szCs w:val="20"/>
                <w:lang w:val="ro-MD"/>
              </w:rPr>
              <w:t>ei</w:t>
            </w:r>
            <w:r w:rsidRPr="009E5B39">
              <w:rPr>
                <w:rFonts w:asciiTheme="majorHAnsi" w:eastAsia="Times New Roman" w:hAnsiTheme="majorHAnsi" w:cstheme="majorHAnsi"/>
                <w:b/>
                <w:bCs/>
                <w:sz w:val="20"/>
                <w:szCs w:val="20"/>
                <w:lang w:val="ro-MD"/>
              </w:rPr>
              <w:t xml:space="preserve"> Chișinău nr.02-118/4226/20 din 21.01.2021:</w:t>
            </w:r>
          </w:p>
          <w:p w14:paraId="2A839E55" w14:textId="77777777" w:rsidR="003E291B" w:rsidRPr="009E5B39" w:rsidRDefault="003E291B" w:rsidP="000156A3">
            <w:pPr>
              <w:jc w:val="both"/>
              <w:rPr>
                <w:rFonts w:asciiTheme="majorHAnsi" w:hAnsiTheme="majorHAnsi" w:cstheme="majorHAnsi"/>
                <w:b/>
                <w:bCs/>
                <w:sz w:val="20"/>
                <w:szCs w:val="20"/>
                <w:lang w:val="ro-MD"/>
              </w:rPr>
            </w:pPr>
            <w:r w:rsidRPr="009E5B39">
              <w:rPr>
                <w:rFonts w:asciiTheme="majorHAnsi" w:eastAsia="Times New Roman" w:hAnsiTheme="majorHAnsi" w:cstheme="majorHAnsi"/>
                <w:sz w:val="20"/>
                <w:szCs w:val="20"/>
                <w:lang w:val="ro-MD"/>
              </w:rPr>
              <w:t>La momentul auditului extern, DGLCA avea descrise 35 de procese de bază, din activitatea celor 17 subdiviziuni ale entității, conform organigramei aprobate prin decizia CMC nr.5/13 din 24.07.2018. Dosarul cu descrierile narative a fost prezentat echipei de audit, inclusiv Procesul de achiziții publice, descris grafic în anii precedenți, dar revizuit/aprobat de conducătorul DGLCA în timpul desfășurării misiunii de audit a Curții de Conturi. Diagrama PAP a fost expediată la data de 05.03.2020. Registrul consolidat al riscurilor DGLCA asociate sarcinilor planificate de subdiviziuni, este elaborat în fiecare an și prezentat PG, conform dispoziției nr.1114-d din 13.12.2017.</w:t>
            </w:r>
          </w:p>
        </w:tc>
        <w:tc>
          <w:tcPr>
            <w:tcW w:w="1574" w:type="dxa"/>
            <w:vAlign w:val="center"/>
          </w:tcPr>
          <w:p w14:paraId="165DDAA1" w14:textId="77777777" w:rsidR="003E291B" w:rsidRPr="009E5B39" w:rsidRDefault="003E291B" w:rsidP="000156A3">
            <w:pPr>
              <w:jc w:val="center"/>
              <w:rPr>
                <w:rFonts w:asciiTheme="majorHAnsi" w:hAnsiTheme="majorHAnsi" w:cstheme="majorHAnsi"/>
                <w:b/>
                <w:bCs/>
                <w:sz w:val="20"/>
                <w:szCs w:val="20"/>
                <w:lang w:val="ro-MD"/>
              </w:rPr>
            </w:pPr>
            <w:r w:rsidRPr="009E5B39">
              <w:rPr>
                <w:rFonts w:asciiTheme="majorHAnsi" w:hAnsiTheme="majorHAnsi" w:cstheme="majorHAnsi"/>
                <w:b/>
                <w:bCs/>
                <w:sz w:val="20"/>
                <w:szCs w:val="20"/>
                <w:lang w:val="ro-MD"/>
              </w:rPr>
              <w:t>Parțial Implementată</w:t>
            </w:r>
          </w:p>
        </w:tc>
      </w:tr>
      <w:tr w:rsidR="003E291B" w:rsidRPr="009E5B39" w14:paraId="505319D4" w14:textId="77777777" w:rsidTr="000156A3">
        <w:tc>
          <w:tcPr>
            <w:tcW w:w="3602" w:type="dxa"/>
            <w:vAlign w:val="center"/>
          </w:tcPr>
          <w:p w14:paraId="6F559D17" w14:textId="77777777" w:rsidR="003E291B" w:rsidRPr="009E5B39" w:rsidRDefault="003E291B" w:rsidP="000156A3">
            <w:pPr>
              <w:jc w:val="both"/>
              <w:rPr>
                <w:rFonts w:asciiTheme="majorHAnsi" w:hAnsiTheme="majorHAnsi" w:cstheme="majorHAnsi"/>
                <w:b/>
                <w:bCs/>
                <w:sz w:val="20"/>
                <w:szCs w:val="20"/>
                <w:lang w:val="ro-MD"/>
              </w:rPr>
            </w:pPr>
            <w:r w:rsidRPr="009E5B39">
              <w:rPr>
                <w:rFonts w:asciiTheme="majorHAnsi" w:eastAsia="Times New Roman" w:hAnsiTheme="majorHAnsi" w:cstheme="majorHAnsi"/>
                <w:sz w:val="20"/>
                <w:szCs w:val="20"/>
                <w:lang w:val="ro-MD"/>
              </w:rPr>
              <w:t>6. Revizuirea cadrului normativ intern aferent salarizării personalului DGLCA, în vederea reglementării clare și concise a noțiunii de „jubileu”, dar și a modului de calculare a plăților aferente ,,premiilor cu prilejul jubileelor”.</w:t>
            </w:r>
          </w:p>
        </w:tc>
        <w:tc>
          <w:tcPr>
            <w:tcW w:w="10149" w:type="dxa"/>
          </w:tcPr>
          <w:p w14:paraId="42785EEF" w14:textId="5DCF7B8B" w:rsidR="003E291B" w:rsidRPr="009E5B39" w:rsidRDefault="003E291B" w:rsidP="000156A3">
            <w:pPr>
              <w:jc w:val="both"/>
              <w:rPr>
                <w:rFonts w:asciiTheme="majorHAnsi" w:eastAsia="Times New Roman" w:hAnsiTheme="majorHAnsi" w:cstheme="majorHAnsi"/>
                <w:b/>
                <w:bCs/>
                <w:sz w:val="20"/>
                <w:szCs w:val="20"/>
                <w:lang w:val="ro-MD"/>
              </w:rPr>
            </w:pPr>
            <w:r w:rsidRPr="009E5B39">
              <w:rPr>
                <w:rFonts w:asciiTheme="majorHAnsi" w:eastAsia="Times New Roman" w:hAnsiTheme="majorHAnsi" w:cstheme="majorHAnsi"/>
                <w:b/>
                <w:bCs/>
                <w:sz w:val="20"/>
                <w:szCs w:val="20"/>
                <w:lang w:val="ro-MD"/>
              </w:rPr>
              <w:t>Scris. Primări</w:t>
            </w:r>
            <w:r w:rsidR="000C14FB" w:rsidRPr="009E5B39">
              <w:rPr>
                <w:rFonts w:asciiTheme="majorHAnsi" w:eastAsia="Times New Roman" w:hAnsiTheme="majorHAnsi" w:cstheme="majorHAnsi"/>
                <w:b/>
                <w:bCs/>
                <w:sz w:val="20"/>
                <w:szCs w:val="20"/>
                <w:lang w:val="ro-MD"/>
              </w:rPr>
              <w:t>ei</w:t>
            </w:r>
            <w:r w:rsidRPr="009E5B39">
              <w:rPr>
                <w:rFonts w:asciiTheme="majorHAnsi" w:eastAsia="Times New Roman" w:hAnsiTheme="majorHAnsi" w:cstheme="majorHAnsi"/>
                <w:b/>
                <w:bCs/>
                <w:sz w:val="20"/>
                <w:szCs w:val="20"/>
                <w:lang w:val="ro-MD"/>
              </w:rPr>
              <w:t xml:space="preserve"> Chișinău nr.02-118/4226/20 din 21.01.2021:</w:t>
            </w:r>
          </w:p>
          <w:p w14:paraId="1EDEE01A" w14:textId="77777777" w:rsidR="003E291B" w:rsidRPr="009E5B39" w:rsidRDefault="003E291B" w:rsidP="000156A3">
            <w:pPr>
              <w:jc w:val="both"/>
              <w:rPr>
                <w:rFonts w:asciiTheme="majorHAnsi" w:hAnsiTheme="majorHAnsi" w:cstheme="majorHAnsi"/>
                <w:b/>
                <w:bCs/>
                <w:sz w:val="20"/>
                <w:szCs w:val="20"/>
                <w:lang w:val="ro-MD"/>
              </w:rPr>
            </w:pPr>
            <w:r w:rsidRPr="009E5B39">
              <w:rPr>
                <w:rFonts w:asciiTheme="majorHAnsi" w:eastAsia="Times New Roman" w:hAnsiTheme="majorHAnsi" w:cstheme="majorHAnsi"/>
                <w:sz w:val="20"/>
                <w:szCs w:val="20"/>
                <w:lang w:val="ro-MD"/>
              </w:rPr>
              <w:t>În temeiul art.30(1), art.31(3), art.137(1) din Codul muncii al RM nr.154/2003 și în conformitate cu prevederile Convenției colective (nivel de ramură), pentru anii 2017-2021 s-a elaborat și aprobat Contractul colectiv de muncă al DGLCA pentru anii 2019-2021, în care s-a stabilit plata stimulară la data jubiliară în mărime de până la un salariu tarifar și la data rotundă în mărime de 0,5 de la salariul tarifar.</w:t>
            </w:r>
          </w:p>
        </w:tc>
        <w:tc>
          <w:tcPr>
            <w:tcW w:w="1574" w:type="dxa"/>
            <w:vAlign w:val="center"/>
          </w:tcPr>
          <w:p w14:paraId="674800C9" w14:textId="7BC35B0C" w:rsidR="003E291B" w:rsidRPr="009E5B39" w:rsidRDefault="003E291B" w:rsidP="000156A3">
            <w:pPr>
              <w:jc w:val="center"/>
              <w:rPr>
                <w:rFonts w:asciiTheme="majorHAnsi" w:hAnsiTheme="majorHAnsi" w:cstheme="majorHAnsi"/>
                <w:b/>
                <w:bCs/>
                <w:sz w:val="20"/>
                <w:szCs w:val="20"/>
                <w:lang w:val="ro-MD"/>
              </w:rPr>
            </w:pPr>
            <w:r w:rsidRPr="009E5B39">
              <w:rPr>
                <w:rFonts w:asciiTheme="majorHAnsi" w:hAnsiTheme="majorHAnsi" w:cstheme="majorHAnsi"/>
                <w:b/>
                <w:bCs/>
                <w:sz w:val="20"/>
                <w:szCs w:val="20"/>
                <w:lang w:val="ro-MD"/>
              </w:rPr>
              <w:t xml:space="preserve">Parțial </w:t>
            </w:r>
            <w:r w:rsidR="000C14FB" w:rsidRPr="009E5B39">
              <w:rPr>
                <w:rFonts w:asciiTheme="majorHAnsi" w:hAnsiTheme="majorHAnsi" w:cstheme="majorHAnsi"/>
                <w:b/>
                <w:bCs/>
                <w:sz w:val="20"/>
                <w:szCs w:val="20"/>
                <w:lang w:val="ro-MD"/>
              </w:rPr>
              <w:t>i</w:t>
            </w:r>
            <w:r w:rsidRPr="009E5B39">
              <w:rPr>
                <w:rFonts w:asciiTheme="majorHAnsi" w:hAnsiTheme="majorHAnsi" w:cstheme="majorHAnsi"/>
                <w:b/>
                <w:bCs/>
                <w:sz w:val="20"/>
                <w:szCs w:val="20"/>
                <w:lang w:val="ro-MD"/>
              </w:rPr>
              <w:t>mplementată</w:t>
            </w:r>
          </w:p>
        </w:tc>
      </w:tr>
    </w:tbl>
    <w:p w14:paraId="3FA4A8FA" w14:textId="3CCF2F30" w:rsidR="008107EA" w:rsidRPr="009E5B39" w:rsidRDefault="008107EA" w:rsidP="003E291B">
      <w:pPr>
        <w:tabs>
          <w:tab w:val="left" w:pos="1823"/>
        </w:tabs>
        <w:spacing w:after="0"/>
        <w:rPr>
          <w:rFonts w:asciiTheme="majorHAnsi" w:hAnsiTheme="majorHAnsi" w:cstheme="majorHAnsi"/>
          <w:sz w:val="24"/>
          <w:szCs w:val="24"/>
          <w:lang w:val="ro-MD"/>
        </w:rPr>
      </w:pPr>
    </w:p>
    <w:p w14:paraId="73520C37" w14:textId="01F50237" w:rsidR="008107EA" w:rsidRPr="009E5B39" w:rsidRDefault="008107EA" w:rsidP="003E291B">
      <w:pPr>
        <w:tabs>
          <w:tab w:val="left" w:pos="1823"/>
        </w:tabs>
        <w:spacing w:after="0"/>
        <w:rPr>
          <w:rFonts w:asciiTheme="majorHAnsi" w:hAnsiTheme="majorHAnsi" w:cstheme="majorHAnsi"/>
          <w:sz w:val="24"/>
          <w:szCs w:val="24"/>
          <w:lang w:val="ro-MD"/>
        </w:rPr>
      </w:pPr>
    </w:p>
    <w:p w14:paraId="2F62A95C" w14:textId="1D2633F0" w:rsidR="008107EA" w:rsidRPr="009E5B39" w:rsidRDefault="008107EA" w:rsidP="003E291B">
      <w:pPr>
        <w:tabs>
          <w:tab w:val="left" w:pos="1823"/>
        </w:tabs>
        <w:spacing w:after="0"/>
        <w:rPr>
          <w:rFonts w:asciiTheme="majorHAnsi" w:hAnsiTheme="majorHAnsi" w:cstheme="majorHAnsi"/>
          <w:sz w:val="24"/>
          <w:szCs w:val="24"/>
          <w:lang w:val="ro-MD"/>
        </w:rPr>
      </w:pPr>
    </w:p>
    <w:tbl>
      <w:tblPr>
        <w:tblW w:w="14601" w:type="dxa"/>
        <w:tblInd w:w="284" w:type="dxa"/>
        <w:tblLook w:val="04A0" w:firstRow="1" w:lastRow="0" w:firstColumn="1" w:lastColumn="0" w:noHBand="0" w:noVBand="1"/>
      </w:tblPr>
      <w:tblGrid>
        <w:gridCol w:w="4100"/>
        <w:gridCol w:w="1287"/>
        <w:gridCol w:w="9214"/>
      </w:tblGrid>
      <w:tr w:rsidR="008107EA" w:rsidRPr="009E5B39" w14:paraId="29FB99E1" w14:textId="77777777" w:rsidTr="00513698">
        <w:trPr>
          <w:trHeight w:val="426"/>
        </w:trPr>
        <w:tc>
          <w:tcPr>
            <w:tcW w:w="14601" w:type="dxa"/>
            <w:gridSpan w:val="3"/>
            <w:tcBorders>
              <w:bottom w:val="single" w:sz="4" w:space="0" w:color="auto"/>
            </w:tcBorders>
            <w:shd w:val="clear" w:color="auto" w:fill="auto"/>
          </w:tcPr>
          <w:p w14:paraId="2FC496BE" w14:textId="77777777" w:rsidR="008107EA" w:rsidRPr="009E5B39" w:rsidRDefault="008107EA" w:rsidP="003C5073">
            <w:pPr>
              <w:pStyle w:val="Heading1"/>
              <w:spacing w:before="0"/>
              <w:jc w:val="right"/>
              <w:rPr>
                <w:rFonts w:eastAsia="Times New Roman"/>
                <w:b/>
                <w:lang w:val="ro-MD"/>
              </w:rPr>
            </w:pPr>
            <w:bookmarkStart w:id="38" w:name="_Toc116026903"/>
            <w:r w:rsidRPr="009E5B39">
              <w:rPr>
                <w:rFonts w:eastAsia="Times New Roman"/>
                <w:b/>
                <w:color w:val="auto"/>
                <w:lang w:val="ro-MD"/>
              </w:rPr>
              <w:t>Anexa nr.21</w:t>
            </w:r>
            <w:bookmarkEnd w:id="38"/>
          </w:p>
          <w:p w14:paraId="23D7D463" w14:textId="1088D1E6" w:rsidR="008107EA" w:rsidRPr="009E5B39" w:rsidRDefault="008107EA" w:rsidP="00513698">
            <w:pPr>
              <w:spacing w:after="0" w:line="240" w:lineRule="auto"/>
              <w:ind w:left="-107" w:hanging="1"/>
              <w:jc w:val="center"/>
              <w:rPr>
                <w:rFonts w:asciiTheme="majorHAnsi" w:eastAsia="Times New Roman" w:hAnsiTheme="majorHAnsi" w:cstheme="majorHAnsi"/>
                <w:sz w:val="24"/>
                <w:szCs w:val="24"/>
                <w:lang w:val="ro-MD"/>
              </w:rPr>
            </w:pPr>
            <w:r w:rsidRPr="009E5B39">
              <w:rPr>
                <w:rFonts w:asciiTheme="majorHAnsi" w:eastAsia="Times New Roman" w:hAnsiTheme="majorHAnsi" w:cstheme="majorHAnsi"/>
                <w:sz w:val="24"/>
                <w:szCs w:val="24"/>
                <w:lang w:val="ro-MD"/>
              </w:rPr>
              <w:t xml:space="preserve">Implementarea recomandărilor aferente </w:t>
            </w:r>
            <w:r w:rsidR="009C69A2" w:rsidRPr="009E5B39">
              <w:rPr>
                <w:rFonts w:asciiTheme="majorHAnsi" w:eastAsia="Times New Roman" w:hAnsiTheme="majorHAnsi" w:cstheme="majorHAnsi"/>
                <w:b/>
                <w:sz w:val="24"/>
                <w:szCs w:val="24"/>
                <w:lang w:val="ro-MD"/>
              </w:rPr>
              <w:t>HCC</w:t>
            </w:r>
            <w:r w:rsidRPr="009E5B39">
              <w:rPr>
                <w:rFonts w:asciiTheme="majorHAnsi" w:eastAsia="Times New Roman" w:hAnsiTheme="majorHAnsi" w:cstheme="majorHAnsi"/>
                <w:b/>
                <w:sz w:val="24"/>
                <w:szCs w:val="24"/>
                <w:lang w:val="ro-MD"/>
              </w:rPr>
              <w:t xml:space="preserve"> nr.7 din 26 februarie 2021</w:t>
            </w:r>
            <w:r w:rsidRPr="009E5B39">
              <w:rPr>
                <w:rFonts w:asciiTheme="majorHAnsi" w:eastAsia="Times New Roman" w:hAnsiTheme="majorHAnsi" w:cstheme="majorHAnsi"/>
                <w:sz w:val="24"/>
                <w:szCs w:val="24"/>
                <w:lang w:val="ro-MD"/>
              </w:rPr>
              <w:t xml:space="preserve"> cu privire la Raportul auditului conformității asupra organizării, realizării și supravegherii parteneriatelor public-private încheiate de Ministerul Educației, Culturii și Cercetării, Academia de Științe a Moldovei, UAT mun. Chișinău și entitățile din subordine</w:t>
            </w:r>
          </w:p>
        </w:tc>
      </w:tr>
      <w:tr w:rsidR="008107EA" w:rsidRPr="009E5B39" w14:paraId="6786E634" w14:textId="77777777" w:rsidTr="00513698">
        <w:trPr>
          <w:trHeight w:val="426"/>
        </w:trPr>
        <w:tc>
          <w:tcPr>
            <w:tcW w:w="410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4B2441" w14:textId="77777777" w:rsidR="008107EA" w:rsidRPr="009E5B39" w:rsidRDefault="008107EA" w:rsidP="00513698">
            <w:pPr>
              <w:spacing w:after="0" w:line="240" w:lineRule="auto"/>
              <w:ind w:left="-107" w:hanging="1"/>
              <w:jc w:val="center"/>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Recomandarea</w:t>
            </w:r>
          </w:p>
        </w:tc>
        <w:tc>
          <w:tcPr>
            <w:tcW w:w="128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1BAB172" w14:textId="77777777" w:rsidR="008107EA" w:rsidRPr="009E5B39" w:rsidRDefault="008107EA" w:rsidP="00513698">
            <w:pPr>
              <w:spacing w:after="0" w:line="240" w:lineRule="auto"/>
              <w:ind w:left="-107" w:hanging="1"/>
              <w:jc w:val="center"/>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Statutul recomandării</w:t>
            </w:r>
          </w:p>
        </w:tc>
        <w:tc>
          <w:tcPr>
            <w:tcW w:w="921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2364878" w14:textId="6BE925D1" w:rsidR="008107EA" w:rsidRPr="009E5B39" w:rsidRDefault="008107EA" w:rsidP="00513698">
            <w:pPr>
              <w:spacing w:after="0" w:line="240" w:lineRule="auto"/>
              <w:ind w:left="-107" w:hanging="1"/>
              <w:jc w:val="center"/>
              <w:rPr>
                <w:rFonts w:asciiTheme="majorHAnsi" w:eastAsia="Times New Roman" w:hAnsiTheme="majorHAnsi" w:cstheme="majorHAnsi"/>
                <w:b/>
                <w:sz w:val="16"/>
                <w:szCs w:val="16"/>
                <w:lang w:val="ro-MD"/>
              </w:rPr>
            </w:pPr>
            <w:r w:rsidRPr="009E5B39">
              <w:rPr>
                <w:rFonts w:asciiTheme="majorHAnsi" w:eastAsia="Times New Roman" w:hAnsiTheme="majorHAnsi" w:cstheme="majorHAnsi"/>
                <w:b/>
                <w:sz w:val="16"/>
                <w:szCs w:val="16"/>
                <w:lang w:val="ro-MD"/>
              </w:rPr>
              <w:t>Informațiile prezentate de APL a mun. Chișinău</w:t>
            </w:r>
          </w:p>
        </w:tc>
      </w:tr>
      <w:tr w:rsidR="008107EA" w:rsidRPr="009E5B39" w14:paraId="3C1C1315" w14:textId="77777777" w:rsidTr="00513698">
        <w:trPr>
          <w:cantSplit/>
          <w:trHeight w:val="788"/>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3D3A4516"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2.7. Pentru informare, examinarea în ședințe a rezultatelor auditului, remedierea deficiențelor constatate și implementarea recomandărilor din Raportul de audit</w:t>
            </w: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7F7941EB" w14:textId="77777777" w:rsidR="008107EA" w:rsidRPr="009E5B39" w:rsidRDefault="008107EA" w:rsidP="00513698">
            <w:pPr>
              <w:spacing w:after="0" w:line="240" w:lineRule="auto"/>
              <w:ind w:left="-107" w:hanging="1"/>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Parțial implementat</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69E2C7E9"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Prin decizia CMC nr. 6/8 din 22.07.2021 „Cu privire la rezultatele Raportului Curții de Conturi a Republicii Moldova asupra conformității organizării, realizării si supravegherii parteneriatelor public-private încheiate de UAT municipiul Chișinău” s-a pus în sarcina autorităților implicate remedierea deficiențelor constatate, dar care practic nu au fost implementate.</w:t>
            </w:r>
          </w:p>
        </w:tc>
      </w:tr>
      <w:tr w:rsidR="008107EA" w:rsidRPr="009E5B39" w14:paraId="3429E650" w14:textId="77777777" w:rsidTr="00513698">
        <w:trPr>
          <w:cantSplit/>
          <w:trHeight w:val="549"/>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1C14D383"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 Eliminarea deficiențelor indicate în raportul de audit și determinarea persoanelor care poartă răspundere pentru admiterea lor, cu tragerea la răspundere a acestora conform cadrului legal existent</w:t>
            </w: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66031BFC" w14:textId="77777777" w:rsidR="008107EA" w:rsidRPr="009E5B39" w:rsidRDefault="008107EA" w:rsidP="00513698">
            <w:pPr>
              <w:spacing w:after="0" w:line="240" w:lineRule="auto"/>
              <w:ind w:left="-107" w:hanging="1"/>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Neimplementat</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205572C2"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xml:space="preserve">In cadrul ședinței Comisiei municipale de monitorizare a contractelor de PPP, semnate cu partenerii privați din 31.05.2021, au fost formulate si aprobate acțiuni concrete, pe fiecare recomandare a Curții de Conturi si remise pentru executare instituțiilor structurale ale administrației publice municipale. </w:t>
            </w:r>
          </w:p>
          <w:p w14:paraId="092038A6"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La 21/09/2021 Primăria mun. Chișinău a depus Cererea de chemare în judecată împotriva SRL Guzun VE, SRL Green Construct Com, ÎI Liceul DaVinci și privind înregistrarea dreptului de proprietate municipală asupra bunurilor imobile construite pe terenul municipal dat în PPP.</w:t>
            </w:r>
          </w:p>
        </w:tc>
      </w:tr>
      <w:tr w:rsidR="008107EA" w:rsidRPr="009E5B39" w14:paraId="561908FD" w14:textId="77777777" w:rsidTr="00513698">
        <w:trPr>
          <w:cantSplit/>
          <w:trHeight w:val="1541"/>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467552C5"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5. Revizuirea Deciziei nr.5/3 din 10.12.2019 de aprobare a valorii investițiilor în cadrul PPP „Reabilitarea și reluarea activității complexului școlar din mun. Chișinău, str. Constantin Stamati 10”, cu asigurarea corespunderii prevederilor acesteia situației reale, documentelor justificative deținute, precum și intereselor patrimoniale ale UAT mun. Chișinău</w:t>
            </w: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1DF522E4" w14:textId="77777777" w:rsidR="008107EA" w:rsidRPr="009E5B39" w:rsidRDefault="008107EA" w:rsidP="00513698">
            <w:pPr>
              <w:spacing w:after="0" w:line="240" w:lineRule="auto"/>
              <w:ind w:left="-107" w:hanging="1"/>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Neimplementat</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604837B4"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xml:space="preserve">Direcția generala educație, tineret si sport a inițiat activitățile necesare in vederea obținerii documentelor justificative (facturilor fiscale) privind volumul real al investițiilor realizate in cadrul PPP „Reabilitarea si reluarea complexului școlar din mun. Chișinău, str. Constantin Stamati, 10”. De asemenea, a fost sesizat Centrul National Anticorupție referitor la înregistrarea la Agenda Servicii Publice a dreptului patrimonial asupra unor clădiri aferente Contractului de PPP în cauza. </w:t>
            </w:r>
          </w:p>
          <w:p w14:paraId="4D8DDB0B"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 xml:space="preserve">  </w:t>
            </w:r>
            <w:r w:rsidRPr="009E5B39">
              <w:rPr>
                <w:rFonts w:asciiTheme="majorHAnsi" w:eastAsia="Times New Roman" w:hAnsiTheme="majorHAnsi" w:cstheme="majorHAnsi"/>
                <w:sz w:val="16"/>
                <w:szCs w:val="16"/>
                <w:lang w:val="ro-MD"/>
              </w:rPr>
              <w:br/>
              <w:t>Proiectul Deciziei CMC privind revizuirea Deciziei nr. 5/3 din 10.12.2019 va fi elaborat de către DGETS în comun cu Direcția asistență juridică a PMC după obținerea facturilor fiscale respective de la partenerul privat.</w:t>
            </w:r>
          </w:p>
        </w:tc>
      </w:tr>
      <w:tr w:rsidR="008107EA" w:rsidRPr="009E5B39" w14:paraId="507FE6A0" w14:textId="77777777" w:rsidTr="00513698">
        <w:trPr>
          <w:cantSplit/>
          <w:trHeight w:val="1134"/>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197AC381"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6. Asigurarea evaluării de către Comisia de monitorizare a prevederilor contractelor de PPP încheiate (cu revizuirea celor care contravin cadrului legal existent și celor care dăunează intereselor patrimoniale ale PPublic), a volumului, valorii și calității lucrărilor real executate la implementarea  PPP</w:t>
            </w: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15AAED6E" w14:textId="77777777" w:rsidR="008107EA" w:rsidRPr="009E5B39" w:rsidRDefault="008107EA" w:rsidP="00513698">
            <w:pPr>
              <w:spacing w:after="0" w:line="240" w:lineRule="auto"/>
              <w:ind w:left="-107" w:hanging="1"/>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Neimplementat</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596345F6"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Urmare a ședinței din 31.05.2021 a Comisiei municipale de monitorizare a contractelor PPP, au fost prezentate în adresa subdiviziunilor mun. Chișinău (DGETS, Direcția asistenta juridica a PMC, Direcția audit intern a PMC) extrasul din Procesul Verbal cu solicitarea aprobării (1) Grupului de lucru de monitorizare a Contractului nr. 3/4 din 11.04.2017 de parteneriat public-privat „Reabilitarea si reluarea activității complexului școlar din mun. Chișinău, str. Constantin Stamati, 10”, semnat dintre Primăria municipiului Chișinău si SRL „Guzun VE”, si (2) a Grupului de lucru de monitorizare a Contractului de parteneriat public-privat „Reamenajarea si exploatarea terenului sportiv al Liceului Internat Municipal cu Profil Sportiv din mun. Chișinău, str. Alba Iulia, 200/2”, semnat dintre Primăria municipiului Chișinău si SRL „Pro Soccer Group”. Grupurile de lucru urmează sa asigure evaluarea contractelor de PPP încheiate (cu revizuirea celor care contravin cadrului legal existent si celor care dăunează intereselor patrimoniale a PPublic), a volumului, valorii si calității lucrărilor efectiv executate in cadrul implementării PPP, cu informarea Comisiei si a factorilor de decizii din PMC si CMC despre acțiunile realizate.</w:t>
            </w:r>
          </w:p>
        </w:tc>
      </w:tr>
      <w:tr w:rsidR="008107EA" w:rsidRPr="009E5B39" w14:paraId="5E69A4C7" w14:textId="77777777" w:rsidTr="00513698">
        <w:trPr>
          <w:cantSplit/>
          <w:trHeight w:val="932"/>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55BF766B"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7. Stabilirea subdiviziunii responsabile de analiza și evaluarea etapelor de implementare a parteneriatelor public-private, inclusiv prin asigurarea descrierii și aprobării proceselor de bază</w:t>
            </w: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2D2ECF19" w14:textId="77777777" w:rsidR="008107EA" w:rsidRPr="009E5B39" w:rsidRDefault="008107EA" w:rsidP="00513698">
            <w:pPr>
              <w:spacing w:after="0" w:line="240" w:lineRule="auto"/>
              <w:ind w:left="-107" w:hanging="1"/>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Implementat</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77CBBEF5"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Direcția generala economie, comerț si turism a fost desemnată responsabilă de analiza si evaluarea etapelor de implementare a parteneriatelor public-private, inclusiv pregătirea materialelor pentru organizarea ședințelor Grupului de lucru pentru examinarea oportunității expunerii bunurilor imobile si serviciilor în calitate de obiect al PPP, precum si a ședințelor Comisiei municipale de monitorizare a contractelor de parteneriat public-privat. In cadrul DGETS este elaborată „Descrierea narativa a procesului de inițiere a procedurii de parteneriat public-privat”.</w:t>
            </w:r>
          </w:p>
        </w:tc>
      </w:tr>
      <w:tr w:rsidR="008107EA" w:rsidRPr="009E5B39" w14:paraId="4FA0AF17" w14:textId="77777777" w:rsidTr="00513698">
        <w:trPr>
          <w:cantSplit/>
          <w:trHeight w:val="1129"/>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15E3562A"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8. Asigurarea încheierii Acordului de colaborare între LIMPS și PPrivat, prin care Părțile urmează să stabilească condițiile de colaborare și modul de gestiune a terenului aferent PPP „Reamenajarea și exploatarea terenului sportiv al Liceului Internat Municipal cu Profil Sportiv din str. Alba Iulia 200/2”</w:t>
            </w: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4D6D4400" w14:textId="77777777" w:rsidR="008107EA" w:rsidRPr="009E5B39" w:rsidRDefault="008107EA" w:rsidP="00513698">
            <w:pPr>
              <w:spacing w:after="0" w:line="240" w:lineRule="auto"/>
              <w:ind w:left="-107" w:hanging="1"/>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Implementat</w:t>
            </w:r>
          </w:p>
          <w:p w14:paraId="73D69D6C" w14:textId="77777777" w:rsidR="008107EA" w:rsidRPr="009E5B39" w:rsidRDefault="008107EA" w:rsidP="00513698">
            <w:pPr>
              <w:spacing w:after="0" w:line="240" w:lineRule="auto"/>
              <w:ind w:left="-107" w:hanging="1"/>
              <w:jc w:val="center"/>
              <w:rPr>
                <w:rFonts w:asciiTheme="majorHAnsi" w:eastAsia="Times New Roman" w:hAnsiTheme="majorHAnsi" w:cstheme="majorHAnsi"/>
                <w:sz w:val="16"/>
                <w:szCs w:val="16"/>
                <w:lang w:val="ro-MD"/>
              </w:rPr>
            </w:pP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0B6227E2"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În scopul realizării prevederilor Contractului de parteneriat public-privat „Reamenajarea și exploatarea terenului sportiv al Liceului Internat Municipal cu Profil Sportiv din mun. Chișinău, str. Alba Iulia, 200/2”, la 24.03.2021, Liceul Teoretic „Anton P. Cehov”, Liceul Internat Municipal cu Profil Sportiv si SRL „Pro Soccer Group” au semnat Acordul de Colaborare, cu stabilirea condițiilor de colaborare si modul de gestiune a terenului aferent PPP.</w:t>
            </w:r>
            <w:r w:rsidRPr="009E5B39">
              <w:rPr>
                <w:rFonts w:asciiTheme="majorHAnsi" w:eastAsia="Times New Roman" w:hAnsiTheme="majorHAnsi" w:cstheme="majorHAnsi"/>
                <w:sz w:val="16"/>
                <w:szCs w:val="16"/>
                <w:lang w:val="ro-MD"/>
              </w:rPr>
              <w:br/>
            </w:r>
          </w:p>
        </w:tc>
      </w:tr>
      <w:tr w:rsidR="008107EA" w:rsidRPr="009E5B39" w14:paraId="61D6611B" w14:textId="77777777" w:rsidTr="00513698">
        <w:trPr>
          <w:cantSplit/>
          <w:trHeight w:val="1297"/>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6269E2B7" w14:textId="77777777" w:rsidR="008107EA" w:rsidRPr="009E5B39" w:rsidRDefault="008107EA" w:rsidP="00513698">
            <w:pPr>
              <w:spacing w:after="0" w:line="240" w:lineRule="auto"/>
              <w:ind w:left="36"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9. Contabilizarea conformă a investițiilor și redevențelor aferente în cadrul realizării contractelor de PPP</w:t>
            </w: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132B6CC3" w14:textId="77777777" w:rsidR="008107EA" w:rsidRPr="009E5B39" w:rsidRDefault="008107EA" w:rsidP="00513698">
            <w:pPr>
              <w:spacing w:after="0" w:line="240" w:lineRule="auto"/>
              <w:ind w:left="-107" w:hanging="1"/>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Neimplementat</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03F825FF"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În scopul implementării recomandării nominalizate, DGETS a realizat următoarele acțiuni:</w:t>
            </w:r>
            <w:r w:rsidRPr="009E5B39">
              <w:rPr>
                <w:rFonts w:asciiTheme="majorHAnsi" w:eastAsia="Times New Roman" w:hAnsiTheme="majorHAnsi" w:cstheme="majorHAnsi"/>
                <w:sz w:val="16"/>
                <w:szCs w:val="16"/>
                <w:lang w:val="ro-MD"/>
              </w:rPr>
              <w:br/>
              <w:t>- Emiterea ordinului Direcției generale educație, tineret si sport a Consiliului Municipal Chișinău nr. 134 din 18.02.2021 „Cu privire la constituirea comisiei de predare-primire”;</w:t>
            </w:r>
            <w:r w:rsidRPr="009E5B39">
              <w:rPr>
                <w:rFonts w:asciiTheme="majorHAnsi" w:eastAsia="Times New Roman" w:hAnsiTheme="majorHAnsi" w:cstheme="majorHAnsi"/>
                <w:sz w:val="16"/>
                <w:szCs w:val="16"/>
                <w:lang w:val="ro-MD"/>
              </w:rPr>
              <w:br/>
              <w:t>- Înaintarea demersului nr. 0118/643 din 25.02.2021 de către Direcția generala educație, tineret si sport, prin care a fost solicitată de la partenerul privat SRL „Guzun V.E.” prezentarea facturii fiscale a investițiilor efectuate pentru reconstrucția Instituției de educație timpurie nr.166.</w:t>
            </w:r>
            <w:r w:rsidRPr="009E5B39">
              <w:rPr>
                <w:rFonts w:asciiTheme="majorHAnsi" w:eastAsia="Times New Roman" w:hAnsiTheme="majorHAnsi" w:cstheme="majorHAnsi"/>
                <w:sz w:val="16"/>
                <w:szCs w:val="16"/>
                <w:lang w:val="ro-MD"/>
              </w:rPr>
              <w:br/>
              <w:t>- Înaintarea repetata a demersului DGETS, nr. 0118/1237 din 12.04.2021, în adresa partenerului privat SRL „Guzun V.E.”, prin care a fost solicitată prezentarea facturii fiscale a investițiilor efectuate pentru reconstrucția Instituției de educație timpurie nr.166;</w:t>
            </w:r>
            <w:r w:rsidRPr="009E5B39">
              <w:rPr>
                <w:rFonts w:asciiTheme="majorHAnsi" w:eastAsia="Times New Roman" w:hAnsiTheme="majorHAnsi" w:cstheme="majorHAnsi"/>
                <w:sz w:val="16"/>
                <w:szCs w:val="16"/>
                <w:lang w:val="ro-MD"/>
              </w:rPr>
              <w:br/>
              <w:t>- Înregistrarea in evidența contabilă a covoarelor cu gazon artificial, amplasate pe terenurile de fotbal ale LIMPS.</w:t>
            </w:r>
          </w:p>
        </w:tc>
      </w:tr>
      <w:tr w:rsidR="008107EA" w:rsidRPr="009E5B39" w14:paraId="7B6389C3" w14:textId="77777777" w:rsidTr="00513698">
        <w:trPr>
          <w:cantSplit/>
          <w:trHeight w:val="514"/>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78582EDC" w14:textId="77777777" w:rsidR="008107EA" w:rsidRPr="009E5B39" w:rsidRDefault="008107EA" w:rsidP="00513698">
            <w:pPr>
              <w:spacing w:after="0" w:line="240" w:lineRule="auto"/>
              <w:ind w:left="36"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12. Revizuirea necesității menținerii în listele aprobate de către autoritățile responsabile a obiectivelor propuse pentru implementare prin PPP, cu asigurarea fundamentării acestei modalități alese, precum și a beneficiilor și pierderilor PPublic</w:t>
            </w: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6A0A96E5" w14:textId="77777777" w:rsidR="008107EA" w:rsidRPr="009E5B39" w:rsidRDefault="008107EA" w:rsidP="00513698">
            <w:pPr>
              <w:spacing w:after="0" w:line="240" w:lineRule="auto"/>
              <w:ind w:left="-107" w:hanging="1"/>
              <w:jc w:val="center"/>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Neimplementat</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334BBB77" w14:textId="77777777" w:rsidR="008107EA" w:rsidRPr="009E5B39" w:rsidRDefault="008107EA" w:rsidP="00513698">
            <w:pPr>
              <w:spacing w:after="0" w:line="240" w:lineRule="auto"/>
              <w:ind w:hanging="1"/>
              <w:jc w:val="both"/>
              <w:rPr>
                <w:rFonts w:asciiTheme="majorHAnsi" w:eastAsia="Times New Roman" w:hAnsiTheme="majorHAnsi" w:cstheme="majorHAnsi"/>
                <w:sz w:val="16"/>
                <w:szCs w:val="16"/>
                <w:lang w:val="ro-MD"/>
              </w:rPr>
            </w:pPr>
            <w:r w:rsidRPr="009E5B39">
              <w:rPr>
                <w:rFonts w:asciiTheme="majorHAnsi" w:eastAsia="Times New Roman" w:hAnsiTheme="majorHAnsi" w:cstheme="majorHAnsi"/>
                <w:sz w:val="16"/>
                <w:szCs w:val="16"/>
                <w:lang w:val="ro-MD"/>
              </w:rPr>
              <w:t>Realizarea recomandării respective ține de activitatea Grupului de lucru pentru examinarea oportunității expunerii bunurilor imobile si servicii in calitate de obiect al PPP, aprobat prin Decizia CMC nr. 8/11 din 18.06.2021.</w:t>
            </w:r>
            <w:r w:rsidRPr="009E5B39">
              <w:rPr>
                <w:rFonts w:asciiTheme="majorHAnsi" w:eastAsia="Times New Roman" w:hAnsiTheme="majorHAnsi" w:cstheme="majorHAnsi"/>
                <w:sz w:val="16"/>
                <w:szCs w:val="16"/>
                <w:lang w:val="ro-MD"/>
              </w:rPr>
              <w:br/>
              <w:t>Grupul de lucru asigură permanent:</w:t>
            </w:r>
            <w:r w:rsidRPr="009E5B39">
              <w:rPr>
                <w:rFonts w:asciiTheme="majorHAnsi" w:eastAsia="Times New Roman" w:hAnsiTheme="majorHAnsi" w:cstheme="majorHAnsi"/>
                <w:sz w:val="16"/>
                <w:szCs w:val="16"/>
                <w:lang w:val="ro-MD"/>
              </w:rPr>
              <w:br/>
              <w:t>- Examinarea oportunității expunerii în calitate de obiect de PPP a bunurilor imobile și servicii proprietate publică locală pasibile pentru atragerea investițiilor;</w:t>
            </w:r>
            <w:r w:rsidRPr="009E5B39">
              <w:rPr>
                <w:rFonts w:asciiTheme="majorHAnsi" w:eastAsia="Times New Roman" w:hAnsiTheme="majorHAnsi" w:cstheme="majorHAnsi"/>
                <w:sz w:val="16"/>
                <w:szCs w:val="16"/>
                <w:lang w:val="ro-MD"/>
              </w:rPr>
              <w:br/>
              <w:t>- Examinarea, evaluarea si oportunitatea propunerilor de investiții parvenite de la investitori;</w:t>
            </w:r>
            <w:r w:rsidRPr="009E5B39">
              <w:rPr>
                <w:rFonts w:asciiTheme="majorHAnsi" w:eastAsia="Times New Roman" w:hAnsiTheme="majorHAnsi" w:cstheme="majorHAnsi"/>
                <w:sz w:val="16"/>
                <w:szCs w:val="16"/>
                <w:lang w:val="ro-MD"/>
              </w:rPr>
              <w:br/>
              <w:t>- Propunerea obiectelor PPP pentru examinare si aprobare Consiliului municipal Chișinău;</w:t>
            </w:r>
            <w:r w:rsidRPr="009E5B39">
              <w:rPr>
                <w:rFonts w:asciiTheme="majorHAnsi" w:eastAsia="Times New Roman" w:hAnsiTheme="majorHAnsi" w:cstheme="majorHAnsi"/>
                <w:sz w:val="16"/>
                <w:szCs w:val="16"/>
                <w:lang w:val="ro-MD"/>
              </w:rPr>
              <w:br/>
              <w:t>La următoarea ședința a Grupului de lucru se va examina oportunitatea includerii în Lista obiectelor PPP a unor proiecte parvenite de la partenerii privați, alte instituții, precum și se va pune în discuție alte subiecte ce țin inclusiv și de oportunitatea menținerii unor obiecte propuse spre implementare prin PPP în anii precedenți.</w:t>
            </w:r>
          </w:p>
        </w:tc>
      </w:tr>
    </w:tbl>
    <w:p w14:paraId="3A19E52D" w14:textId="6E4CD59E" w:rsidR="008107EA" w:rsidRPr="009E5B39" w:rsidRDefault="008107EA" w:rsidP="003E291B">
      <w:pPr>
        <w:tabs>
          <w:tab w:val="left" w:pos="1823"/>
        </w:tabs>
        <w:spacing w:after="0"/>
        <w:rPr>
          <w:rFonts w:asciiTheme="majorHAnsi" w:hAnsiTheme="majorHAnsi" w:cstheme="majorHAnsi"/>
          <w:sz w:val="24"/>
          <w:szCs w:val="24"/>
          <w:lang w:val="ro-MD"/>
        </w:rPr>
        <w:sectPr w:rsidR="008107EA" w:rsidRPr="009E5B39" w:rsidSect="004F1E03">
          <w:pgSz w:w="16834" w:h="11909" w:orient="landscape" w:code="9"/>
          <w:pgMar w:top="993" w:right="816" w:bottom="851" w:left="1134" w:header="720" w:footer="130" w:gutter="0"/>
          <w:cols w:space="720"/>
          <w:docGrid w:linePitch="360"/>
        </w:sectPr>
      </w:pPr>
    </w:p>
    <w:p w14:paraId="08D35CD0" w14:textId="54998324" w:rsidR="00024307" w:rsidRPr="009E5B39" w:rsidRDefault="00024307" w:rsidP="00024307">
      <w:pPr>
        <w:keepNext/>
        <w:keepLines/>
        <w:spacing w:after="0"/>
        <w:jc w:val="right"/>
        <w:outlineLvl w:val="0"/>
        <w:rPr>
          <w:rFonts w:asciiTheme="majorHAnsi" w:eastAsiaTheme="majorEastAsia" w:hAnsiTheme="majorHAnsi" w:cstheme="majorHAnsi"/>
          <w:b/>
          <w:sz w:val="32"/>
          <w:szCs w:val="32"/>
          <w:lang w:val="ro-MD"/>
        </w:rPr>
      </w:pPr>
      <w:bookmarkStart w:id="39" w:name="_Toc116026904"/>
      <w:r w:rsidRPr="009E5B39">
        <w:rPr>
          <w:rFonts w:asciiTheme="majorHAnsi" w:eastAsiaTheme="majorEastAsia" w:hAnsiTheme="majorHAnsi" w:cstheme="majorHAnsi"/>
          <w:b/>
          <w:sz w:val="32"/>
          <w:szCs w:val="32"/>
          <w:lang w:val="ro-MD"/>
        </w:rPr>
        <w:t>Anexa nr.22</w:t>
      </w:r>
      <w:bookmarkEnd w:id="39"/>
    </w:p>
    <w:p w14:paraId="1D94CBCD" w14:textId="77777777" w:rsidR="00024307" w:rsidRPr="009E5B39" w:rsidRDefault="00024307" w:rsidP="001F48A2">
      <w:pPr>
        <w:spacing w:after="0"/>
        <w:jc w:val="center"/>
        <w:rPr>
          <w:rFonts w:cstheme="majorHAnsi"/>
          <w:sz w:val="24"/>
          <w:szCs w:val="24"/>
          <w:lang w:val="ro-MD"/>
        </w:rPr>
      </w:pPr>
      <w:r w:rsidRPr="009E5B39">
        <w:rPr>
          <w:rFonts w:asciiTheme="majorHAnsi" w:hAnsiTheme="majorHAnsi" w:cstheme="majorHAnsi"/>
          <w:b/>
          <w:bCs/>
          <w:sz w:val="24"/>
          <w:szCs w:val="24"/>
          <w:lang w:val="ro-MD"/>
        </w:rPr>
        <w:t xml:space="preserve">Implementarea recomandărilor </w:t>
      </w:r>
      <w:r w:rsidR="00E478CE" w:rsidRPr="009E5B39">
        <w:rPr>
          <w:rFonts w:asciiTheme="majorHAnsi" w:hAnsiTheme="majorHAnsi" w:cstheme="majorHAnsi"/>
          <w:b/>
          <w:sz w:val="24"/>
          <w:szCs w:val="24"/>
          <w:lang w:val="ro-MD"/>
        </w:rPr>
        <w:t>HCC nr. 30 din 26.07.2016</w:t>
      </w:r>
      <w:r w:rsidR="00E478CE" w:rsidRPr="009E5B39">
        <w:rPr>
          <w:rFonts w:asciiTheme="majorHAnsi" w:hAnsiTheme="majorHAnsi" w:cstheme="majorHAnsi"/>
          <w:sz w:val="24"/>
          <w:szCs w:val="24"/>
          <w:lang w:val="ro-MD"/>
        </w:rPr>
        <w:t xml:space="preserve"> </w:t>
      </w:r>
    </w:p>
    <w:p w14:paraId="53AEF0D5" w14:textId="4B552C64" w:rsidR="00A42A77" w:rsidRPr="009E5B39" w:rsidRDefault="00E478CE" w:rsidP="001F48A2">
      <w:pPr>
        <w:spacing w:after="0"/>
        <w:jc w:val="center"/>
        <w:rPr>
          <w:rFonts w:cstheme="majorHAnsi"/>
          <w:sz w:val="24"/>
          <w:szCs w:val="24"/>
          <w:lang w:val="ro-MD"/>
        </w:rPr>
      </w:pPr>
      <w:r w:rsidRPr="009E5B39">
        <w:rPr>
          <w:rFonts w:asciiTheme="majorHAnsi" w:hAnsiTheme="majorHAnsi" w:cstheme="majorHAnsi"/>
          <w:sz w:val="24"/>
          <w:szCs w:val="24"/>
          <w:lang w:val="ro-MD"/>
        </w:rPr>
        <w:t>„Privind Raportul auditului conformității gestionării patrimoniului public în cadrul entităților publice din mun. Chișinău pe anii 2014-2015”.</w:t>
      </w:r>
    </w:p>
    <w:tbl>
      <w:tblPr>
        <w:tblW w:w="1000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gridCol w:w="1353"/>
      </w:tblGrid>
      <w:tr w:rsidR="00024307" w:rsidRPr="009E5B39" w14:paraId="03E63C76" w14:textId="77777777" w:rsidTr="00697728">
        <w:trPr>
          <w:trHeight w:val="20"/>
        </w:trPr>
        <w:tc>
          <w:tcPr>
            <w:tcW w:w="8648" w:type="dxa"/>
            <w:shd w:val="clear" w:color="auto" w:fill="auto"/>
            <w:hideMark/>
          </w:tcPr>
          <w:p w14:paraId="06B03CB5" w14:textId="7783535D" w:rsidR="00A42A77" w:rsidRPr="009E5B39" w:rsidRDefault="0063109C" w:rsidP="001F48A2">
            <w:pPr>
              <w:spacing w:after="0"/>
              <w:jc w:val="center"/>
              <w:rPr>
                <w:rFonts w:asciiTheme="majorHAnsi" w:hAnsiTheme="majorHAnsi" w:cstheme="majorHAnsi"/>
                <w:b/>
                <w:bCs/>
                <w:color w:val="323232"/>
                <w:sz w:val="16"/>
                <w:szCs w:val="16"/>
                <w:lang w:val="ro-MD"/>
              </w:rPr>
            </w:pPr>
            <w:r w:rsidRPr="009E5B39">
              <w:rPr>
                <w:rFonts w:asciiTheme="majorHAnsi" w:hAnsiTheme="majorHAnsi" w:cstheme="majorHAnsi"/>
                <w:b/>
                <w:bCs/>
                <w:color w:val="323232"/>
                <w:sz w:val="16"/>
                <w:szCs w:val="16"/>
                <w:lang w:val="ro-MD"/>
              </w:rPr>
              <w:t>Cerința</w:t>
            </w:r>
            <w:r w:rsidR="00A42A77" w:rsidRPr="009E5B39">
              <w:rPr>
                <w:rFonts w:asciiTheme="majorHAnsi" w:hAnsiTheme="majorHAnsi" w:cstheme="majorHAnsi"/>
                <w:b/>
                <w:bCs/>
                <w:color w:val="323232"/>
                <w:sz w:val="16"/>
                <w:szCs w:val="16"/>
                <w:lang w:val="ro-MD"/>
              </w:rPr>
              <w:t>/recomandarea CMC și Primăriei mun. Chișinău</w:t>
            </w:r>
          </w:p>
        </w:tc>
        <w:tc>
          <w:tcPr>
            <w:tcW w:w="1353" w:type="dxa"/>
            <w:shd w:val="clear" w:color="auto" w:fill="auto"/>
            <w:hideMark/>
          </w:tcPr>
          <w:p w14:paraId="3215A84C" w14:textId="77777777" w:rsidR="00A42A77" w:rsidRPr="009E5B39" w:rsidRDefault="00A42A77" w:rsidP="001F48A2">
            <w:pPr>
              <w:spacing w:after="0"/>
              <w:jc w:val="center"/>
              <w:rPr>
                <w:rFonts w:asciiTheme="majorHAnsi" w:hAnsiTheme="majorHAnsi" w:cstheme="majorHAnsi"/>
                <w:b/>
                <w:bCs/>
                <w:color w:val="323232"/>
                <w:sz w:val="16"/>
                <w:szCs w:val="16"/>
                <w:lang w:val="ro-MD"/>
              </w:rPr>
            </w:pPr>
            <w:r w:rsidRPr="009E5B39">
              <w:rPr>
                <w:rFonts w:asciiTheme="majorHAnsi" w:hAnsiTheme="majorHAnsi" w:cstheme="majorHAnsi"/>
                <w:b/>
                <w:bCs/>
                <w:color w:val="323232"/>
                <w:sz w:val="16"/>
                <w:szCs w:val="16"/>
                <w:lang w:val="ro-MD"/>
              </w:rPr>
              <w:t>Statut implementare</w:t>
            </w:r>
          </w:p>
        </w:tc>
      </w:tr>
      <w:tr w:rsidR="00024307" w:rsidRPr="009E5B39" w14:paraId="65F1D683" w14:textId="77777777" w:rsidTr="00697728">
        <w:trPr>
          <w:trHeight w:val="20"/>
        </w:trPr>
        <w:tc>
          <w:tcPr>
            <w:tcW w:w="8648" w:type="dxa"/>
            <w:shd w:val="clear" w:color="auto" w:fill="auto"/>
            <w:hideMark/>
          </w:tcPr>
          <w:p w14:paraId="32AA2DF8"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 xml:space="preserve">2.1. asigurarea implementării recomandărilor auditului indicate în Raportul de audit, cu determinarea acțiunilor concrete în vederea înlăturării deficiențelor constatate, precum și cu stabilirea termenelor și a persoanelor responsabile de implementarea recomandărilor pe baza principiilor managementului financiar și control; </w:t>
            </w:r>
          </w:p>
        </w:tc>
        <w:tc>
          <w:tcPr>
            <w:tcW w:w="1353" w:type="dxa"/>
            <w:shd w:val="clear" w:color="auto" w:fill="auto"/>
            <w:hideMark/>
          </w:tcPr>
          <w:p w14:paraId="45B2584A" w14:textId="6A5CA4C8" w:rsidR="00A42A77" w:rsidRPr="009E5B39" w:rsidRDefault="000C14FB"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w:t>
            </w:r>
            <w:r w:rsidR="00A42A77" w:rsidRPr="009E5B39">
              <w:rPr>
                <w:rFonts w:asciiTheme="majorHAnsi" w:hAnsiTheme="majorHAnsi" w:cstheme="majorHAnsi"/>
                <w:color w:val="323232"/>
                <w:sz w:val="16"/>
                <w:szCs w:val="16"/>
                <w:lang w:val="ro-MD"/>
              </w:rPr>
              <w:t>arțial implementat</w:t>
            </w:r>
          </w:p>
        </w:tc>
      </w:tr>
      <w:tr w:rsidR="00024307" w:rsidRPr="009E5B39" w14:paraId="2CC22DF1" w14:textId="77777777" w:rsidTr="00697728">
        <w:trPr>
          <w:trHeight w:val="20"/>
        </w:trPr>
        <w:tc>
          <w:tcPr>
            <w:tcW w:w="8648" w:type="dxa"/>
            <w:shd w:val="clear" w:color="auto" w:fill="auto"/>
            <w:hideMark/>
          </w:tcPr>
          <w:p w14:paraId="09BF524F"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2.2. dispunerea unor măsuri prompte aferente implementării fără echivoc a Legii nr.229 din 23.09.2010 privind controlul financiar public intern;</w:t>
            </w:r>
          </w:p>
        </w:tc>
        <w:tc>
          <w:tcPr>
            <w:tcW w:w="1353" w:type="dxa"/>
            <w:shd w:val="clear" w:color="auto" w:fill="auto"/>
            <w:hideMark/>
          </w:tcPr>
          <w:p w14:paraId="0BC557B3" w14:textId="7F2A6F2F" w:rsidR="00A42A77" w:rsidRPr="009E5B39" w:rsidRDefault="000C14FB"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w:t>
            </w:r>
            <w:r w:rsidR="00A42A77" w:rsidRPr="009E5B39">
              <w:rPr>
                <w:rFonts w:asciiTheme="majorHAnsi" w:hAnsiTheme="majorHAnsi" w:cstheme="majorHAnsi"/>
                <w:color w:val="323232"/>
                <w:sz w:val="16"/>
                <w:szCs w:val="16"/>
                <w:lang w:val="ro-MD"/>
              </w:rPr>
              <w:t>arțial implementat</w:t>
            </w:r>
          </w:p>
        </w:tc>
      </w:tr>
      <w:tr w:rsidR="00024307" w:rsidRPr="009E5B39" w14:paraId="2CF3ACC8" w14:textId="77777777" w:rsidTr="00697728">
        <w:trPr>
          <w:trHeight w:val="20"/>
        </w:trPr>
        <w:tc>
          <w:tcPr>
            <w:tcW w:w="8648" w:type="dxa"/>
            <w:shd w:val="clear" w:color="auto" w:fill="auto"/>
            <w:hideMark/>
          </w:tcPr>
          <w:p w14:paraId="30694E11"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 xml:space="preserve">1. Secretarul CMC, să asigure coordonarea/avizarea proiectelor de decizii de către toate autoritățile de resort care au competențe aferente problemelor ce se examinează în ședințele CMC.  </w:t>
            </w:r>
          </w:p>
        </w:tc>
        <w:tc>
          <w:tcPr>
            <w:tcW w:w="1353" w:type="dxa"/>
            <w:shd w:val="clear" w:color="auto" w:fill="auto"/>
            <w:hideMark/>
          </w:tcPr>
          <w:p w14:paraId="52E4C202" w14:textId="77777777" w:rsidR="00A42A77" w:rsidRPr="009E5B39" w:rsidRDefault="00A42A77"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neimplementat</w:t>
            </w:r>
          </w:p>
        </w:tc>
      </w:tr>
      <w:tr w:rsidR="00024307" w:rsidRPr="009E5B39" w14:paraId="497AB77C" w14:textId="77777777" w:rsidTr="00697728">
        <w:trPr>
          <w:trHeight w:val="20"/>
        </w:trPr>
        <w:tc>
          <w:tcPr>
            <w:tcW w:w="8648" w:type="dxa"/>
            <w:shd w:val="clear" w:color="auto" w:fill="auto"/>
            <w:hideMark/>
          </w:tcPr>
          <w:p w14:paraId="1B383745"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2.1. să examineze și să ajusteze regulamentele subdiviziunilor cu înlăturarea dublării funcțiilor și sporirea responsabilității pentru executarea punctuală a competențelor;</w:t>
            </w:r>
          </w:p>
        </w:tc>
        <w:tc>
          <w:tcPr>
            <w:tcW w:w="1353" w:type="dxa"/>
            <w:shd w:val="clear" w:color="auto" w:fill="auto"/>
            <w:hideMark/>
          </w:tcPr>
          <w:p w14:paraId="56AD17E6" w14:textId="19F858CF" w:rsidR="00A42A77" w:rsidRPr="009E5B39" w:rsidRDefault="000C14FB"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w:t>
            </w:r>
            <w:r w:rsidR="00A42A77" w:rsidRPr="009E5B39">
              <w:rPr>
                <w:rFonts w:asciiTheme="majorHAnsi" w:hAnsiTheme="majorHAnsi" w:cstheme="majorHAnsi"/>
                <w:color w:val="323232"/>
                <w:sz w:val="16"/>
                <w:szCs w:val="16"/>
                <w:lang w:val="ro-MD"/>
              </w:rPr>
              <w:t>arțial implementat</w:t>
            </w:r>
          </w:p>
        </w:tc>
      </w:tr>
      <w:tr w:rsidR="00024307" w:rsidRPr="009E5B39" w14:paraId="579EDF95" w14:textId="77777777" w:rsidTr="00697728">
        <w:trPr>
          <w:trHeight w:val="20"/>
        </w:trPr>
        <w:tc>
          <w:tcPr>
            <w:tcW w:w="8648" w:type="dxa"/>
            <w:shd w:val="clear" w:color="auto" w:fill="auto"/>
            <w:hideMark/>
          </w:tcPr>
          <w:p w14:paraId="03DDDD3A"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 xml:space="preserve">2.2. să elaboreze și să aprobe cadrul metodologic intern, cu stabilirea unor obiective bine determinate și proceduri relevante pentru verificarea/reconcilierea în cadrul inventarierii patrimoniului proprietate publică locală a situațiilor contabile, cadastrale și tehnice aferente bunurilor imobile, a modului de administrare a acestora, precum și realizarea rezultatelor inventarierii prin înregistrarea/ajustarea datelor cadastrale și contabile; </w:t>
            </w:r>
          </w:p>
        </w:tc>
        <w:tc>
          <w:tcPr>
            <w:tcW w:w="1353" w:type="dxa"/>
            <w:shd w:val="clear" w:color="auto" w:fill="auto"/>
            <w:hideMark/>
          </w:tcPr>
          <w:p w14:paraId="717CB0FD" w14:textId="6773C50E" w:rsidR="00A42A77" w:rsidRPr="009E5B39" w:rsidRDefault="00A42A77"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neimplementat</w:t>
            </w:r>
          </w:p>
        </w:tc>
      </w:tr>
      <w:tr w:rsidR="00024307" w:rsidRPr="009E5B39" w14:paraId="395804F8" w14:textId="77777777" w:rsidTr="00697728">
        <w:trPr>
          <w:trHeight w:val="20"/>
        </w:trPr>
        <w:tc>
          <w:tcPr>
            <w:tcW w:w="8648" w:type="dxa"/>
            <w:shd w:val="clear" w:color="auto" w:fill="auto"/>
            <w:hideMark/>
          </w:tcPr>
          <w:p w14:paraId="04F432C5"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2.3. să determine modalitatea și să stabilească proceduri relevante privind instituirea evidenței contabile și raportarea regulamentară a activelor patrimoniale și tranzacțiilor economice aferente administrării acestora (inclusiv a creanțelor) cu desemnarea responsabililor și stabilirea termenelor de rigoare.</w:t>
            </w:r>
          </w:p>
        </w:tc>
        <w:tc>
          <w:tcPr>
            <w:tcW w:w="1353" w:type="dxa"/>
            <w:shd w:val="clear" w:color="auto" w:fill="auto"/>
            <w:hideMark/>
          </w:tcPr>
          <w:p w14:paraId="274C68AA" w14:textId="5F5B8B57" w:rsidR="00A42A77" w:rsidRPr="009E5B39" w:rsidRDefault="00A42A77"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neimplementat</w:t>
            </w:r>
          </w:p>
        </w:tc>
      </w:tr>
      <w:tr w:rsidR="00024307" w:rsidRPr="009E5B39" w14:paraId="5189B05A" w14:textId="77777777" w:rsidTr="00697728">
        <w:trPr>
          <w:trHeight w:val="20"/>
        </w:trPr>
        <w:tc>
          <w:tcPr>
            <w:tcW w:w="8648" w:type="dxa"/>
            <w:shd w:val="clear" w:color="auto" w:fill="auto"/>
            <w:hideMark/>
          </w:tcPr>
          <w:p w14:paraId="00C37551"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3.1. să asigure ținerea regulamentară a registrului patrimoniului municipal (prin reconcilierea datelor acestuia cu datele evidenței contabile) în scopul raportării veridice și identice/exhaustive a situațiilor patrimoniale;</w:t>
            </w:r>
          </w:p>
        </w:tc>
        <w:tc>
          <w:tcPr>
            <w:tcW w:w="1353" w:type="dxa"/>
            <w:shd w:val="clear" w:color="auto" w:fill="auto"/>
            <w:hideMark/>
          </w:tcPr>
          <w:p w14:paraId="65784205" w14:textId="55FD7FF7" w:rsidR="00A42A77" w:rsidRPr="009E5B39" w:rsidRDefault="00A42A77"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neimplementat</w:t>
            </w:r>
          </w:p>
        </w:tc>
      </w:tr>
      <w:tr w:rsidR="00024307" w:rsidRPr="009E5B39" w14:paraId="53F1A4D0" w14:textId="77777777" w:rsidTr="00697728">
        <w:trPr>
          <w:trHeight w:val="20"/>
        </w:trPr>
        <w:tc>
          <w:tcPr>
            <w:tcW w:w="8648" w:type="dxa"/>
            <w:shd w:val="clear" w:color="auto" w:fill="auto"/>
            <w:hideMark/>
          </w:tcPr>
          <w:p w14:paraId="2A3F5FA3"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3.2. să inițieze inventarierea/verificarea datelor cu privire la valoarea capitalului social al întreprinderilor municipale înregistrat la CÎS, cu întreprinderea măsurilor de rigoare pentru înlăturarea diferențelor și asigurarea raportării veridice a situațiilor financiare și patrimoniale.</w:t>
            </w:r>
          </w:p>
        </w:tc>
        <w:tc>
          <w:tcPr>
            <w:tcW w:w="1353" w:type="dxa"/>
            <w:shd w:val="clear" w:color="auto" w:fill="auto"/>
            <w:hideMark/>
          </w:tcPr>
          <w:p w14:paraId="5C44BC1E" w14:textId="31289C67" w:rsidR="00A42A77" w:rsidRPr="009E5B39" w:rsidRDefault="00697728"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parțial</w:t>
            </w:r>
            <w:r w:rsidR="00A42A77" w:rsidRPr="009E5B39">
              <w:rPr>
                <w:rFonts w:asciiTheme="majorHAnsi" w:hAnsiTheme="majorHAnsi" w:cstheme="majorHAnsi"/>
                <w:color w:val="323232"/>
                <w:sz w:val="16"/>
                <w:szCs w:val="16"/>
                <w:lang w:val="ro-MD"/>
              </w:rPr>
              <w:t xml:space="preserve"> implementat</w:t>
            </w:r>
          </w:p>
        </w:tc>
      </w:tr>
      <w:tr w:rsidR="00024307" w:rsidRPr="009E5B39" w14:paraId="69AC6BA4" w14:textId="77777777" w:rsidTr="00697728">
        <w:trPr>
          <w:trHeight w:val="20"/>
        </w:trPr>
        <w:tc>
          <w:tcPr>
            <w:tcW w:w="8648" w:type="dxa"/>
            <w:shd w:val="clear" w:color="auto" w:fill="auto"/>
            <w:hideMark/>
          </w:tcPr>
          <w:p w14:paraId="784C9833"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4. să întreprindă măsurile de rigoare privind înregistrarea integrală a drepturilor patrimoniale ale UAT asupra bunurilor imobile proprietate publică.</w:t>
            </w:r>
          </w:p>
        </w:tc>
        <w:tc>
          <w:tcPr>
            <w:tcW w:w="1353" w:type="dxa"/>
            <w:shd w:val="clear" w:color="auto" w:fill="auto"/>
            <w:hideMark/>
          </w:tcPr>
          <w:p w14:paraId="2D77D829" w14:textId="2048A568" w:rsidR="00A42A77" w:rsidRPr="009E5B39" w:rsidRDefault="00697728"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parțial</w:t>
            </w:r>
            <w:r w:rsidR="00A42A77" w:rsidRPr="009E5B39">
              <w:rPr>
                <w:rFonts w:asciiTheme="majorHAnsi" w:hAnsiTheme="majorHAnsi" w:cstheme="majorHAnsi"/>
                <w:color w:val="323232"/>
                <w:sz w:val="16"/>
                <w:szCs w:val="16"/>
                <w:lang w:val="ro-MD"/>
              </w:rPr>
              <w:t xml:space="preserve"> implementat</w:t>
            </w:r>
          </w:p>
        </w:tc>
      </w:tr>
      <w:tr w:rsidR="00024307" w:rsidRPr="009E5B39" w14:paraId="68240F43" w14:textId="77777777" w:rsidTr="00697728">
        <w:trPr>
          <w:trHeight w:val="20"/>
        </w:trPr>
        <w:tc>
          <w:tcPr>
            <w:tcW w:w="8648" w:type="dxa"/>
            <w:shd w:val="clear" w:color="auto" w:fill="auto"/>
            <w:hideMark/>
          </w:tcPr>
          <w:p w14:paraId="16AA6F1D"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8.1. în scopul reducerii semnificative a numărului proiectelor neexaminate, să asigure convocarea unor ședințe (extra)ordinare pentru examinarea proiectelor de decizii tangențiale cadrului instituțional regulator și a actelor juridice cu privire la gestionarea patrimoniului public;</w:t>
            </w:r>
          </w:p>
        </w:tc>
        <w:tc>
          <w:tcPr>
            <w:tcW w:w="1353" w:type="dxa"/>
            <w:shd w:val="clear" w:color="auto" w:fill="auto"/>
            <w:hideMark/>
          </w:tcPr>
          <w:p w14:paraId="23755AAB" w14:textId="0872A7CC" w:rsidR="00A42A77" w:rsidRPr="009E5B39" w:rsidRDefault="000C14FB"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w:t>
            </w:r>
            <w:r w:rsidR="00A42A77" w:rsidRPr="009E5B39">
              <w:rPr>
                <w:rFonts w:asciiTheme="majorHAnsi" w:hAnsiTheme="majorHAnsi" w:cstheme="majorHAnsi"/>
                <w:color w:val="323232"/>
                <w:sz w:val="16"/>
                <w:szCs w:val="16"/>
                <w:lang w:val="ro-MD"/>
              </w:rPr>
              <w:t>arțial implementat</w:t>
            </w:r>
          </w:p>
        </w:tc>
      </w:tr>
      <w:tr w:rsidR="00024307" w:rsidRPr="009E5B39" w14:paraId="75D049BE" w14:textId="77777777" w:rsidTr="00697728">
        <w:trPr>
          <w:trHeight w:val="20"/>
        </w:trPr>
        <w:tc>
          <w:tcPr>
            <w:tcW w:w="8648" w:type="dxa"/>
            <w:shd w:val="clear" w:color="auto" w:fill="auto"/>
            <w:hideMark/>
          </w:tcPr>
          <w:p w14:paraId="4A6A5F92"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8.2. să revizuiască funcționalitatea și relevanța sistemelor informaționale automatizate pentru ținerea evidenței contractelor și a încasărilor din arenda/locațiunea bunurilor publice și să întreprindă măsuri de rigoare pentru înlăturarea deficiențelor constatate de audit;</w:t>
            </w:r>
          </w:p>
        </w:tc>
        <w:tc>
          <w:tcPr>
            <w:tcW w:w="1353" w:type="dxa"/>
            <w:shd w:val="clear" w:color="auto" w:fill="auto"/>
            <w:hideMark/>
          </w:tcPr>
          <w:p w14:paraId="6DE142E5" w14:textId="319BE306" w:rsidR="00A42A77" w:rsidRPr="009E5B39" w:rsidRDefault="000C14FB"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n</w:t>
            </w:r>
            <w:r w:rsidR="00A42A77" w:rsidRPr="009E5B39">
              <w:rPr>
                <w:rFonts w:asciiTheme="majorHAnsi" w:hAnsiTheme="majorHAnsi" w:cstheme="majorHAnsi"/>
                <w:color w:val="323232"/>
                <w:sz w:val="16"/>
                <w:szCs w:val="16"/>
                <w:lang w:val="ro-MD"/>
              </w:rPr>
              <w:t>eimplementat</w:t>
            </w:r>
          </w:p>
        </w:tc>
      </w:tr>
      <w:tr w:rsidR="00024307" w:rsidRPr="009E5B39" w14:paraId="641F01DF" w14:textId="77777777" w:rsidTr="00697728">
        <w:trPr>
          <w:trHeight w:val="20"/>
        </w:trPr>
        <w:tc>
          <w:tcPr>
            <w:tcW w:w="8648" w:type="dxa"/>
            <w:shd w:val="clear" w:color="auto" w:fill="auto"/>
            <w:hideMark/>
          </w:tcPr>
          <w:p w14:paraId="52A9F648"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8.3. să respecte prevederile cadrului legal-normativ privind atribuirea bunurilor proprietate publică locală în arendă/locațiune și/sau cu asigurarea privatizării acestora în baza licitațiilor/concursurilor, sporirii transparenței în administrarea patrimoniului public și generării veniturilor aferente pasibile;</w:t>
            </w:r>
          </w:p>
        </w:tc>
        <w:tc>
          <w:tcPr>
            <w:tcW w:w="1353" w:type="dxa"/>
            <w:shd w:val="clear" w:color="auto" w:fill="auto"/>
            <w:hideMark/>
          </w:tcPr>
          <w:p w14:paraId="5D5A1686" w14:textId="44613392" w:rsidR="00A42A77" w:rsidRPr="009E5B39" w:rsidRDefault="00A42A77"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parțial implementat</w:t>
            </w:r>
          </w:p>
        </w:tc>
      </w:tr>
      <w:tr w:rsidR="00024307" w:rsidRPr="009E5B39" w14:paraId="4D240BFC" w14:textId="77777777" w:rsidTr="00697728">
        <w:trPr>
          <w:trHeight w:val="20"/>
        </w:trPr>
        <w:tc>
          <w:tcPr>
            <w:tcW w:w="8648" w:type="dxa"/>
            <w:shd w:val="clear" w:color="auto" w:fill="auto"/>
            <w:hideMark/>
          </w:tcPr>
          <w:p w14:paraId="1497B722"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8.4. să asigure planificarea veniturilor din arenda terenurilor și locațiunea bunurilor conform cadrului legal/normativ din domeniu;</w:t>
            </w:r>
          </w:p>
        </w:tc>
        <w:tc>
          <w:tcPr>
            <w:tcW w:w="1353" w:type="dxa"/>
            <w:shd w:val="clear" w:color="auto" w:fill="auto"/>
            <w:hideMark/>
          </w:tcPr>
          <w:p w14:paraId="1B595524" w14:textId="6C8DB5E4" w:rsidR="00A42A77" w:rsidRPr="009E5B39" w:rsidRDefault="00697728"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parțial</w:t>
            </w:r>
            <w:r w:rsidR="00A42A77" w:rsidRPr="009E5B39">
              <w:rPr>
                <w:rFonts w:asciiTheme="majorHAnsi" w:hAnsiTheme="majorHAnsi" w:cstheme="majorHAnsi"/>
                <w:color w:val="323232"/>
                <w:sz w:val="16"/>
                <w:szCs w:val="16"/>
                <w:lang w:val="ro-MD"/>
              </w:rPr>
              <w:t xml:space="preserve"> implementat</w:t>
            </w:r>
          </w:p>
        </w:tc>
      </w:tr>
      <w:tr w:rsidR="00024307" w:rsidRPr="009E5B39" w14:paraId="76371D53" w14:textId="77777777" w:rsidTr="00697728">
        <w:trPr>
          <w:trHeight w:val="20"/>
        </w:trPr>
        <w:tc>
          <w:tcPr>
            <w:tcW w:w="8648" w:type="dxa"/>
            <w:shd w:val="clear" w:color="auto" w:fill="auto"/>
            <w:hideMark/>
          </w:tcPr>
          <w:p w14:paraId="7AECAE71" w14:textId="20DB69D5"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8.5. să realizeze măsuri neînt</w:t>
            </w:r>
            <w:r w:rsidR="000C14FB" w:rsidRPr="009E5B39">
              <w:rPr>
                <w:rFonts w:asciiTheme="majorHAnsi" w:hAnsiTheme="majorHAnsi" w:cstheme="majorHAnsi"/>
                <w:color w:val="323232"/>
                <w:sz w:val="16"/>
                <w:szCs w:val="16"/>
                <w:lang w:val="ro-MD"/>
              </w:rPr>
              <w:t>â</w:t>
            </w:r>
            <w:r w:rsidRPr="009E5B39">
              <w:rPr>
                <w:rFonts w:asciiTheme="majorHAnsi" w:hAnsiTheme="majorHAnsi" w:cstheme="majorHAnsi"/>
                <w:color w:val="323232"/>
                <w:sz w:val="16"/>
                <w:szCs w:val="16"/>
                <w:lang w:val="ro-MD"/>
              </w:rPr>
              <w:t>rziate și punctuale pentru încasarea restanțelor arendașilor/locatarilor pasibile colectării;</w:t>
            </w:r>
          </w:p>
        </w:tc>
        <w:tc>
          <w:tcPr>
            <w:tcW w:w="1353" w:type="dxa"/>
            <w:shd w:val="clear" w:color="auto" w:fill="auto"/>
            <w:hideMark/>
          </w:tcPr>
          <w:p w14:paraId="64ED1478" w14:textId="78B86D44" w:rsidR="00A42A77" w:rsidRPr="009E5B39" w:rsidRDefault="00697728"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parțial</w:t>
            </w:r>
            <w:r w:rsidR="00A42A77" w:rsidRPr="009E5B39">
              <w:rPr>
                <w:rFonts w:asciiTheme="majorHAnsi" w:hAnsiTheme="majorHAnsi" w:cstheme="majorHAnsi"/>
                <w:color w:val="323232"/>
                <w:sz w:val="16"/>
                <w:szCs w:val="16"/>
                <w:lang w:val="ro-MD"/>
              </w:rPr>
              <w:t xml:space="preserve"> implementat</w:t>
            </w:r>
          </w:p>
        </w:tc>
      </w:tr>
      <w:tr w:rsidR="00024307" w:rsidRPr="009E5B39" w14:paraId="07227D0F" w14:textId="77777777" w:rsidTr="00697728">
        <w:trPr>
          <w:trHeight w:val="20"/>
        </w:trPr>
        <w:tc>
          <w:tcPr>
            <w:tcW w:w="8648" w:type="dxa"/>
            <w:shd w:val="clear" w:color="auto" w:fill="auto"/>
            <w:hideMark/>
          </w:tcPr>
          <w:p w14:paraId="3B6D0246"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8.6. să întreprindă măsuri prompte pentru arhivarea corespunzătoare a dosarelor întocmite în cadrul direcțiilor din subordinea CMC și a primăriei în vederea asigurării integrității acestora în conformitate cu normele din domeniu.</w:t>
            </w:r>
          </w:p>
        </w:tc>
        <w:tc>
          <w:tcPr>
            <w:tcW w:w="1353" w:type="dxa"/>
            <w:shd w:val="clear" w:color="auto" w:fill="auto"/>
            <w:hideMark/>
          </w:tcPr>
          <w:p w14:paraId="5FFCFA7D" w14:textId="7BE2321C" w:rsidR="00A42A77" w:rsidRPr="009E5B39" w:rsidRDefault="00697728"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parțial</w:t>
            </w:r>
            <w:r w:rsidR="00A42A77" w:rsidRPr="009E5B39">
              <w:rPr>
                <w:rFonts w:asciiTheme="majorHAnsi" w:hAnsiTheme="majorHAnsi" w:cstheme="majorHAnsi"/>
                <w:color w:val="323232"/>
                <w:sz w:val="16"/>
                <w:szCs w:val="16"/>
                <w:lang w:val="ro-MD"/>
              </w:rPr>
              <w:t xml:space="preserve"> implementat</w:t>
            </w:r>
          </w:p>
        </w:tc>
      </w:tr>
      <w:tr w:rsidR="00024307" w:rsidRPr="009E5B39" w14:paraId="34026ADB" w14:textId="77777777" w:rsidTr="00697728">
        <w:trPr>
          <w:trHeight w:val="20"/>
        </w:trPr>
        <w:tc>
          <w:tcPr>
            <w:tcW w:w="8648" w:type="dxa"/>
            <w:shd w:val="clear" w:color="auto" w:fill="auto"/>
            <w:hideMark/>
          </w:tcPr>
          <w:p w14:paraId="51244E4A"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9.1. să asigure întocmirea regulamentară și publicarea listelor bunurilor (ne)pasibile de privatizare și listelor bunurilor propuse pentru locațiune în vederea asigurării transparenței și predictibilității procesului de gestionare a bunurilor proprietate publică locală;</w:t>
            </w:r>
          </w:p>
        </w:tc>
        <w:tc>
          <w:tcPr>
            <w:tcW w:w="1353" w:type="dxa"/>
            <w:shd w:val="clear" w:color="auto" w:fill="auto"/>
            <w:hideMark/>
          </w:tcPr>
          <w:p w14:paraId="78DC3C4E" w14:textId="37C98AF0" w:rsidR="00A42A77" w:rsidRPr="009E5B39" w:rsidRDefault="00A42A77"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parțial implementat</w:t>
            </w:r>
          </w:p>
        </w:tc>
      </w:tr>
      <w:tr w:rsidR="00024307" w:rsidRPr="009E5B39" w14:paraId="4D2FF455" w14:textId="77777777" w:rsidTr="00697728">
        <w:trPr>
          <w:trHeight w:val="20"/>
        </w:trPr>
        <w:tc>
          <w:tcPr>
            <w:tcW w:w="8648" w:type="dxa"/>
            <w:shd w:val="clear" w:color="auto" w:fill="auto"/>
            <w:hideMark/>
          </w:tcPr>
          <w:p w14:paraId="5BCA2A66"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 xml:space="preserve">9.2. să revizuiască modul existent de gestionare a patrimoniului public de diferite instituții și entități economice din subordinea CMC, pentru posibilă integrare în cadrul unei autorități a atribuțiilor de evidență și administrare a patrimoniului ca un complex întreg, inclusiv prin asistență juridică a procesului de gestionare a bunurilor publice;  </w:t>
            </w:r>
          </w:p>
        </w:tc>
        <w:tc>
          <w:tcPr>
            <w:tcW w:w="1353" w:type="dxa"/>
            <w:shd w:val="clear" w:color="auto" w:fill="auto"/>
            <w:hideMark/>
          </w:tcPr>
          <w:p w14:paraId="75C978E6" w14:textId="4893295A" w:rsidR="00A42A77" w:rsidRPr="009E5B39" w:rsidRDefault="000C14FB"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n</w:t>
            </w:r>
            <w:r w:rsidR="00A42A77" w:rsidRPr="009E5B39">
              <w:rPr>
                <w:rFonts w:asciiTheme="majorHAnsi" w:hAnsiTheme="majorHAnsi" w:cstheme="majorHAnsi"/>
                <w:color w:val="323232"/>
                <w:sz w:val="16"/>
                <w:szCs w:val="16"/>
                <w:lang w:val="ro-MD"/>
              </w:rPr>
              <w:t>eimplementat</w:t>
            </w:r>
          </w:p>
        </w:tc>
      </w:tr>
      <w:tr w:rsidR="00024307" w:rsidRPr="009E5B39" w14:paraId="307EDA12" w14:textId="77777777" w:rsidTr="00697728">
        <w:trPr>
          <w:trHeight w:val="20"/>
        </w:trPr>
        <w:tc>
          <w:tcPr>
            <w:tcW w:w="8648" w:type="dxa"/>
            <w:shd w:val="clear" w:color="auto" w:fill="auto"/>
            <w:hideMark/>
          </w:tcPr>
          <w:p w14:paraId="43BD468F"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 xml:space="preserve">9.3. să ia atitudine față de rezultatele activității Direcției asistență juridică, cu întreprinderea măsurilor de rigoare pentru remedierea cauzelor deficienților constatate în cadrul auditului pentru  excluderea acestora pe viitor. </w:t>
            </w:r>
          </w:p>
        </w:tc>
        <w:tc>
          <w:tcPr>
            <w:tcW w:w="1353" w:type="dxa"/>
            <w:shd w:val="clear" w:color="auto" w:fill="auto"/>
            <w:hideMark/>
          </w:tcPr>
          <w:p w14:paraId="4F48A215" w14:textId="16B96C40" w:rsidR="00A42A77" w:rsidRPr="009E5B39" w:rsidRDefault="000C14FB"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n</w:t>
            </w:r>
            <w:r w:rsidR="00A42A77" w:rsidRPr="009E5B39">
              <w:rPr>
                <w:rFonts w:asciiTheme="majorHAnsi" w:hAnsiTheme="majorHAnsi" w:cstheme="majorHAnsi"/>
                <w:color w:val="323232"/>
                <w:sz w:val="16"/>
                <w:szCs w:val="16"/>
                <w:lang w:val="ro-MD"/>
              </w:rPr>
              <w:t>eimplementat</w:t>
            </w:r>
          </w:p>
        </w:tc>
      </w:tr>
      <w:tr w:rsidR="00024307" w:rsidRPr="009E5B39" w14:paraId="5AD7BC91" w14:textId="77777777" w:rsidTr="00697728">
        <w:trPr>
          <w:trHeight w:val="20"/>
        </w:trPr>
        <w:tc>
          <w:tcPr>
            <w:tcW w:w="8648" w:type="dxa"/>
            <w:shd w:val="clear" w:color="auto" w:fill="auto"/>
            <w:hideMark/>
          </w:tcPr>
          <w:p w14:paraId="0D80A13C"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 xml:space="preserve">10. Șeful DGAURF, să asigure funcționarea integrală a serviciul electronic/platforma E-urbanism. </w:t>
            </w:r>
          </w:p>
        </w:tc>
        <w:tc>
          <w:tcPr>
            <w:tcW w:w="1353" w:type="dxa"/>
            <w:shd w:val="clear" w:color="auto" w:fill="auto"/>
            <w:hideMark/>
          </w:tcPr>
          <w:p w14:paraId="1AB63338" w14:textId="14D6B97B" w:rsidR="00A42A77" w:rsidRPr="009E5B39" w:rsidRDefault="000C14FB"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n</w:t>
            </w:r>
            <w:r w:rsidR="00A42A77" w:rsidRPr="009E5B39">
              <w:rPr>
                <w:rFonts w:asciiTheme="majorHAnsi" w:hAnsiTheme="majorHAnsi" w:cstheme="majorHAnsi"/>
                <w:color w:val="323232"/>
                <w:sz w:val="16"/>
                <w:szCs w:val="16"/>
                <w:lang w:val="ro-MD"/>
              </w:rPr>
              <w:t>eimplementat</w:t>
            </w:r>
          </w:p>
        </w:tc>
      </w:tr>
      <w:tr w:rsidR="00024307" w:rsidRPr="009E5B39" w14:paraId="6CE5C633" w14:textId="77777777" w:rsidTr="00697728">
        <w:trPr>
          <w:trHeight w:val="20"/>
        </w:trPr>
        <w:tc>
          <w:tcPr>
            <w:tcW w:w="8648" w:type="dxa"/>
            <w:shd w:val="clear" w:color="auto" w:fill="auto"/>
            <w:hideMark/>
          </w:tcPr>
          <w:p w14:paraId="2169DC9F"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11. să examineze cazurile de nerespectare a cadrului legal-normativ constatate de audit, cu întreprinderea măsurilor de rigoare pentru prevenirea acestora pe viitor, inclusiv prin responsabilizarea persoanelor cu funcții de răspundere în domeniul patrimonial.</w:t>
            </w:r>
          </w:p>
        </w:tc>
        <w:tc>
          <w:tcPr>
            <w:tcW w:w="1353" w:type="dxa"/>
            <w:shd w:val="clear" w:color="auto" w:fill="auto"/>
            <w:hideMark/>
          </w:tcPr>
          <w:p w14:paraId="75418059" w14:textId="5958FA05" w:rsidR="00A42A77" w:rsidRPr="009E5B39" w:rsidRDefault="00697728"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parțial</w:t>
            </w:r>
            <w:r w:rsidR="00A42A77" w:rsidRPr="009E5B39">
              <w:rPr>
                <w:rFonts w:asciiTheme="majorHAnsi" w:hAnsiTheme="majorHAnsi" w:cstheme="majorHAnsi"/>
                <w:color w:val="323232"/>
                <w:sz w:val="16"/>
                <w:szCs w:val="16"/>
                <w:lang w:val="ro-MD"/>
              </w:rPr>
              <w:t xml:space="preserve"> implementat</w:t>
            </w:r>
          </w:p>
        </w:tc>
      </w:tr>
      <w:tr w:rsidR="00024307" w:rsidRPr="009E5B39" w14:paraId="647D71D5" w14:textId="77777777" w:rsidTr="00697728">
        <w:trPr>
          <w:trHeight w:val="20"/>
        </w:trPr>
        <w:tc>
          <w:tcPr>
            <w:tcW w:w="8648" w:type="dxa"/>
            <w:shd w:val="clear" w:color="auto" w:fill="auto"/>
            <w:hideMark/>
          </w:tcPr>
          <w:p w14:paraId="45F173B6"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12.1. să examineze cauzele de neimplementare a recomandărilor anterioare de audit cu aprobarea unui plan de măsuri, bazat pe sistemul de management financiar și control, pentru realizarea recomandărilor de audit fără echivoc;</w:t>
            </w:r>
          </w:p>
        </w:tc>
        <w:tc>
          <w:tcPr>
            <w:tcW w:w="1353" w:type="dxa"/>
            <w:shd w:val="clear" w:color="auto" w:fill="auto"/>
            <w:hideMark/>
          </w:tcPr>
          <w:p w14:paraId="5AF0D738" w14:textId="7CB30760" w:rsidR="00A42A77" w:rsidRPr="009E5B39" w:rsidRDefault="00697728"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parțial</w:t>
            </w:r>
            <w:r w:rsidR="00A42A77" w:rsidRPr="009E5B39">
              <w:rPr>
                <w:rFonts w:asciiTheme="majorHAnsi" w:hAnsiTheme="majorHAnsi" w:cstheme="majorHAnsi"/>
                <w:color w:val="323232"/>
                <w:sz w:val="16"/>
                <w:szCs w:val="16"/>
                <w:lang w:val="ro-MD"/>
              </w:rPr>
              <w:t xml:space="preserve"> implementat</w:t>
            </w:r>
          </w:p>
        </w:tc>
      </w:tr>
      <w:tr w:rsidR="00024307" w:rsidRPr="009E5B39" w14:paraId="2D1CC43B" w14:textId="77777777" w:rsidTr="00697728">
        <w:trPr>
          <w:trHeight w:val="20"/>
        </w:trPr>
        <w:tc>
          <w:tcPr>
            <w:tcW w:w="8648" w:type="dxa"/>
            <w:shd w:val="clear" w:color="auto" w:fill="auto"/>
            <w:hideMark/>
          </w:tcPr>
          <w:p w14:paraId="3B84E733"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12.2. să ia atitudinea față de persoanele vinovate de comiterea încălcărilor constatate de audit;</w:t>
            </w:r>
          </w:p>
        </w:tc>
        <w:tc>
          <w:tcPr>
            <w:tcW w:w="1353" w:type="dxa"/>
            <w:shd w:val="clear" w:color="auto" w:fill="auto"/>
            <w:hideMark/>
          </w:tcPr>
          <w:p w14:paraId="74A65BCD" w14:textId="0646CA4D" w:rsidR="00A42A77" w:rsidRPr="009E5B39" w:rsidRDefault="000C14FB"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n</w:t>
            </w:r>
            <w:r w:rsidR="00A42A77" w:rsidRPr="009E5B39">
              <w:rPr>
                <w:rFonts w:asciiTheme="majorHAnsi" w:hAnsiTheme="majorHAnsi" w:cstheme="majorHAnsi"/>
                <w:color w:val="323232"/>
                <w:sz w:val="16"/>
                <w:szCs w:val="16"/>
                <w:lang w:val="ro-MD"/>
              </w:rPr>
              <w:t>eimplementat</w:t>
            </w:r>
          </w:p>
        </w:tc>
      </w:tr>
      <w:tr w:rsidR="00024307" w:rsidRPr="009E5B39" w14:paraId="39E34A8B" w14:textId="77777777" w:rsidTr="00697728">
        <w:trPr>
          <w:trHeight w:val="20"/>
        </w:trPr>
        <w:tc>
          <w:tcPr>
            <w:tcW w:w="8648" w:type="dxa"/>
            <w:shd w:val="clear" w:color="auto" w:fill="auto"/>
            <w:hideMark/>
          </w:tcPr>
          <w:p w14:paraId="43A0CF8B"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12.3. să realizeze măsuri prompte și eficiente pentru acumularea veniturilor ratate în urma gestionării defectuoase și/sau neautorizate a bunurilor proprietate publică locală;</w:t>
            </w:r>
          </w:p>
        </w:tc>
        <w:tc>
          <w:tcPr>
            <w:tcW w:w="1353" w:type="dxa"/>
            <w:shd w:val="clear" w:color="auto" w:fill="auto"/>
            <w:hideMark/>
          </w:tcPr>
          <w:p w14:paraId="0B46E59C" w14:textId="2185F78F" w:rsidR="00A42A77" w:rsidRPr="009E5B39" w:rsidRDefault="00697728"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parțial</w:t>
            </w:r>
            <w:r w:rsidR="00A42A77" w:rsidRPr="009E5B39">
              <w:rPr>
                <w:rFonts w:asciiTheme="majorHAnsi" w:hAnsiTheme="majorHAnsi" w:cstheme="majorHAnsi"/>
                <w:color w:val="323232"/>
                <w:sz w:val="16"/>
                <w:szCs w:val="16"/>
                <w:lang w:val="ro-MD"/>
              </w:rPr>
              <w:t xml:space="preserve"> implementat</w:t>
            </w:r>
          </w:p>
        </w:tc>
      </w:tr>
      <w:tr w:rsidR="00024307" w:rsidRPr="009E5B39" w14:paraId="396BD3F1" w14:textId="77777777" w:rsidTr="00697728">
        <w:trPr>
          <w:trHeight w:val="20"/>
        </w:trPr>
        <w:tc>
          <w:tcPr>
            <w:tcW w:w="8648" w:type="dxa"/>
            <w:shd w:val="clear" w:color="auto" w:fill="auto"/>
            <w:hideMark/>
          </w:tcPr>
          <w:p w14:paraId="5FAF8B2A"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12.4. să inițieze consultații cu autoritățile publice centrale pentru soluționarea problemei de edificare masivă a construcțiilor neautorizate pe terenurile publice ocupate abuziv, în scopul prevenirii fenomenului de neglijență a cadrului legislativ pe viitor.</w:t>
            </w:r>
          </w:p>
        </w:tc>
        <w:tc>
          <w:tcPr>
            <w:tcW w:w="1353" w:type="dxa"/>
            <w:shd w:val="clear" w:color="auto" w:fill="auto"/>
            <w:hideMark/>
          </w:tcPr>
          <w:p w14:paraId="6C7AADD6" w14:textId="16FDE797" w:rsidR="00A42A77" w:rsidRPr="009E5B39" w:rsidRDefault="00697728"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parțial</w:t>
            </w:r>
            <w:r w:rsidR="00A42A77" w:rsidRPr="009E5B39">
              <w:rPr>
                <w:rFonts w:asciiTheme="majorHAnsi" w:hAnsiTheme="majorHAnsi" w:cstheme="majorHAnsi"/>
                <w:color w:val="323232"/>
                <w:sz w:val="16"/>
                <w:szCs w:val="16"/>
                <w:lang w:val="ro-MD"/>
              </w:rPr>
              <w:t xml:space="preserve"> implementat</w:t>
            </w:r>
          </w:p>
        </w:tc>
      </w:tr>
      <w:tr w:rsidR="00024307" w:rsidRPr="009E5B39" w14:paraId="4DC7B43A" w14:textId="77777777" w:rsidTr="00697728">
        <w:trPr>
          <w:trHeight w:val="20"/>
        </w:trPr>
        <w:tc>
          <w:tcPr>
            <w:tcW w:w="8648" w:type="dxa"/>
            <w:shd w:val="clear" w:color="auto" w:fill="auto"/>
            <w:hideMark/>
          </w:tcPr>
          <w:p w14:paraId="78AE9F49" w14:textId="77777777" w:rsidR="00A42A77" w:rsidRPr="009E5B39" w:rsidRDefault="00A42A77" w:rsidP="001F48A2">
            <w:pPr>
              <w:spacing w:after="0"/>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13. în comun cu Inspectoratul Ecologic de Stat și Inspecția de Stat în Construcții, să întreprindă măsuri de instituire a mecanismului de interacțiune rapidă pentru sancționarea contravențiilor în domeniul regimului funciar și revendicarea terenurilor ocupate abuziv.</w:t>
            </w:r>
          </w:p>
        </w:tc>
        <w:tc>
          <w:tcPr>
            <w:tcW w:w="1353" w:type="dxa"/>
            <w:shd w:val="clear" w:color="auto" w:fill="auto"/>
            <w:hideMark/>
          </w:tcPr>
          <w:p w14:paraId="5E21B272" w14:textId="77FA44B8" w:rsidR="00A42A77" w:rsidRPr="009E5B39" w:rsidRDefault="00697728" w:rsidP="001F48A2">
            <w:pPr>
              <w:spacing w:after="0"/>
              <w:jc w:val="right"/>
              <w:rPr>
                <w:rFonts w:asciiTheme="majorHAnsi" w:hAnsiTheme="majorHAnsi" w:cstheme="majorHAnsi"/>
                <w:color w:val="323232"/>
                <w:sz w:val="16"/>
                <w:szCs w:val="16"/>
                <w:lang w:val="ro-MD"/>
              </w:rPr>
            </w:pPr>
            <w:r w:rsidRPr="009E5B39">
              <w:rPr>
                <w:rFonts w:asciiTheme="majorHAnsi" w:hAnsiTheme="majorHAnsi" w:cstheme="majorHAnsi"/>
                <w:color w:val="323232"/>
                <w:sz w:val="16"/>
                <w:szCs w:val="16"/>
                <w:lang w:val="ro-MD"/>
              </w:rPr>
              <w:t>parțial</w:t>
            </w:r>
            <w:r w:rsidR="00A42A77" w:rsidRPr="009E5B39">
              <w:rPr>
                <w:rFonts w:asciiTheme="majorHAnsi" w:hAnsiTheme="majorHAnsi" w:cstheme="majorHAnsi"/>
                <w:color w:val="323232"/>
                <w:sz w:val="16"/>
                <w:szCs w:val="16"/>
                <w:lang w:val="ro-MD"/>
              </w:rPr>
              <w:t xml:space="preserve"> implementat</w:t>
            </w:r>
          </w:p>
        </w:tc>
      </w:tr>
    </w:tbl>
    <w:p w14:paraId="3D50FB09" w14:textId="1EEA811B" w:rsidR="00A42A77" w:rsidRPr="009E5B39" w:rsidRDefault="00A42A77" w:rsidP="00735AAF">
      <w:pPr>
        <w:rPr>
          <w:lang w:val="ro-MD"/>
        </w:rPr>
      </w:pPr>
    </w:p>
    <w:sectPr w:rsidR="00A42A77" w:rsidRPr="009E5B39" w:rsidSect="001F48A2">
      <w:footerReference w:type="default" r:id="rId31"/>
      <w:pgSz w:w="11907" w:h="16840" w:code="9"/>
      <w:pgMar w:top="851" w:right="851" w:bottom="1134"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75198" w14:textId="77777777" w:rsidR="00EA1821" w:rsidRDefault="00EA1821" w:rsidP="00850555">
      <w:pPr>
        <w:spacing w:after="0" w:line="240" w:lineRule="auto"/>
      </w:pPr>
      <w:r>
        <w:separator/>
      </w:r>
    </w:p>
  </w:endnote>
  <w:endnote w:type="continuationSeparator" w:id="0">
    <w:p w14:paraId="46A2271F" w14:textId="77777777" w:rsidR="00EA1821" w:rsidRDefault="00EA1821" w:rsidP="00850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160892"/>
      <w:docPartObj>
        <w:docPartGallery w:val="Page Numbers (Bottom of Page)"/>
        <w:docPartUnique/>
      </w:docPartObj>
    </w:sdtPr>
    <w:sdtEndPr>
      <w:rPr>
        <w:noProof/>
      </w:rPr>
    </w:sdtEndPr>
    <w:sdtContent>
      <w:p w14:paraId="6DB72174" w14:textId="5340F197" w:rsidR="00F14EEC" w:rsidRDefault="00F14EEC">
        <w:pPr>
          <w:pStyle w:val="Footer"/>
          <w:jc w:val="right"/>
        </w:pPr>
        <w:r>
          <w:fldChar w:fldCharType="begin"/>
        </w:r>
        <w:r>
          <w:instrText xml:space="preserve"> PAGE   \* MERGEFORMAT </w:instrText>
        </w:r>
        <w:r>
          <w:fldChar w:fldCharType="separate"/>
        </w:r>
        <w:r w:rsidR="00714505">
          <w:rPr>
            <w:noProof/>
          </w:rPr>
          <w:t>2</w:t>
        </w:r>
        <w:r>
          <w:rPr>
            <w:noProof/>
          </w:rPr>
          <w:fldChar w:fldCharType="end"/>
        </w:r>
      </w:p>
    </w:sdtContent>
  </w:sdt>
  <w:p w14:paraId="258B4F29" w14:textId="77777777" w:rsidR="00F14EEC" w:rsidRDefault="00F14EEC" w:rsidP="0043115A">
    <w:pPr>
      <w:pStyle w:val="Footer"/>
      <w:tabs>
        <w:tab w:val="clear" w:pos="4844"/>
        <w:tab w:val="clear" w:pos="9689"/>
        <w:tab w:val="left" w:pos="3336"/>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739949"/>
      <w:docPartObj>
        <w:docPartGallery w:val="Page Numbers (Bottom of Page)"/>
        <w:docPartUnique/>
      </w:docPartObj>
    </w:sdtPr>
    <w:sdtEndPr>
      <w:rPr>
        <w:noProof/>
      </w:rPr>
    </w:sdtEndPr>
    <w:sdtContent>
      <w:p w14:paraId="04E7E875" w14:textId="3350199E" w:rsidR="00F14EEC" w:rsidRDefault="00F14EEC">
        <w:pPr>
          <w:pStyle w:val="Footer"/>
          <w:jc w:val="right"/>
        </w:pPr>
        <w:r>
          <w:fldChar w:fldCharType="begin"/>
        </w:r>
        <w:r>
          <w:instrText xml:space="preserve"> PAGE   \* MERGEFORMAT </w:instrText>
        </w:r>
        <w:r>
          <w:fldChar w:fldCharType="separate"/>
        </w:r>
        <w:r w:rsidR="00714505">
          <w:rPr>
            <w:noProof/>
          </w:rPr>
          <w:t>1</w:t>
        </w:r>
        <w:r>
          <w:rPr>
            <w:noProof/>
          </w:rPr>
          <w:fldChar w:fldCharType="end"/>
        </w:r>
      </w:p>
    </w:sdtContent>
  </w:sdt>
  <w:p w14:paraId="4FCD9690" w14:textId="77777777" w:rsidR="00F14EEC" w:rsidRDefault="00F14E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715321"/>
      <w:docPartObj>
        <w:docPartGallery w:val="Page Numbers (Bottom of Page)"/>
        <w:docPartUnique/>
      </w:docPartObj>
    </w:sdtPr>
    <w:sdtEndPr>
      <w:rPr>
        <w:noProof/>
      </w:rPr>
    </w:sdtEndPr>
    <w:sdtContent>
      <w:p w14:paraId="5575D1A7" w14:textId="1EFEFB04" w:rsidR="00F14EEC" w:rsidRDefault="00F14EEC">
        <w:pPr>
          <w:pStyle w:val="Footer"/>
          <w:jc w:val="right"/>
        </w:pPr>
        <w:r>
          <w:fldChar w:fldCharType="begin"/>
        </w:r>
        <w:r>
          <w:instrText xml:space="preserve"> PAGE   \* MERGEFORMAT </w:instrText>
        </w:r>
        <w:r>
          <w:fldChar w:fldCharType="separate"/>
        </w:r>
        <w:r w:rsidR="00D0690F">
          <w:rPr>
            <w:noProof/>
          </w:rPr>
          <w:t>133</w:t>
        </w:r>
        <w:r>
          <w:rPr>
            <w:noProof/>
          </w:rPr>
          <w:fldChar w:fldCharType="end"/>
        </w:r>
      </w:p>
    </w:sdtContent>
  </w:sdt>
  <w:p w14:paraId="23F8D3CE" w14:textId="77777777" w:rsidR="00F14EEC" w:rsidRDefault="00F14EEC">
    <w:pPr>
      <w:pStyle w:val="Footer"/>
    </w:pPr>
  </w:p>
  <w:p w14:paraId="1BE23B0A" w14:textId="77777777" w:rsidR="00F14EEC" w:rsidRDefault="00F14EE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050498"/>
      <w:docPartObj>
        <w:docPartGallery w:val="Page Numbers (Bottom of Page)"/>
        <w:docPartUnique/>
      </w:docPartObj>
    </w:sdtPr>
    <w:sdtEndPr>
      <w:rPr>
        <w:noProof/>
      </w:rPr>
    </w:sdtEndPr>
    <w:sdtContent>
      <w:p w14:paraId="0FB699EF" w14:textId="4430BB3A" w:rsidR="00F14EEC" w:rsidRDefault="00F14EEC">
        <w:pPr>
          <w:pStyle w:val="Footer"/>
          <w:jc w:val="right"/>
        </w:pPr>
        <w:r>
          <w:fldChar w:fldCharType="begin"/>
        </w:r>
        <w:r>
          <w:instrText xml:space="preserve"> PAGE   \* MERGEFORMAT </w:instrText>
        </w:r>
        <w:r>
          <w:fldChar w:fldCharType="separate"/>
        </w:r>
        <w:r w:rsidR="00D0690F">
          <w:rPr>
            <w:noProof/>
          </w:rPr>
          <w:t>134</w:t>
        </w:r>
        <w:r>
          <w:rPr>
            <w:noProof/>
          </w:rPr>
          <w:fldChar w:fldCharType="end"/>
        </w:r>
      </w:p>
    </w:sdtContent>
  </w:sdt>
  <w:p w14:paraId="6B3C0CA3" w14:textId="77777777" w:rsidR="00F14EEC" w:rsidRDefault="00F14EEC">
    <w:pPr>
      <w:pStyle w:val="Footer"/>
    </w:pPr>
  </w:p>
  <w:p w14:paraId="79BDA67F" w14:textId="77777777" w:rsidR="00F14EEC" w:rsidRDefault="00F14EE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AB5AB" w14:textId="77777777" w:rsidR="00EA1821" w:rsidRDefault="00EA1821" w:rsidP="00850555">
      <w:pPr>
        <w:spacing w:after="0" w:line="240" w:lineRule="auto"/>
      </w:pPr>
      <w:r>
        <w:separator/>
      </w:r>
    </w:p>
  </w:footnote>
  <w:footnote w:type="continuationSeparator" w:id="0">
    <w:p w14:paraId="497F418E" w14:textId="77777777" w:rsidR="00EA1821" w:rsidRDefault="00EA1821" w:rsidP="00850555">
      <w:pPr>
        <w:spacing w:after="0" w:line="240" w:lineRule="auto"/>
      </w:pPr>
      <w:r>
        <w:continuationSeparator/>
      </w:r>
    </w:p>
  </w:footnote>
  <w:footnote w:id="1">
    <w:p w14:paraId="30330753" w14:textId="14ECBDBD" w:rsidR="00F14EEC" w:rsidRPr="00F14EEC" w:rsidRDefault="00F14EEC" w:rsidP="00733666">
      <w:pPr>
        <w:pStyle w:val="FootnoteText"/>
        <w:rPr>
          <w:rFonts w:ascii="Calibri Light" w:hAnsi="Calibri Light" w:cs="Calibri Light"/>
          <w:sz w:val="16"/>
          <w:szCs w:val="16"/>
          <w:lang w:val="ro-MD"/>
        </w:rPr>
      </w:pPr>
      <w:r w:rsidRPr="00F14EEC">
        <w:rPr>
          <w:rStyle w:val="FootnoteReference"/>
          <w:rFonts w:ascii="Calibri Light" w:hAnsi="Calibri Light" w:cs="Calibri Light"/>
          <w:sz w:val="16"/>
          <w:szCs w:val="16"/>
          <w:lang w:val="ro-MD"/>
        </w:rPr>
        <w:footnoteRef/>
      </w:r>
      <w:r w:rsidRPr="00F14EEC">
        <w:rPr>
          <w:rFonts w:ascii="Calibri Light" w:hAnsi="Calibri Light" w:cs="Calibri Light"/>
          <w:sz w:val="16"/>
          <w:szCs w:val="16"/>
          <w:lang w:val="ro-MD"/>
        </w:rPr>
        <w:t xml:space="preserve"> Art.3 din Legea cu privire la investițiile în activitatea de întreprinzător nr.81-XV din 18.03.2004. </w:t>
      </w:r>
    </w:p>
  </w:footnote>
  <w:footnote w:id="2">
    <w:p w14:paraId="353314E6" w14:textId="77777777"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114411 „Taxa de piață”; 114415 „Taxa pentru dispozitivele publicitare; 114418 „Taxa pentru unitățile comerciale și/sau de prestări servicii”.</w:t>
      </w:r>
    </w:p>
  </w:footnote>
  <w:footnote w:id="3">
    <w:p w14:paraId="03B57B19" w14:textId="1E79F239"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iCs/>
          <w:noProof/>
          <w:sz w:val="16"/>
          <w:szCs w:val="16"/>
          <w:lang w:val="ro-MD" w:eastAsia="ru-RU"/>
        </w:rPr>
        <w:t>Cum ar fi: SFS, BNS, informația prezentată de către instituțiile din subordine și cea solicitată de la agenții economici, etc.</w:t>
      </w:r>
    </w:p>
  </w:footnote>
  <w:footnote w:id="4">
    <w:p w14:paraId="43F85AD3" w14:textId="77777777" w:rsidR="00F14EEC" w:rsidRPr="00F14EEC" w:rsidRDefault="00F14EEC" w:rsidP="001A2939">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Raportul auditului executării bugetului municipiului Chișinău pe anul 2009, aprobat prin Hotărârea Curții de Conturi nr.52 din 05.07.2010.</w:t>
      </w:r>
    </w:p>
  </w:footnote>
  <w:footnote w:id="5">
    <w:p w14:paraId="644022C1" w14:textId="5460E9D8"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Recomandarea nr. 2.4. din Hotărârea Curții de Conturi nr.50 din 23.07.2018 „Cu privire la Raportul auditului situațiilor financiare aferente procesului bugetar și gestionării patrimoniului public de către Unitatea Teritorială Autonomă Găgăuzia pe anii 2016-2017”.</w:t>
      </w:r>
    </w:p>
  </w:footnote>
  <w:footnote w:id="6">
    <w:p w14:paraId="0B823A8E" w14:textId="3C674A5D"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 1 alin. (1), (2) și (2</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din Legea fondului rutier nr. 720 din 02.02.1996, (în continuare – Legea nr.720/1996).</w:t>
      </w:r>
    </w:p>
  </w:footnote>
  <w:footnote w:id="7">
    <w:p w14:paraId="1E0D1767" w14:textId="50BEDE53"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sz w:val="16"/>
          <w:szCs w:val="16"/>
          <w:lang w:val="ro-MD"/>
        </w:rPr>
        <w:t>Art. 12 alin.(2) și alin.(3) din</w:t>
      </w:r>
      <w:r w:rsidRPr="00F14EEC">
        <w:rPr>
          <w:rFonts w:asciiTheme="majorHAnsi" w:eastAsia="Times New Roman" w:hAnsiTheme="majorHAnsi" w:cstheme="majorHAnsi"/>
          <w:i/>
          <w:sz w:val="16"/>
          <w:szCs w:val="16"/>
          <w:lang w:val="ro-MD"/>
        </w:rPr>
        <w:t xml:space="preserve"> </w:t>
      </w:r>
      <w:r w:rsidRPr="00F14EEC">
        <w:rPr>
          <w:rFonts w:asciiTheme="majorHAnsi" w:hAnsiTheme="majorHAnsi" w:cstheme="majorHAnsi"/>
          <w:sz w:val="16"/>
          <w:szCs w:val="16"/>
          <w:lang w:val="ro-MD"/>
        </w:rPr>
        <w:t>Legea privind finanțele publice locale nr.397 din 16.10.2003, (în continuare – Legea nr.397/2003).</w:t>
      </w:r>
    </w:p>
  </w:footnote>
  <w:footnote w:id="8">
    <w:p w14:paraId="77479EA2" w14:textId="272E471C" w:rsidR="00F14EEC" w:rsidRPr="00F14EEC" w:rsidRDefault="00F14EEC" w:rsidP="00EF4BC3">
      <w:pPr>
        <w:pStyle w:val="FootnoteText"/>
        <w:shd w:val="clear" w:color="auto" w:fill="FFFFFF" w:themeFill="background1"/>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Art.14 alin.(9) și art.76 alin.(5) din Legea privind achizițiile publice nr.131 din 03.07.2015 (în continuare – Legea nr.131/2015)</w:t>
      </w:r>
    </w:p>
  </w:footnote>
  <w:footnote w:id="9">
    <w:p w14:paraId="5E829B0E" w14:textId="5BDEE141"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sz w:val="16"/>
          <w:szCs w:val="16"/>
          <w:lang w:val="ro-MD"/>
        </w:rPr>
        <w:t>Legea privind organizarea administrativ-teritorială a Republicii Moldova nr.764 din 27.12.2001.</w:t>
      </w:r>
    </w:p>
  </w:footnote>
  <w:footnote w:id="10">
    <w:p w14:paraId="53833DF4" w14:textId="036E73CB"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sz w:val="16"/>
          <w:szCs w:val="16"/>
          <w:lang w:val="ro-MD"/>
        </w:rPr>
        <w:t xml:space="preserve">Legea privind descentralizarea administrativă nr.435 din 28.12.2006 </w:t>
      </w:r>
      <w:r w:rsidRPr="00F14EEC">
        <w:rPr>
          <w:rFonts w:asciiTheme="majorHAnsi" w:hAnsiTheme="majorHAnsi" w:cstheme="majorHAnsi"/>
          <w:sz w:val="16"/>
          <w:szCs w:val="16"/>
          <w:lang w:val="ro-MD"/>
        </w:rPr>
        <w:t>(în continuare – Legea nr.435/2006)</w:t>
      </w:r>
      <w:r w:rsidRPr="00F14EEC">
        <w:rPr>
          <w:rFonts w:asciiTheme="majorHAnsi" w:eastAsia="Times New Roman" w:hAnsiTheme="majorHAnsi" w:cstheme="majorHAnsi"/>
          <w:sz w:val="16"/>
          <w:szCs w:val="16"/>
          <w:lang w:val="ro-MD"/>
        </w:rPr>
        <w:t xml:space="preserve">. </w:t>
      </w:r>
    </w:p>
  </w:footnote>
  <w:footnote w:id="11">
    <w:p w14:paraId="6CEC999F" w14:textId="2E362894"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sz w:val="16"/>
          <w:szCs w:val="16"/>
          <w:lang w:val="ro-MD"/>
        </w:rPr>
        <w:t xml:space="preserve">Legea privind administrația publică locală nr.436 din 28.12.2006 </w:t>
      </w:r>
      <w:r w:rsidRPr="00F14EEC">
        <w:rPr>
          <w:rFonts w:asciiTheme="majorHAnsi" w:hAnsiTheme="majorHAnsi" w:cstheme="majorHAnsi"/>
          <w:sz w:val="16"/>
          <w:szCs w:val="16"/>
          <w:lang w:val="ro-MD"/>
        </w:rPr>
        <w:t>(în continuare – Legea nr.436/2006)</w:t>
      </w:r>
      <w:r w:rsidRPr="00F14EEC">
        <w:rPr>
          <w:rFonts w:asciiTheme="majorHAnsi" w:eastAsia="Times New Roman" w:hAnsiTheme="majorHAnsi" w:cstheme="majorHAnsi"/>
          <w:sz w:val="16"/>
          <w:szCs w:val="16"/>
          <w:lang w:val="ro-MD"/>
        </w:rPr>
        <w:t>.</w:t>
      </w:r>
    </w:p>
  </w:footnote>
  <w:footnote w:id="12">
    <w:p w14:paraId="4BCE5CC0" w14:textId="717B7243"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privind statutul municipiului Chișinău nr.136 din 17.06.2016 ( (în continuare – Legea nr.136/2016)</w:t>
      </w:r>
    </w:p>
  </w:footnote>
  <w:footnote w:id="13">
    <w:p w14:paraId="46C9127B" w14:textId="44850F89"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finanțelor publice și responsabilității bugetar-fiscale nr.181 din 25.07.2014 (în continuare – Legea nr.181/2014). </w:t>
      </w:r>
    </w:p>
  </w:footnote>
  <w:footnote w:id="14">
    <w:p w14:paraId="2AD6E5A2" w14:textId="22BAC76B"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privind finanțele publice locale nr.397 din 16.10.2003 (în continuare – Legea nr.397/2003). </w:t>
      </w:r>
    </w:p>
  </w:footnote>
  <w:footnote w:id="15">
    <w:p w14:paraId="11342F60" w14:textId="53FDC0CA"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Ordinul ministrului finanțelor nr.209 din 24.12.2015 „Cu privire la aprobarea Setului metodologic privind elaborarea, aprobarea și modificarea bugetului”. </w:t>
      </w:r>
    </w:p>
  </w:footnote>
  <w:footnote w:id="16">
    <w:p w14:paraId="1A0A4035" w14:textId="297CB797" w:rsidR="00F14EEC" w:rsidRPr="00F14EEC" w:rsidRDefault="00F14EEC" w:rsidP="00EF4BC3">
      <w:pPr>
        <w:pStyle w:val="FootnoteText"/>
        <w:ind w:right="-1"/>
        <w:jc w:val="both"/>
        <w:rPr>
          <w:rFonts w:asciiTheme="majorHAnsi" w:hAnsiTheme="majorHAnsi" w:cstheme="majorHAnsi"/>
          <w:bCs/>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bCs/>
          <w:sz w:val="16"/>
          <w:szCs w:val="16"/>
          <w:lang w:val="ro-MD"/>
        </w:rPr>
        <w:t xml:space="preserve">Ordinul ministrului finanțelor nr.164 din 30.12.2016 „Cu privire la aprobarea Cerințelor la întocmirea Raportului narativ privind executarea bugetelor autorităților/instituțiilor bugetare”. </w:t>
      </w:r>
    </w:p>
  </w:footnote>
  <w:footnote w:id="17">
    <w:p w14:paraId="164DEBED" w14:textId="77777777"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eastAsia="Lucida Sans Unicode"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spacing w:val="-3"/>
          <w:sz w:val="16"/>
          <w:szCs w:val="16"/>
          <w:lang w:val="ro-MD"/>
        </w:rPr>
        <w:t>Legea privind organizarea și funcționarea Curții de Conturi a Republicii Moldova nr.260 din 07.12.2017</w:t>
      </w:r>
      <w:r w:rsidRPr="00F14EEC">
        <w:rPr>
          <w:rFonts w:asciiTheme="majorHAnsi" w:hAnsiTheme="majorHAnsi" w:cstheme="majorHAnsi"/>
          <w:spacing w:val="-1"/>
          <w:sz w:val="16"/>
          <w:szCs w:val="16"/>
          <w:lang w:val="ro-MD"/>
        </w:rPr>
        <w:t>.</w:t>
      </w:r>
    </w:p>
  </w:footnote>
  <w:footnote w:id="18">
    <w:p w14:paraId="46609F31" w14:textId="0D796271"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eastAsia="Lucida Sans Unicode"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sz w:val="16"/>
          <w:szCs w:val="16"/>
          <w:lang w:val="ro-MD"/>
        </w:rPr>
        <w:t>Programul activității de audit a Curții de Conturi pe anul 2021, aprobat prin Hotărârea Curții de Conturi nr.62 din 10.12.2020 și Programul activității de audit a Curții de Conturi pe anul 2022, aprobat prin Hotărârea Curții de Conturi nr.75 din 28.12.2021.</w:t>
      </w:r>
    </w:p>
  </w:footnote>
  <w:footnote w:id="19">
    <w:p w14:paraId="03C7E835" w14:textId="77777777" w:rsidR="00F14EEC" w:rsidRPr="00F14EEC" w:rsidRDefault="00F14EEC">
      <w:pPr>
        <w:pStyle w:val="1"/>
        <w:rPr>
          <w:lang w:val="ro-MD"/>
        </w:rPr>
      </w:pPr>
      <w:r w:rsidRPr="00F14EEC">
        <w:rPr>
          <w:rStyle w:val="FootnoteReference"/>
          <w:rFonts w:asciiTheme="majorHAnsi" w:eastAsia="Lucida Sans Unicode" w:hAnsiTheme="majorHAnsi" w:cstheme="majorHAnsi"/>
          <w:lang w:val="ro-MD"/>
        </w:rPr>
        <w:footnoteRef/>
      </w:r>
      <w:r w:rsidRPr="00F14EEC">
        <w:rPr>
          <w:lang w:val="ro-MD"/>
        </w:rPr>
        <w:t xml:space="preserve"> Hotărârea Curții de Conturi nr.2 din 24.01.2020 „Cu privire la Cadrul Declarațiilor Profesionale ale INTOSAI”.</w:t>
      </w:r>
    </w:p>
  </w:footnote>
  <w:footnote w:id="20">
    <w:p w14:paraId="2723DEB8" w14:textId="77777777"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sz w:val="16"/>
          <w:szCs w:val="16"/>
          <w:lang w:val="ro-MD"/>
        </w:rPr>
        <w:t xml:space="preserve">Hotărârea Curții de Conturi nr.19 din 05.04.2019 „Cu privire la aprobarea Codului etic al Curții de Conturi”. </w:t>
      </w:r>
    </w:p>
  </w:footnote>
  <w:footnote w:id="21">
    <w:p w14:paraId="381B31F9" w14:textId="2F487718" w:rsidR="00F14EEC" w:rsidRPr="00F14EEC" w:rsidRDefault="00F14EEC" w:rsidP="00EF4BC3">
      <w:pPr>
        <w:spacing w:after="0" w:line="240" w:lineRule="auto"/>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Art.31 alin.(4) din Legea nr. 181/2014; art. 33 lit. d) din Legea nr. 397/2003.</w:t>
      </w:r>
    </w:p>
  </w:footnote>
  <w:footnote w:id="22">
    <w:p w14:paraId="0658FC78" w14:textId="5389AE02"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Anexa nr. 1 la Ordinul ministrului finanțelor nr.172 din 20.12.2019 „Cu privire la modul de achitare și evidență a plăților la bugetul public național prin sistemul trezorerial al Ministerului Finanțelor în anul 2020”.</w:t>
      </w:r>
    </w:p>
  </w:footnote>
  <w:footnote w:id="23">
    <w:p w14:paraId="1EDA475C" w14:textId="77777777" w:rsidR="00F14EEC" w:rsidRPr="00F14EEC" w:rsidRDefault="00F14EEC" w:rsidP="00EF4BC3">
      <w:pPr>
        <w:pStyle w:val="FootnoteText"/>
        <w:ind w:right="-1"/>
        <w:jc w:val="both"/>
        <w:rPr>
          <w:rFonts w:asciiTheme="majorHAnsi" w:hAnsiTheme="majorHAnsi" w:cstheme="majorHAnsi"/>
          <w:bCs/>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bCs/>
          <w:sz w:val="16"/>
          <w:szCs w:val="16"/>
          <w:lang w:val="ro-MD"/>
        </w:rPr>
        <w:t>Regulamentul-tip privind serviciul de colectare a impozitelor și taxelor locale din cadrul primăriei, aprobat prin HG  nr.</w:t>
      </w:r>
      <w:r w:rsidRPr="00F14EEC">
        <w:rPr>
          <w:rFonts w:asciiTheme="majorHAnsi" w:hAnsiTheme="majorHAnsi" w:cstheme="majorHAnsi"/>
          <w:sz w:val="16"/>
          <w:szCs w:val="16"/>
          <w:lang w:val="ro-MD"/>
        </w:rPr>
        <w:t xml:space="preserve">998 din 20.08.2003. </w:t>
      </w:r>
    </w:p>
  </w:footnote>
  <w:footnote w:id="24">
    <w:p w14:paraId="36F05E01" w14:textId="77777777"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 298 alin.(3) din Titlul VII al Codului fiscal.</w:t>
      </w:r>
    </w:p>
  </w:footnote>
  <w:footnote w:id="25">
    <w:p w14:paraId="3E530E13" w14:textId="6D51D1A4"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COD ECO: </w:t>
      </w:r>
      <w:r w:rsidRPr="00F14EEC">
        <w:rPr>
          <w:rFonts w:asciiTheme="majorHAnsi" w:hAnsiTheme="majorHAnsi" w:cstheme="majorHAnsi"/>
          <w:b/>
          <w:bCs/>
          <w:sz w:val="16"/>
          <w:szCs w:val="16"/>
          <w:lang w:val="ro-MD"/>
        </w:rPr>
        <w:t>113312</w:t>
      </w:r>
      <w:r w:rsidRPr="00F14EEC">
        <w:rPr>
          <w:rFonts w:asciiTheme="majorHAnsi" w:hAnsiTheme="majorHAnsi" w:cstheme="majorHAnsi"/>
          <w:sz w:val="16"/>
          <w:szCs w:val="16"/>
          <w:lang w:val="ro-MD"/>
        </w:rPr>
        <w:t xml:space="preserve"> „Impozit privat încasat în bugetul local de nivelul II”; </w:t>
      </w:r>
      <w:r w:rsidRPr="00F14EEC">
        <w:rPr>
          <w:rFonts w:asciiTheme="majorHAnsi" w:hAnsiTheme="majorHAnsi" w:cstheme="majorHAnsi"/>
          <w:b/>
          <w:bCs/>
          <w:sz w:val="16"/>
          <w:szCs w:val="16"/>
          <w:lang w:val="ro-MD"/>
        </w:rPr>
        <w:t>114417</w:t>
      </w:r>
      <w:r w:rsidRPr="00F14EEC">
        <w:rPr>
          <w:rFonts w:asciiTheme="majorHAnsi" w:hAnsiTheme="majorHAnsi" w:cstheme="majorHAnsi"/>
          <w:sz w:val="16"/>
          <w:szCs w:val="16"/>
          <w:lang w:val="ro-MD"/>
        </w:rPr>
        <w:t xml:space="preserve"> „Taxa pentru parcaj”; </w:t>
      </w:r>
      <w:r w:rsidRPr="00F14EEC">
        <w:rPr>
          <w:rFonts w:asciiTheme="majorHAnsi" w:hAnsiTheme="majorHAnsi" w:cstheme="majorHAnsi"/>
          <w:b/>
          <w:bCs/>
          <w:sz w:val="16"/>
          <w:szCs w:val="16"/>
          <w:lang w:val="ro-MD"/>
        </w:rPr>
        <w:t>114522</w:t>
      </w:r>
      <w:r w:rsidRPr="00F14EEC">
        <w:rPr>
          <w:rFonts w:asciiTheme="majorHAnsi" w:hAnsiTheme="majorHAnsi" w:cstheme="majorHAnsi"/>
          <w:sz w:val="16"/>
          <w:szCs w:val="16"/>
          <w:lang w:val="ro-MD"/>
        </w:rPr>
        <w:t xml:space="preserve"> „Taxa pentru patenta de întreprinzător”;</w:t>
      </w:r>
      <w:r w:rsidRPr="00F14EEC">
        <w:rPr>
          <w:rFonts w:asciiTheme="majorHAnsi" w:hAnsiTheme="majorHAnsi" w:cstheme="majorHAnsi"/>
          <w:color w:val="000000"/>
          <w:sz w:val="16"/>
          <w:szCs w:val="16"/>
          <w:lang w:val="ro-MD"/>
        </w:rPr>
        <w:t xml:space="preserve"> </w:t>
      </w:r>
      <w:r w:rsidRPr="00F14EEC">
        <w:rPr>
          <w:rFonts w:asciiTheme="majorHAnsi" w:eastAsia="Times New Roman" w:hAnsiTheme="majorHAnsi" w:cstheme="majorHAnsi"/>
          <w:b/>
          <w:bCs/>
          <w:color w:val="000000"/>
          <w:sz w:val="16"/>
          <w:szCs w:val="16"/>
          <w:lang w:val="ro-MD"/>
        </w:rPr>
        <w:t>141532</w:t>
      </w:r>
      <w:r w:rsidRPr="00F14EEC">
        <w:rPr>
          <w:rFonts w:asciiTheme="majorHAnsi" w:eastAsia="Times New Roman" w:hAnsiTheme="majorHAnsi" w:cstheme="majorHAnsi"/>
          <w:color w:val="000000"/>
          <w:sz w:val="16"/>
          <w:szCs w:val="16"/>
          <w:lang w:val="ro-MD"/>
        </w:rPr>
        <w:t xml:space="preserve"> „Arenda terenurilor cu altă destinație decât cea agricolă încasată în bugetul local de nivelul II”; </w:t>
      </w:r>
      <w:r w:rsidRPr="00F14EEC">
        <w:rPr>
          <w:rFonts w:asciiTheme="majorHAnsi" w:eastAsia="Times New Roman" w:hAnsiTheme="majorHAnsi" w:cstheme="majorHAnsi"/>
          <w:b/>
          <w:bCs/>
          <w:color w:val="000000"/>
          <w:sz w:val="16"/>
          <w:szCs w:val="16"/>
          <w:lang w:val="ro-MD"/>
        </w:rPr>
        <w:t>142214</w:t>
      </w:r>
      <w:r w:rsidRPr="00F14EEC">
        <w:rPr>
          <w:rFonts w:asciiTheme="majorHAnsi" w:eastAsia="Times New Roman" w:hAnsiTheme="majorHAnsi" w:cstheme="majorHAnsi"/>
          <w:color w:val="000000"/>
          <w:sz w:val="16"/>
          <w:szCs w:val="16"/>
          <w:lang w:val="ro-MD"/>
        </w:rPr>
        <w:t xml:space="preserve"> „</w:t>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color w:val="000000"/>
          <w:sz w:val="16"/>
          <w:szCs w:val="16"/>
          <w:lang w:val="ro-MD"/>
        </w:rPr>
        <w:t>Plata pentru certificatele de urbanism și autorizările de construire sau desființare încasată în bugetul local de nivelul II”;</w:t>
      </w:r>
      <w:r w:rsidRPr="00F14EEC">
        <w:rPr>
          <w:rFonts w:asciiTheme="majorHAnsi" w:hAnsiTheme="majorHAnsi" w:cstheme="majorHAnsi"/>
          <w:color w:val="000000"/>
          <w:sz w:val="16"/>
          <w:szCs w:val="16"/>
          <w:lang w:val="ro-MD"/>
        </w:rPr>
        <w:t xml:space="preserve"> </w:t>
      </w:r>
      <w:r w:rsidRPr="00F14EEC">
        <w:rPr>
          <w:rFonts w:asciiTheme="majorHAnsi" w:eastAsia="Times New Roman" w:hAnsiTheme="majorHAnsi" w:cstheme="majorHAnsi"/>
          <w:b/>
          <w:bCs/>
          <w:color w:val="000000"/>
          <w:sz w:val="16"/>
          <w:szCs w:val="16"/>
          <w:lang w:val="ro-MD"/>
        </w:rPr>
        <w:t>142216</w:t>
      </w:r>
      <w:r w:rsidRPr="00F14EEC">
        <w:rPr>
          <w:rFonts w:asciiTheme="majorHAnsi" w:eastAsia="Times New Roman" w:hAnsiTheme="majorHAnsi" w:cstheme="majorHAnsi"/>
          <w:color w:val="000000"/>
          <w:sz w:val="16"/>
          <w:szCs w:val="16"/>
          <w:lang w:val="ro-MD"/>
        </w:rPr>
        <w:t xml:space="preserve"> „Taxa de la posesorii de câini”; </w:t>
      </w:r>
      <w:r w:rsidRPr="00F14EEC">
        <w:rPr>
          <w:rFonts w:asciiTheme="majorHAnsi" w:eastAsia="Times New Roman" w:hAnsiTheme="majorHAnsi" w:cstheme="majorHAnsi"/>
          <w:b/>
          <w:bCs/>
          <w:color w:val="000000"/>
          <w:sz w:val="16"/>
          <w:szCs w:val="16"/>
          <w:lang w:val="ro-MD"/>
        </w:rPr>
        <w:t>142251</w:t>
      </w:r>
      <w:r w:rsidRPr="00F14EEC">
        <w:rPr>
          <w:rFonts w:asciiTheme="majorHAnsi" w:eastAsia="Times New Roman" w:hAnsiTheme="majorHAnsi" w:cstheme="majorHAnsi"/>
          <w:color w:val="000000"/>
          <w:sz w:val="16"/>
          <w:szCs w:val="16"/>
          <w:lang w:val="ro-MD"/>
        </w:rPr>
        <w:t xml:space="preserve"> „Plata pentru locațiunea patrimoniului public încasată în bugetul local de nivelul II”;</w:t>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b/>
          <w:bCs/>
          <w:color w:val="000000"/>
          <w:sz w:val="16"/>
          <w:szCs w:val="16"/>
          <w:lang w:val="ro-MD"/>
        </w:rPr>
        <w:t>143120</w:t>
      </w:r>
      <w:r w:rsidRPr="00F14EEC">
        <w:rPr>
          <w:rFonts w:asciiTheme="majorHAnsi" w:eastAsia="Times New Roman" w:hAnsiTheme="majorHAnsi" w:cstheme="majorHAnsi"/>
          <w:color w:val="000000"/>
          <w:sz w:val="16"/>
          <w:szCs w:val="16"/>
          <w:lang w:val="ro-MD"/>
        </w:rPr>
        <w:t xml:space="preserve"> „Amenzi și sancțiuni contravenționale încasate în bugetul local de nivelul II”; </w:t>
      </w:r>
      <w:r w:rsidRPr="00F14EEC">
        <w:rPr>
          <w:rFonts w:asciiTheme="majorHAnsi" w:eastAsia="Times New Roman" w:hAnsiTheme="majorHAnsi" w:cstheme="majorHAnsi"/>
          <w:b/>
          <w:bCs/>
          <w:color w:val="000000"/>
          <w:sz w:val="16"/>
          <w:szCs w:val="16"/>
          <w:lang w:val="ro-MD"/>
        </w:rPr>
        <w:t xml:space="preserve">145111 </w:t>
      </w:r>
      <w:r w:rsidRPr="00F14EEC">
        <w:rPr>
          <w:rFonts w:asciiTheme="majorHAnsi" w:eastAsia="Times New Roman" w:hAnsiTheme="majorHAnsi" w:cstheme="majorHAnsi"/>
          <w:color w:val="000000"/>
          <w:sz w:val="16"/>
          <w:szCs w:val="16"/>
          <w:lang w:val="ro-MD"/>
        </w:rPr>
        <w:t>„Alte venituri încasate în bugetul de stat”.</w:t>
      </w:r>
    </w:p>
  </w:footnote>
  <w:footnote w:id="26">
    <w:p w14:paraId="134FD435" w14:textId="3A5D8FCB"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Calibri" w:hAnsiTheme="majorHAnsi" w:cstheme="majorHAnsi"/>
          <w:sz w:val="16"/>
          <w:szCs w:val="16"/>
          <w:lang w:val="ro-MD"/>
        </w:rPr>
        <w:t xml:space="preserve">„Taxa de cumpărare a valutei străine de către persoanele fizice în casele de schimb valutar” </w:t>
      </w:r>
      <w:r w:rsidRPr="00F14EEC">
        <w:rPr>
          <w:rFonts w:asciiTheme="majorHAnsi" w:eastAsia="Calibri" w:hAnsiTheme="majorHAnsi" w:cstheme="majorHAnsi"/>
          <w:b/>
          <w:sz w:val="16"/>
          <w:szCs w:val="16"/>
          <w:lang w:val="ro-MD"/>
        </w:rPr>
        <w:t>(cod ECO 142245</w:t>
      </w:r>
      <w:r w:rsidRPr="00F14EEC">
        <w:rPr>
          <w:rFonts w:asciiTheme="majorHAnsi" w:eastAsia="Calibri" w:hAnsiTheme="majorHAnsi" w:cstheme="majorHAnsi"/>
          <w:sz w:val="16"/>
          <w:szCs w:val="16"/>
          <w:lang w:val="ro-MD"/>
        </w:rPr>
        <w:t xml:space="preserve">) -  în Forma FD-044 a fost calculată în mărime de 10791,1 mii lei; „Amenzi și sancțiuni contravenționale încasate în bugetul local de nivelul II” - în Forma FD-044 a fost calculată în mărime de 1699,15 mii lei,  pe când în Forma CC10CV lipsește calculul pentru aceste taxe și plăți. </w:t>
      </w:r>
    </w:p>
  </w:footnote>
  <w:footnote w:id="27">
    <w:p w14:paraId="788CBEE8" w14:textId="5F37A03A"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Impozitul pe venitul aferent operațiunilor de predare în posesie și/sau folosință a proprietății imobiliare </w:t>
      </w:r>
      <w:r w:rsidRPr="00F14EEC">
        <w:rPr>
          <w:rFonts w:asciiTheme="majorHAnsi" w:hAnsiTheme="majorHAnsi" w:cstheme="majorHAnsi"/>
          <w:b/>
          <w:sz w:val="16"/>
          <w:szCs w:val="16"/>
          <w:lang w:val="ro-MD"/>
        </w:rPr>
        <w:t>(cod ECO 111130)</w:t>
      </w:r>
      <w:r w:rsidRPr="00F14EEC">
        <w:rPr>
          <w:rFonts w:asciiTheme="majorHAnsi" w:hAnsiTheme="majorHAnsi" w:cstheme="majorHAnsi"/>
          <w:sz w:val="16"/>
          <w:szCs w:val="16"/>
          <w:lang w:val="ro-MD"/>
        </w:rPr>
        <w:t xml:space="preserve"> – în Rapoartele financiare ale UAT (Forma FD -044) și în Informația generată de SFS (Forma CC10CV) venituri executate sunt în sumă de 10256,4 mii lei, pe când calculate în Forma CC10CV – în sumă de 115,3 mii lei. </w:t>
      </w:r>
    </w:p>
  </w:footnote>
  <w:footnote w:id="28">
    <w:p w14:paraId="4A84B953" w14:textId="26D822E5"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5 sectoare și 18 localități suburbane.</w:t>
      </w:r>
    </w:p>
  </w:footnote>
  <w:footnote w:id="29">
    <w:p w14:paraId="60C6867C" w14:textId="5B448FFB"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color w:val="000000"/>
          <w:sz w:val="16"/>
          <w:szCs w:val="16"/>
          <w:lang w:val="ro-MD"/>
        </w:rPr>
        <w:t xml:space="preserve">Din anul 2021 autoritățile publice locale utilizează noul sistem informațional specializat - Sistemul Informațional automatizat „Cadastrul fiscal 2.0” ( în continuare - </w:t>
      </w:r>
      <w:r w:rsidRPr="00F14EEC">
        <w:rPr>
          <w:rFonts w:asciiTheme="majorHAnsi" w:eastAsia="Calibri" w:hAnsiTheme="majorHAnsi" w:cstheme="majorHAnsi"/>
          <w:sz w:val="16"/>
          <w:szCs w:val="16"/>
          <w:lang w:val="ro-MD"/>
        </w:rPr>
        <w:t>SIA „Cadastrul fiscal 2.0”</w:t>
      </w:r>
      <w:r w:rsidRPr="00F14EEC">
        <w:rPr>
          <w:rFonts w:asciiTheme="majorHAnsi" w:eastAsia="Times New Roman" w:hAnsiTheme="majorHAnsi" w:cstheme="majorHAnsi"/>
          <w:color w:val="000000"/>
          <w:sz w:val="16"/>
          <w:szCs w:val="16"/>
          <w:lang w:val="ro-MD"/>
        </w:rPr>
        <w:t xml:space="preserve">), </w:t>
      </w:r>
      <w:r w:rsidRPr="00F14EEC">
        <w:rPr>
          <w:rFonts w:asciiTheme="majorHAnsi" w:eastAsia="Calibri" w:hAnsiTheme="majorHAnsi" w:cstheme="majorHAnsi"/>
          <w:sz w:val="16"/>
          <w:szCs w:val="16"/>
          <w:lang w:val="ro-MD"/>
        </w:rPr>
        <w:t>care asigură recepționarea, stocarea, calcularea impozitelor și a penalităților, generarea avizelor, raportarea și monitorizarea procesului de impozitare a bunurilor imobile din Republica Moldova.</w:t>
      </w:r>
    </w:p>
  </w:footnote>
  <w:footnote w:id="30">
    <w:p w14:paraId="3B221B03" w14:textId="07C98A5B"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Calibri" w:hAnsiTheme="majorHAnsi" w:cstheme="majorHAnsi"/>
          <w:sz w:val="16"/>
          <w:szCs w:val="16"/>
          <w:lang w:val="ro-MD"/>
        </w:rPr>
        <w:t xml:space="preserve">DCITL  a identificat 27 de cazuri în care în SIA „Cadastrul fiscal 2.0” nu au fost actualizați proprietarii noi înregistrați, deși tranzacțiile au avut loc pe parcursul anilor 2020-2021. Despre această situație PMC a anunțat ASP și SFS, prin Scrisoarea nr.04-118/637 din 17.06.2022. De asemenea, DCITL, în respectiva scrisoare, a menționat și faptul că </w:t>
      </w:r>
      <w:r w:rsidRPr="00F14EEC">
        <w:rPr>
          <w:rFonts w:asciiTheme="majorHAnsi" w:eastAsia="Calibri" w:hAnsiTheme="majorHAnsi" w:cstheme="majorHAnsi"/>
          <w:i/>
          <w:iCs/>
          <w:sz w:val="16"/>
          <w:szCs w:val="16"/>
          <w:lang w:val="ro-MD"/>
        </w:rPr>
        <w:t xml:space="preserve">în SIA „Cadastrul fiscal 2.0” sunt incluse informații eronate privind destinația bunurilor imobile; </w:t>
      </w:r>
      <w:r w:rsidRPr="00F14EEC">
        <w:rPr>
          <w:rFonts w:asciiTheme="majorHAnsi" w:eastAsia="Calibri" w:hAnsiTheme="majorHAnsi" w:cstheme="majorHAnsi"/>
          <w:sz w:val="16"/>
          <w:szCs w:val="16"/>
          <w:lang w:val="ro-MD"/>
        </w:rPr>
        <w:t>obiectul 0100307.226 are destinația ca construcții, însă potrivit datelor din sistem, acest obiect este înregistrat ca teren cu destinație comercială.</w:t>
      </w:r>
    </w:p>
  </w:footnote>
  <w:footnote w:id="31">
    <w:p w14:paraId="2673255F" w14:textId="4161E7B3"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Calibri" w:hAnsiTheme="majorHAnsi" w:cstheme="majorHAnsi"/>
          <w:b/>
          <w:bCs/>
          <w:i/>
          <w:iCs/>
          <w:sz w:val="16"/>
          <w:szCs w:val="16"/>
          <w:lang w:val="ro-MD"/>
        </w:rPr>
        <w:t>De exemplu</w:t>
      </w:r>
      <w:r w:rsidRPr="00F14EEC">
        <w:rPr>
          <w:rFonts w:asciiTheme="majorHAnsi" w:eastAsia="Calibri" w:hAnsiTheme="majorHAnsi" w:cstheme="majorHAnsi"/>
          <w:sz w:val="16"/>
          <w:szCs w:val="16"/>
          <w:lang w:val="ro-MD"/>
        </w:rPr>
        <w:t xml:space="preserve">: Pentru cetățeanul C.T., care are bunuri imobile în 3 sectoare din mun. Chișinău (Centru, </w:t>
      </w:r>
      <w:r w:rsidRPr="00F14EEC">
        <w:rPr>
          <w:rFonts w:asciiTheme="majorHAnsi" w:eastAsia="Calibri" w:hAnsiTheme="majorHAnsi" w:cstheme="majorHAnsi"/>
          <w:sz w:val="16"/>
          <w:szCs w:val="16"/>
          <w:shd w:val="clear" w:color="auto" w:fill="FFFFFF"/>
          <w:lang w:val="ro-MD"/>
        </w:rPr>
        <w:t>Ciocana, Buiucani),</w:t>
      </w:r>
      <w:r w:rsidRPr="00F14EEC">
        <w:rPr>
          <w:rFonts w:asciiTheme="majorHAnsi" w:eastAsia="Calibri" w:hAnsiTheme="majorHAnsi" w:cstheme="majorHAnsi"/>
          <w:sz w:val="16"/>
          <w:szCs w:val="16"/>
          <w:lang w:val="ro-MD"/>
        </w:rPr>
        <w:t xml:space="preserve"> valoarea restanței la toate bunurile imobile constituie 65326.84 lei și este indicată pentru fiecare sector. Ca urmare, valoarea restanței este majorată de 3 ori.</w:t>
      </w:r>
    </w:p>
  </w:footnote>
  <w:footnote w:id="32">
    <w:p w14:paraId="2A6D7AD7" w14:textId="47366D4E"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b/>
          <w:i/>
          <w:sz w:val="16"/>
          <w:szCs w:val="16"/>
          <w:lang w:val="ro-MD"/>
        </w:rPr>
        <w:t>De exemplu:</w:t>
      </w:r>
      <w:r w:rsidRPr="00F14EEC">
        <w:rPr>
          <w:rFonts w:asciiTheme="majorHAnsi" w:hAnsiTheme="majorHAnsi" w:cstheme="majorHAnsi"/>
          <w:sz w:val="16"/>
          <w:szCs w:val="16"/>
          <w:lang w:val="ro-MD"/>
        </w:rPr>
        <w:t xml:space="preserve">  </w:t>
      </w:r>
      <w:r w:rsidRPr="00F14EEC">
        <w:rPr>
          <w:rFonts w:asciiTheme="majorHAnsi" w:eastAsia="Calibri" w:hAnsiTheme="majorHAnsi" w:cstheme="majorHAnsi"/>
          <w:sz w:val="16"/>
          <w:szCs w:val="16"/>
          <w:lang w:val="ro-MD"/>
        </w:rPr>
        <w:t>APLP nr.54/183, în perioada anilor 2018-2021, nu a prezentat nicio dare de seamă privind calcularea impozitului funciar, pe când APLP nr. 54/41 a prezentat în fiecare an darea de seamă respectivă, ca ulterior să le redistribuie pe proprietarii apartamentelor. Astfel, unele APLP redistribuie achitarea impozitului funciar pe proprietarii apartamentelor, iar pentru alte APLP – informațiile lipsesc.</w:t>
      </w:r>
    </w:p>
  </w:footnote>
  <w:footnote w:id="33">
    <w:p w14:paraId="0A21F7CB" w14:textId="77777777" w:rsidR="00F14EEC" w:rsidRPr="00F14EEC" w:rsidRDefault="00F14EEC" w:rsidP="003841C5">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Art.278 alin.(1) din Codul fiscal, aprobat prin Legea nr.1163 din 24.04.1997.</w:t>
      </w:r>
    </w:p>
  </w:footnote>
  <w:footnote w:id="34">
    <w:p w14:paraId="450E4EF7" w14:textId="2E66D662"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baza</w:t>
      </w:r>
      <w:r w:rsidRPr="00F14EEC">
        <w:rPr>
          <w:rFonts w:asciiTheme="majorHAnsi" w:hAnsiTheme="majorHAnsi" w:cstheme="majorHAnsi"/>
          <w:b/>
          <w:sz w:val="16"/>
          <w:szCs w:val="16"/>
          <w:lang w:val="ro-MD"/>
        </w:rPr>
        <w:t xml:space="preserve"> Deciziei nr.6/9 din 21.05.2020</w:t>
      </w:r>
      <w:r w:rsidRPr="00F14EEC">
        <w:rPr>
          <w:rFonts w:asciiTheme="majorHAnsi" w:hAnsiTheme="majorHAnsi" w:cstheme="majorHAnsi"/>
          <w:sz w:val="16"/>
          <w:szCs w:val="16"/>
          <w:lang w:val="ro-MD"/>
        </w:rPr>
        <w:t>, pentru perioada 01.03.2020-01.06.2020, a fost aplicată taxa „0” pentru următoarele taxe locale: 114411 „Taxa de piață”; 114412 „Taxa pentru amenajarea teritoriului”; 114421 „Taxa pentru cazare”;114413 „Taxa pentru prestarea serviciilor de transport auto de călători pe teritoriul municipiilor, orașelor si satelor (comunelor) ”; 114415 „Taxa pentru dispozitivele publicitare” (selectiv – subiecții impunerii care au plasat imagini cu campania socială de prevenire COVID-19).</w:t>
      </w:r>
    </w:p>
  </w:footnote>
  <w:footnote w:id="35">
    <w:p w14:paraId="50F830CC" w14:textId="53DB54AF"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b/>
          <w:sz w:val="16"/>
          <w:szCs w:val="16"/>
          <w:lang w:val="ro-MD"/>
        </w:rPr>
        <w:t>114411</w:t>
      </w:r>
      <w:r w:rsidRPr="00F14EEC">
        <w:rPr>
          <w:rFonts w:asciiTheme="majorHAnsi" w:hAnsiTheme="majorHAnsi" w:cstheme="majorHAnsi"/>
          <w:sz w:val="16"/>
          <w:szCs w:val="16"/>
          <w:lang w:val="ro-MD"/>
        </w:rPr>
        <w:t xml:space="preserve"> „Taxa de piață”; </w:t>
      </w:r>
      <w:r w:rsidRPr="00F14EEC">
        <w:rPr>
          <w:rFonts w:asciiTheme="majorHAnsi" w:hAnsiTheme="majorHAnsi" w:cstheme="majorHAnsi"/>
          <w:b/>
          <w:sz w:val="16"/>
          <w:szCs w:val="16"/>
          <w:lang w:val="ro-MD"/>
        </w:rPr>
        <w:t>114415</w:t>
      </w:r>
      <w:r w:rsidRPr="00F14EEC">
        <w:rPr>
          <w:rFonts w:asciiTheme="majorHAnsi" w:hAnsiTheme="majorHAnsi" w:cstheme="majorHAnsi"/>
          <w:sz w:val="16"/>
          <w:szCs w:val="16"/>
          <w:lang w:val="ro-MD"/>
        </w:rPr>
        <w:t xml:space="preserve"> „Taxa pentru dispozitivele publicitare”; </w:t>
      </w:r>
      <w:r w:rsidRPr="00F14EEC">
        <w:rPr>
          <w:rFonts w:asciiTheme="majorHAnsi" w:hAnsiTheme="majorHAnsi" w:cstheme="majorHAnsi"/>
          <w:b/>
          <w:sz w:val="16"/>
          <w:szCs w:val="16"/>
          <w:lang w:val="ro-MD"/>
        </w:rPr>
        <w:t>114418</w:t>
      </w:r>
      <w:r w:rsidRPr="00F14EEC">
        <w:rPr>
          <w:rFonts w:asciiTheme="majorHAnsi" w:hAnsiTheme="majorHAnsi" w:cstheme="majorHAnsi"/>
          <w:sz w:val="16"/>
          <w:szCs w:val="16"/>
          <w:lang w:val="ro-MD"/>
        </w:rPr>
        <w:t xml:space="preserve"> „Taxa pentru unitățile comerciale și/sau de prestări servicii”.</w:t>
      </w:r>
    </w:p>
  </w:footnote>
  <w:footnote w:id="36">
    <w:p w14:paraId="5C74DE7F" w14:textId="205F7302"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b/>
          <w:sz w:val="16"/>
          <w:szCs w:val="16"/>
          <w:lang w:val="ro-MD"/>
        </w:rPr>
        <w:t>114411</w:t>
      </w:r>
      <w:r w:rsidRPr="00F14EEC">
        <w:rPr>
          <w:rFonts w:asciiTheme="majorHAnsi" w:hAnsiTheme="majorHAnsi" w:cstheme="majorHAnsi"/>
          <w:sz w:val="16"/>
          <w:szCs w:val="16"/>
          <w:lang w:val="ro-MD"/>
        </w:rPr>
        <w:t xml:space="preserve"> „Taxa de piață” – cu 2731,0 mii lei; </w:t>
      </w:r>
      <w:r w:rsidRPr="00F14EEC">
        <w:rPr>
          <w:rFonts w:asciiTheme="majorHAnsi" w:hAnsiTheme="majorHAnsi" w:cstheme="majorHAnsi"/>
          <w:b/>
          <w:sz w:val="16"/>
          <w:szCs w:val="16"/>
          <w:lang w:val="ro-MD"/>
        </w:rPr>
        <w:t>114415</w:t>
      </w:r>
      <w:r w:rsidRPr="00F14EEC">
        <w:rPr>
          <w:rFonts w:asciiTheme="majorHAnsi" w:hAnsiTheme="majorHAnsi" w:cstheme="majorHAnsi"/>
          <w:sz w:val="16"/>
          <w:szCs w:val="16"/>
          <w:lang w:val="ro-MD"/>
        </w:rPr>
        <w:t xml:space="preserve"> „Taxa pentru dispozitivele publicitare” – cu 2794,0 mii lei; </w:t>
      </w:r>
      <w:r w:rsidRPr="00F14EEC">
        <w:rPr>
          <w:rFonts w:asciiTheme="majorHAnsi" w:hAnsiTheme="majorHAnsi" w:cstheme="majorHAnsi"/>
          <w:b/>
          <w:sz w:val="16"/>
          <w:szCs w:val="16"/>
          <w:lang w:val="ro-MD"/>
        </w:rPr>
        <w:t>114418</w:t>
      </w:r>
      <w:r w:rsidRPr="00F14EEC">
        <w:rPr>
          <w:rFonts w:asciiTheme="majorHAnsi" w:hAnsiTheme="majorHAnsi" w:cstheme="majorHAnsi"/>
          <w:sz w:val="16"/>
          <w:szCs w:val="16"/>
          <w:lang w:val="ro-MD"/>
        </w:rPr>
        <w:t xml:space="preserve"> „Taxa pentru unitățile comerciale și/sau de prestări servicii” – cu 5487,3 mii lei.</w:t>
      </w:r>
    </w:p>
  </w:footnote>
  <w:footnote w:id="37">
    <w:p w14:paraId="0A88868E" w14:textId="3A3B45CB"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iCs/>
          <w:noProof/>
          <w:sz w:val="16"/>
          <w:szCs w:val="16"/>
          <w:lang w:val="ro-MD" w:eastAsia="ru-RU"/>
        </w:rPr>
        <w:t>Cum ar fi: SFS, BNS, informația prezentată de către instituțiile din subordine și cea solicitată de la agenții economici, etc.</w:t>
      </w:r>
    </w:p>
  </w:footnote>
  <w:footnote w:id="38">
    <w:p w14:paraId="329EB5F3" w14:textId="77777777"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22303,5 m2 x 40 lei/an = 892140 lei.</w:t>
      </w:r>
    </w:p>
  </w:footnote>
  <w:footnote w:id="39">
    <w:p w14:paraId="0DB7063E" w14:textId="32DBA1BE"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Planificarea veniturilor din taxa pentru prestarea </w:t>
      </w:r>
      <w:r w:rsidRPr="00F14EEC">
        <w:rPr>
          <w:rFonts w:asciiTheme="majorHAnsi" w:eastAsia="Times New Roman" w:hAnsiTheme="majorHAnsi" w:cstheme="majorHAnsi"/>
          <w:sz w:val="16"/>
          <w:szCs w:val="16"/>
          <w:lang w:val="ro-MD"/>
        </w:rPr>
        <w:t>serviciilor de transport auto de călători pe teritoriul municipiului Chișinău</w:t>
      </w:r>
      <w:r w:rsidRPr="00F14EEC">
        <w:rPr>
          <w:rFonts w:asciiTheme="majorHAnsi" w:hAnsiTheme="majorHAnsi" w:cstheme="majorHAnsi"/>
          <w:sz w:val="16"/>
          <w:szCs w:val="16"/>
          <w:lang w:val="ro-MD"/>
        </w:rPr>
        <w:t xml:space="preserve"> se efectuează în baza Informației, solicitată de la Trezoreria de Stat, cu privire la veniturile încasate, care include denumirea agentului economic, suma încasată. </w:t>
      </w:r>
    </w:p>
  </w:footnote>
  <w:footnote w:id="40">
    <w:p w14:paraId="41773FA1" w14:textId="5387BF80"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Codul transporturilor rutiere, adoptat prin Legea nr.150 din 17.07.2014</w:t>
      </w:r>
    </w:p>
  </w:footnote>
  <w:footnote w:id="41">
    <w:p w14:paraId="16D0EBCB" w14:textId="62024135"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Hotărârea Curții de Conturi nr.11 din 11.04.2018 privind Raportul auditului conformității asociat auditului performanței „Managementul serviciilor publice de transport urban și impactul fiscal-bugetar al acestora”.</w:t>
      </w:r>
    </w:p>
  </w:footnote>
  <w:footnote w:id="42">
    <w:p w14:paraId="5BFB2CB9" w14:textId="03FD27DA"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17030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xml:space="preserve"> x18 lei/m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xml:space="preserve"> = 306540 lei; 306540 lei/an x 3 ani = 919620 lei.</w:t>
      </w:r>
    </w:p>
  </w:footnote>
  <w:footnote w:id="43">
    <w:p w14:paraId="74DF90AB" w14:textId="78ABB575" w:rsidR="00F14EEC" w:rsidRPr="00F14EEC" w:rsidRDefault="00F14EEC" w:rsidP="00993692">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Raportul auditului executării bugetului municipiului Chișinău pe anul 2009, aprobat prin Hotărârea Curții de Conturi nr.52 din 05.07.2010.</w:t>
      </w:r>
    </w:p>
  </w:footnote>
  <w:footnote w:id="44">
    <w:p w14:paraId="3FBDF904" w14:textId="19CA620D" w:rsidR="00F14EEC" w:rsidRPr="00F14EEC" w:rsidRDefault="00F14EEC" w:rsidP="00993692">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118118,37 lei/0,2 lei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/12 luni =49216,0 m</w:t>
      </w:r>
      <w:r w:rsidRPr="00F14EEC">
        <w:rPr>
          <w:rFonts w:asciiTheme="majorHAnsi" w:hAnsiTheme="majorHAnsi" w:cstheme="majorHAnsi"/>
          <w:sz w:val="16"/>
          <w:szCs w:val="16"/>
          <w:vertAlign w:val="superscript"/>
          <w:lang w:val="ro-MD"/>
        </w:rPr>
        <w:t xml:space="preserve">2     </w:t>
      </w:r>
    </w:p>
  </w:footnote>
  <w:footnote w:id="45">
    <w:p w14:paraId="7606E2E5" w14:textId="2BDD62EE" w:rsidR="00F14EEC" w:rsidRPr="00F14EEC" w:rsidRDefault="00F14EEC" w:rsidP="00993692">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Decizia CR Briceni nr.2/1 din 13.04.2016 „Cu privire la aprobarea cuantumului chiriei lunare pentru locuința socială”.</w:t>
      </w:r>
    </w:p>
  </w:footnote>
  <w:footnote w:id="46">
    <w:p w14:paraId="15A2B0B1" w14:textId="1566F923" w:rsidR="00F14EEC" w:rsidRPr="00F14EEC" w:rsidRDefault="00F14EEC" w:rsidP="00D46BB2">
      <w:pPr>
        <w:spacing w:after="0" w:line="240" w:lineRule="auto"/>
        <w:ind w:right="-1"/>
        <w:jc w:val="both"/>
        <w:rPr>
          <w:rFonts w:asciiTheme="majorHAnsi" w:hAnsiTheme="majorHAnsi" w:cstheme="majorHAnsi"/>
          <w:b/>
          <w:i/>
          <w:color w:val="FF0000"/>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i/>
          <w:sz w:val="16"/>
          <w:szCs w:val="16"/>
          <w:lang w:val="ro-MD"/>
        </w:rPr>
        <w:t>Ca exemplu:</w:t>
      </w:r>
      <w:r w:rsidRPr="00F14EEC">
        <w:rPr>
          <w:rFonts w:asciiTheme="majorHAnsi" w:hAnsiTheme="majorHAnsi" w:cstheme="majorHAnsi"/>
          <w:b/>
          <w:i/>
          <w:sz w:val="16"/>
          <w:szCs w:val="16"/>
          <w:lang w:val="ro-MD"/>
        </w:rPr>
        <w:t xml:space="preserve"> </w:t>
      </w:r>
      <w:r w:rsidRPr="00F14EEC">
        <w:rPr>
          <w:rFonts w:asciiTheme="majorHAnsi" w:hAnsiTheme="majorHAnsi" w:cstheme="majorHAnsi"/>
          <w:sz w:val="16"/>
          <w:szCs w:val="16"/>
          <w:lang w:val="ro-MD"/>
        </w:rPr>
        <w:t>Nomenclatorul serviciilor și cuantumul tarifelor pentru serviciile prestate de către DGTPCC au fost aprobate</w:t>
      </w:r>
      <w:r w:rsidRPr="00F14EEC">
        <w:rPr>
          <w:rFonts w:asciiTheme="majorHAnsi" w:hAnsiTheme="majorHAnsi" w:cstheme="majorHAnsi"/>
          <w:b/>
          <w:i/>
          <w:sz w:val="16"/>
          <w:szCs w:val="16"/>
          <w:lang w:val="ro-MD"/>
        </w:rPr>
        <w:t xml:space="preserve"> </w:t>
      </w:r>
      <w:r w:rsidRPr="00F14EEC">
        <w:rPr>
          <w:rFonts w:asciiTheme="majorHAnsi" w:hAnsiTheme="majorHAnsi" w:cstheme="majorHAnsi"/>
          <w:sz w:val="16"/>
          <w:szCs w:val="16"/>
          <w:lang w:val="ro-MD"/>
        </w:rPr>
        <w:t xml:space="preserve"> la 8 tipuri de servicii prestate, cuantumul cărora a fost stabilit încă în anul 2003 în baza Deciziei CMC nr.2/16 din 20.02.2003. Taxa pentru eliberarea a 3 tipuri de autorizații a fost stabilită în baza Deciziei CMC nr.67/6 din 15.03.2007; pentru alte 2 tipuri de servicii – în baza Deciziei CMC nr.2/9 din 31.03.2011. Tarifele pentru serviciile prestate de către DGLCA au fost stabilite în baza Deciziei CMC nr.5/32 din 18.05.2010</w:t>
      </w: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De menționat că Nomenclatorul serviciilor și cuantumul tarifelor stabilite au rămas neschimbate și pentru anul 2022.</w:t>
      </w:r>
    </w:p>
  </w:footnote>
  <w:footnote w:id="47">
    <w:p w14:paraId="75CFA1F7" w14:textId="2155AF3B"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Recomandarea nr. 2.4. din Hotărârea Curții de Conturi nr.50 din 23.07.2018 „Cu privire la Raportul auditului situațiilor financiare aferente procesului bugetar și gestionării patrimoniului public de către Unitatea Teritorială Autonomă Găgăuzia pe anii 2016-2017”.</w:t>
      </w:r>
    </w:p>
  </w:footnote>
  <w:footnote w:id="48">
    <w:p w14:paraId="14357149" w14:textId="388484D3" w:rsidR="00F14EEC" w:rsidRPr="00F14EEC" w:rsidRDefault="00F14EEC">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Alocate în baza Legii fondului rutier; calculate în funcție de numărul de kilometri administrați de drumuri publice transmise APL de nivelul II, potrivit Anexei nr.2 la Hotărârea Guvernului nr.1468/2016.</w:t>
      </w:r>
    </w:p>
  </w:footnote>
  <w:footnote w:id="49">
    <w:p w14:paraId="3E99EC99" w14:textId="04204A51" w:rsidR="00F14EEC" w:rsidRPr="00F14EEC" w:rsidRDefault="00F14EEC" w:rsidP="00D02BF7">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 1 alin. (1), alin.(2) și alin.(2</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din Legea fondului rutier nr.720/1996.</w:t>
      </w:r>
    </w:p>
  </w:footnote>
  <w:footnote w:id="50">
    <w:p w14:paraId="036C89F7" w14:textId="0F3BE6ED" w:rsidR="00F14EEC" w:rsidRPr="00F14EEC" w:rsidRDefault="00F14EEC" w:rsidP="00B22831">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anul 2018 – 14014,0 mii lei; în anul 2019 – 4130,7 mii lei, și în anul 2020 – 16357,8 mii lei.</w:t>
      </w:r>
    </w:p>
  </w:footnote>
  <w:footnote w:id="51">
    <w:p w14:paraId="75F573A9" w14:textId="024B9F45" w:rsidR="00F14EEC" w:rsidRPr="00F14EEC" w:rsidRDefault="00F14EEC" w:rsidP="00B22831">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bCs/>
          <w:sz w:val="16"/>
          <w:szCs w:val="16"/>
          <w:lang w:val="ro-MD"/>
        </w:rPr>
        <w:t xml:space="preserve">Contractate </w:t>
      </w:r>
      <w:r w:rsidRPr="00F14EEC">
        <w:rPr>
          <w:rFonts w:asciiTheme="majorHAnsi" w:hAnsiTheme="majorHAnsi" w:cstheme="majorHAnsi"/>
          <w:bCs/>
          <w:iCs/>
          <w:sz w:val="16"/>
          <w:szCs w:val="16"/>
          <w:lang w:val="ro-MD"/>
        </w:rPr>
        <w:t xml:space="preserve">de la </w:t>
      </w:r>
      <w:r w:rsidRPr="00F14EEC">
        <w:rPr>
          <w:rFonts w:asciiTheme="majorHAnsi" w:hAnsiTheme="majorHAnsi" w:cstheme="majorHAnsi"/>
          <w:sz w:val="16"/>
          <w:szCs w:val="16"/>
          <w:lang w:val="ro-MD"/>
        </w:rPr>
        <w:t>FPC „Exfactor –Grup” SRL lucrări de reabilitare a utilităților (pachet II) din str. 31 August (obiect 3072), str. Tighina (obiect 3074), str. Alexandru cel Bun (obiect 3070).</w:t>
      </w:r>
    </w:p>
  </w:footnote>
  <w:footnote w:id="52">
    <w:p w14:paraId="786AE413" w14:textId="68BDB6D6" w:rsidR="00F14EEC" w:rsidRPr="00F14EEC" w:rsidRDefault="00F14EEC" w:rsidP="00B22831">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Reparația curentă a drumului din com. Țânțăreni, r-nul Anenii Noi.</w:t>
      </w:r>
    </w:p>
  </w:footnote>
  <w:footnote w:id="53">
    <w:p w14:paraId="5076D0BE" w14:textId="061653FC"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anul 2018 nu au fost valorificate TDS în sumă de 10653,1 mii lei; în anul 2019 – nu s-au valorificat 5047,1 mii lei; în anul 2020 – nu s-au valorificat 13506,4 mii lei.</w:t>
      </w:r>
    </w:p>
  </w:footnote>
  <w:footnote w:id="54">
    <w:p w14:paraId="4A06EE74" w14:textId="3AF82043"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Instrucțiunea ramurală privind clasificarea și definirea lucrărilor de reconstrucție, reparare și întreținere a drumurilor publice ale Republicii Moldova, finanțate din fondul rutier, aprobată prin </w:t>
      </w:r>
      <w:r w:rsidRPr="00F14EEC">
        <w:rPr>
          <w:rFonts w:asciiTheme="majorHAnsi" w:eastAsia="Calibri" w:hAnsiTheme="majorHAnsi" w:cstheme="majorHAnsi"/>
          <w:sz w:val="16"/>
          <w:szCs w:val="16"/>
          <w:lang w:val="ro-MD"/>
        </w:rPr>
        <w:t>Ordinul ministrului transporturilor și comunicațiilor nr.01/266 din 18.08.1999 (nepublicată).</w:t>
      </w:r>
    </w:p>
  </w:footnote>
  <w:footnote w:id="55">
    <w:p w14:paraId="269F7D4D" w14:textId="101CD80B"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ÎM Regia „ExDrupo” și ÎM REI „Lumteh”.</w:t>
      </w:r>
    </w:p>
  </w:footnote>
  <w:footnote w:id="56">
    <w:p w14:paraId="4F96C23F" w14:textId="5FB6E363"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ÎM Regia „ExDrupo - </w:t>
      </w:r>
      <w:r w:rsidRPr="00F14EEC">
        <w:rPr>
          <w:rFonts w:asciiTheme="majorHAnsi" w:hAnsiTheme="majorHAnsi" w:cstheme="majorHAnsi"/>
          <w:color w:val="000000" w:themeColor="text1"/>
          <w:sz w:val="16"/>
          <w:szCs w:val="16"/>
          <w:lang w:val="ro-MD"/>
        </w:rPr>
        <w:t xml:space="preserve">în anul 2018 – 41031,8 mii lei, în anul 2019 – 71479,1 mii lei, și în anul 2020 – 66423,4 mii lei; alți antreprenori - </w:t>
      </w:r>
      <w:r w:rsidRPr="00F14EEC">
        <w:rPr>
          <w:rFonts w:asciiTheme="majorHAnsi" w:hAnsiTheme="majorHAnsi" w:cstheme="majorHAnsi"/>
          <w:sz w:val="16"/>
          <w:szCs w:val="16"/>
          <w:lang w:val="ro-MD"/>
        </w:rPr>
        <w:t xml:space="preserve">16825,7 mii lei – în anul 2018, 4012,6 mii lei – în anul 2019, și 238,2 mii lei – în anul 2020.        </w:t>
      </w:r>
    </w:p>
  </w:footnote>
  <w:footnote w:id="57">
    <w:p w14:paraId="65A6CB78" w14:textId="063E3126"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ÎM REI „Lumteh” - în anul 2018  -  9777,6 mii lei, în anul 2019 – 2906,0 mii lei, și în anul 2020 – 10798,8 mii lei; alți antreprenori - 1391,1 mii lei – în anul 2018, 15082,7 mii lei – în anul 2019.</w:t>
      </w:r>
    </w:p>
  </w:footnote>
  <w:footnote w:id="58">
    <w:p w14:paraId="4AD8999A" w14:textId="235374D2"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Pasaje subterane de pietoni care au fost reparate: bd. Negruzzi 10/1; șos. Hîncești 143/1 - Gara de Sud; șos. Hîncești 178/1; str. Alecu Russo 2/1; bd. Gr. Vieru - bd. Renașterii Naționale, 10; bd.Dacia – Malldova; bd. Dacia – str.Teilor 18/1; bd.Dacia – Aeroport; str. I. Creangă 74/1; str. Alecu Russo 59/6.</w:t>
      </w:r>
    </w:p>
  </w:footnote>
  <w:footnote w:id="59">
    <w:p w14:paraId="72898F12" w14:textId="66D5E875"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NCM L01.03:2015 „Norme metodologice și clasificatorul lucrărilor de reparație a clădirilor și obiectelor din domeniul economiei naționale”.</w:t>
      </w:r>
    </w:p>
  </w:footnote>
  <w:footnote w:id="60">
    <w:p w14:paraId="2242957C" w14:textId="0D69B1D8"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Pasajul subteran din bd. Dacia - Spitalul nr. 1; pasajul subteran din bd. Negruzzi; pasajul subteran din bd. Dacia - Traian; pasajul subteran din bd. Dacia – str. Teilor.</w:t>
      </w:r>
    </w:p>
  </w:footnote>
  <w:footnote w:id="61">
    <w:p w14:paraId="6F6D77E8" w14:textId="1331008F"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Art.6 din Legea privind statutul municipiului Chișinău nr. 136 din 17.06.2016; art.14  din Legea nr.436 din 28.12.2006.</w:t>
      </w:r>
    </w:p>
  </w:footnote>
  <w:footnote w:id="62">
    <w:p w14:paraId="559DF285" w14:textId="41145BC3"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anul 2018: 556,06 t, în valoare de 370,3 mii lei; în anul 2019: 693,75 t, în valoare de 416,39 mii lei; în anul 2020: 421,64 t, în valoare de 361,86 mii lei.</w:t>
      </w:r>
    </w:p>
  </w:footnote>
  <w:footnote w:id="63">
    <w:p w14:paraId="276DC03E" w14:textId="583DDF85"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Calibri" w:hAnsiTheme="majorHAnsi" w:cstheme="majorHAnsi"/>
          <w:sz w:val="16"/>
          <w:szCs w:val="16"/>
          <w:lang w:val="ro-MD"/>
        </w:rPr>
        <w:t>în anul 2018 – 9.463,5 mii lei; în anul 2019 – 5.478,4 mii lei, și în anul 2020 – 1.828,8 mii lei.</w:t>
      </w:r>
    </w:p>
  </w:footnote>
  <w:footnote w:id="64">
    <w:p w14:paraId="615803C2" w14:textId="0992C31C" w:rsidR="00F14EEC" w:rsidRPr="00F14EEC" w:rsidRDefault="00F14EEC">
      <w:pPr>
        <w:pStyle w:val="FootnoteText"/>
        <w:rPr>
          <w:lang w:val="ro-MD"/>
        </w:rPr>
      </w:pPr>
      <w:r w:rsidRPr="00F14EEC">
        <w:rPr>
          <w:rStyle w:val="FootnoteReference"/>
          <w:sz w:val="16"/>
          <w:szCs w:val="16"/>
          <w:lang w:val="ro-MD"/>
        </w:rPr>
        <w:footnoteRef/>
      </w:r>
      <w:r w:rsidRPr="00F14EEC">
        <w:rPr>
          <w:sz w:val="16"/>
          <w:szCs w:val="16"/>
          <w:lang w:val="ro-MD"/>
        </w:rPr>
        <w:t xml:space="preserve"> </w:t>
      </w:r>
      <w:r w:rsidRPr="00F14EEC">
        <w:rPr>
          <w:rFonts w:asciiTheme="majorHAnsi" w:eastAsia="Calibri" w:hAnsiTheme="majorHAnsi" w:cstheme="majorHAnsi"/>
          <w:sz w:val="16"/>
          <w:szCs w:val="16"/>
          <w:lang w:val="ro-MD"/>
        </w:rPr>
        <w:t>Executată</w:t>
      </w:r>
      <w:r w:rsidRPr="00F14EEC">
        <w:rPr>
          <w:rFonts w:asciiTheme="majorHAnsi" w:eastAsia="Calibri" w:hAnsiTheme="majorHAnsi" w:cstheme="majorHAnsi"/>
          <w:sz w:val="14"/>
          <w:szCs w:val="14"/>
          <w:lang w:val="ro-MD"/>
        </w:rPr>
        <w:t xml:space="preserve"> din alocațiile pentru străzile din municipiu</w:t>
      </w:r>
    </w:p>
  </w:footnote>
  <w:footnote w:id="65">
    <w:p w14:paraId="3874E1E4" w14:textId="047B5EEE"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Valoarea estimată de către echipa de audit: 20752,16 tone X 180 lei/tona (</w:t>
      </w:r>
      <w:r w:rsidRPr="00F14EEC">
        <w:rPr>
          <w:rFonts w:asciiTheme="majorHAnsi" w:eastAsia="Calibri" w:hAnsiTheme="majorHAnsi" w:cstheme="majorHAnsi"/>
          <w:sz w:val="16"/>
          <w:szCs w:val="16"/>
          <w:lang w:val="ro-MD"/>
        </w:rPr>
        <w:t>prețul pietrișului de dimensiunea 5/20 conform proceselor-verbale de executare a lucrărilor în anul 2020 ,înregistrate în evidența ÎM „ExDrupo”) = 3735,4 mii lei.</w:t>
      </w:r>
    </w:p>
  </w:footnote>
  <w:footnote w:id="66">
    <w:p w14:paraId="770AB9B9" w14:textId="0BF591CD"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HG nr.1404 din 31.12.2005 „Privind reglementarea utilizării autoturismelor de serviciu de către autoritățile administrației publice”.</w:t>
      </w:r>
    </w:p>
  </w:footnote>
  <w:footnote w:id="67">
    <w:p w14:paraId="7183DC80" w14:textId="4534C2A4"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DGLCA și Preturile de sector.</w:t>
      </w:r>
    </w:p>
  </w:footnote>
  <w:footnote w:id="68">
    <w:p w14:paraId="6AAF02B9" w14:textId="06468840"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i/>
          <w:noProof/>
          <w:sz w:val="16"/>
          <w:szCs w:val="16"/>
          <w:lang w:val="ro-MD"/>
        </w:rPr>
        <w:t>lipsește destinația, numărul de curse și ordinea efectuării lor, precum și semnătura  beneficiarilor în dispoziția cărora s-a aflat autoturismul.</w:t>
      </w:r>
    </w:p>
  </w:footnote>
  <w:footnote w:id="69">
    <w:p w14:paraId="69AC8BF8" w14:textId="671C24EA"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Reparația str. Ion Creangă – </w:t>
      </w:r>
      <w:r w:rsidRPr="00F14EEC">
        <w:rPr>
          <w:rFonts w:asciiTheme="majorHAnsi" w:hAnsiTheme="majorHAnsi" w:cstheme="majorHAnsi"/>
          <w:b/>
          <w:i/>
          <w:sz w:val="16"/>
          <w:szCs w:val="16"/>
          <w:lang w:val="ro-MD"/>
        </w:rPr>
        <w:t>20500,0 mii lei;</w:t>
      </w:r>
      <w:r w:rsidRPr="00F14EEC">
        <w:rPr>
          <w:rFonts w:asciiTheme="majorHAnsi" w:hAnsiTheme="majorHAnsi" w:cstheme="majorHAnsi"/>
          <w:sz w:val="16"/>
          <w:szCs w:val="16"/>
          <w:lang w:val="ro-MD"/>
        </w:rPr>
        <w:t xml:space="preserve"> Reparația podului din str. Mihai Viteazul – </w:t>
      </w:r>
      <w:r w:rsidRPr="00F14EEC">
        <w:rPr>
          <w:rFonts w:asciiTheme="majorHAnsi" w:hAnsiTheme="majorHAnsi" w:cstheme="majorHAnsi"/>
          <w:b/>
          <w:i/>
          <w:sz w:val="16"/>
          <w:szCs w:val="16"/>
          <w:lang w:val="ro-MD"/>
        </w:rPr>
        <w:t>10000,0 mii lei</w:t>
      </w:r>
      <w:r w:rsidRPr="00F14EEC">
        <w:rPr>
          <w:rFonts w:asciiTheme="majorHAnsi" w:hAnsiTheme="majorHAnsi" w:cstheme="majorHAnsi"/>
          <w:sz w:val="16"/>
          <w:szCs w:val="16"/>
          <w:lang w:val="ro-MD"/>
        </w:rPr>
        <w:t xml:space="preserve">; Lucrările de proiectare și reparație a străzilor Mesager, Bucovinei, Transnistria, Industrială, Bâcului – </w:t>
      </w:r>
      <w:r w:rsidRPr="00F14EEC">
        <w:rPr>
          <w:rFonts w:asciiTheme="majorHAnsi" w:hAnsiTheme="majorHAnsi" w:cstheme="majorHAnsi"/>
          <w:b/>
          <w:i/>
          <w:sz w:val="16"/>
          <w:szCs w:val="16"/>
          <w:lang w:val="ro-MD"/>
        </w:rPr>
        <w:t>12895,0 mii lei.</w:t>
      </w:r>
    </w:p>
  </w:footnote>
  <w:footnote w:id="70">
    <w:p w14:paraId="5DAFBC35" w14:textId="283D9FF9" w:rsidR="00F14EEC" w:rsidRPr="00F14EEC" w:rsidRDefault="00F14EEC" w:rsidP="004762C3">
      <w:pPr>
        <w:spacing w:after="0" w:line="240" w:lineRule="auto"/>
        <w:ind w:right="-1"/>
        <w:jc w:val="both"/>
        <w:rPr>
          <w:rFonts w:asciiTheme="majorHAnsi" w:hAnsiTheme="majorHAnsi" w:cstheme="majorHAnsi"/>
          <w: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Alin.(1) lit.d) și alin.(3) din art.4 al Legii nr.435/2006.</w:t>
      </w:r>
    </w:p>
  </w:footnote>
  <w:footnote w:id="71">
    <w:p w14:paraId="57086685" w14:textId="2406F8AA"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anul 2018 – 15393,9 mii lei; în anul 2019 – 17342,6 mii lei, și în anul 2020 – 18170,9 mii lei.</w:t>
      </w:r>
    </w:p>
  </w:footnote>
  <w:footnote w:id="72">
    <w:p w14:paraId="7851EB0F" w14:textId="58DD59AB"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anul 2020 – 3479,4 mii lei, și în anul 2019 – 3414,3 mii lei.</w:t>
      </w:r>
    </w:p>
  </w:footnote>
  <w:footnote w:id="73">
    <w:p w14:paraId="77C6A1D9" w14:textId="70E777EA"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Tariful (cu TVA) pentru întreținerea anuală a unui obiectiv de semafoare variază în funcție de tipul acestuia: tipul DKM-ДКУ – 52700 lei; tipul DKM – 52280 lei, și tipul УК-2М - 40312 lei.</w:t>
      </w:r>
    </w:p>
  </w:footnote>
  <w:footnote w:id="74">
    <w:p w14:paraId="1A3BF2E7" w14:textId="77777777"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strada, pasajul subteran de pietoni, etc.</w:t>
      </w:r>
    </w:p>
  </w:footnote>
  <w:footnote w:id="75">
    <w:p w14:paraId="08E23F25" w14:textId="1728618A"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anul 2018 – 567,3 mii lei; în anul 2019 – 2876,1 mii lei, și în anul 2020 – 1046,3 mii lei.</w:t>
      </w:r>
    </w:p>
  </w:footnote>
  <w:footnote w:id="76">
    <w:p w14:paraId="09B138D7" w14:textId="664E292B"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contabilității și raportării financiare nr.287 din 15.12.2017.</w:t>
      </w:r>
    </w:p>
  </w:footnote>
  <w:footnote w:id="77">
    <w:p w14:paraId="6EDE3CD6" w14:textId="5F2ED039"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Calibri" w:hAnsiTheme="majorHAnsi" w:cstheme="majorHAnsi"/>
          <w:sz w:val="16"/>
          <w:szCs w:val="16"/>
          <w:lang w:val="ro-MD"/>
        </w:rPr>
        <w:t xml:space="preserve">Pct. 24 din Standardul național de contabilitate „Stocuri” și pct. 19 din SNC „Prezentarea situațiilor financiare”, aprobate prin </w:t>
      </w:r>
      <w:r w:rsidRPr="00F14EEC">
        <w:rPr>
          <w:rFonts w:asciiTheme="majorHAnsi" w:hAnsiTheme="majorHAnsi" w:cstheme="majorHAnsi"/>
          <w:sz w:val="16"/>
          <w:szCs w:val="16"/>
          <w:lang w:val="ro-MD"/>
        </w:rPr>
        <w:t>Ordinul MF nr.118 din 06.08.2013 „Privind aprobarea Standardelor Naționale  de Contabilitate”.</w:t>
      </w:r>
    </w:p>
  </w:footnote>
  <w:footnote w:id="78">
    <w:p w14:paraId="5ED0C870" w14:textId="05F2A087"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anul 2018 – 17465,74 tone, în anul 2019 – 18842,65 tone, și în anul 2020 – 8966,21 tone.</w:t>
      </w:r>
    </w:p>
  </w:footnote>
  <w:footnote w:id="79">
    <w:p w14:paraId="0AA663B5" w14:textId="4805163C"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anul 2018 – 10870,13 tone, în anul 2019 – 9352,87 tone, și în anul 2020 – 5241,7 tone.</w:t>
      </w:r>
    </w:p>
  </w:footnote>
  <w:footnote w:id="80">
    <w:p w14:paraId="2C4BC343" w14:textId="38F1B115"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color w:val="333333"/>
          <w:sz w:val="16"/>
          <w:szCs w:val="16"/>
          <w:lang w:val="ro-MD"/>
        </w:rPr>
        <w:t xml:space="preserve">Art. 11 alin. (2) lit. d) din </w:t>
      </w:r>
      <w:r w:rsidRPr="00F14EEC">
        <w:rPr>
          <w:rFonts w:asciiTheme="majorHAnsi" w:eastAsia="Times New Roman" w:hAnsiTheme="majorHAnsi" w:cstheme="majorHAnsi"/>
          <w:bCs/>
          <w:color w:val="333333"/>
          <w:sz w:val="16"/>
          <w:szCs w:val="16"/>
          <w:lang w:val="ro-MD"/>
        </w:rPr>
        <w:t>Legea</w:t>
      </w:r>
      <w:r w:rsidRPr="00F14EEC">
        <w:rPr>
          <w:rFonts w:asciiTheme="majorHAnsi" w:eastAsia="Times New Roman" w:hAnsiTheme="majorHAnsi" w:cstheme="majorHAnsi"/>
          <w:color w:val="333333"/>
          <w:sz w:val="16"/>
          <w:szCs w:val="16"/>
          <w:lang w:val="ro-MD"/>
        </w:rPr>
        <w:t> </w:t>
      </w:r>
      <w:r w:rsidRPr="00F14EEC">
        <w:rPr>
          <w:rFonts w:asciiTheme="majorHAnsi" w:eastAsia="Times New Roman" w:hAnsiTheme="majorHAnsi" w:cstheme="majorHAnsi"/>
          <w:bCs/>
          <w:color w:val="333333"/>
          <w:sz w:val="16"/>
          <w:szCs w:val="16"/>
          <w:lang w:val="ro-MD"/>
        </w:rPr>
        <w:t>privind delimitarea proprietății publice</w:t>
      </w:r>
      <w:r w:rsidRPr="00F14EEC">
        <w:rPr>
          <w:rFonts w:asciiTheme="majorHAnsi" w:eastAsia="Times New Roman" w:hAnsiTheme="majorHAnsi" w:cstheme="majorHAnsi"/>
          <w:color w:val="333333"/>
          <w:sz w:val="16"/>
          <w:szCs w:val="16"/>
          <w:lang w:val="ro-MD"/>
        </w:rPr>
        <w:t xml:space="preserve"> nr.29 din 05.04.2018.</w:t>
      </w:r>
    </w:p>
  </w:footnote>
  <w:footnote w:id="81">
    <w:p w14:paraId="718EB721" w14:textId="77777777"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Lemn de foc moale – 124 lei/m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 lemn de foc tare – 129 lei/m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 lemn de lucru – 341 lei/m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 crengi – 20 lei/m.ster.</w:t>
      </w:r>
    </w:p>
  </w:footnote>
  <w:footnote w:id="82">
    <w:p w14:paraId="0B146C5F" w14:textId="14A3FC66"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Prețul minimal stabilit pentru anul 2020 de către ÎS ÎSC Strășeni: lemn de foc specii tari (diverse specii) – 700 lei/m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 lemn de foc specii moi – 425 lei/m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 Prețul de realizare stabilit de către ÎM AGSV, în baza Ordinului directorului ÎM nr.10 din 03.01.2020: lemn de foc specii tari – 375 lei/m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 lemn de foc specii moi – 291,6 lei/m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 lemn de lucru tare – 583,33 lei/m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 lemn de lucru moale – 500 lei/m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 xml:space="preserve">. </w:t>
      </w:r>
    </w:p>
  </w:footnote>
  <w:footnote w:id="83">
    <w:p w14:paraId="298E23E6" w14:textId="7216933E"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Lemn de foc: specii tari – 2379,67 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x129 lei/m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=307,0 mii lei; specii moi – 2374,5 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x124 lei/m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=294,4 mii lei; rumeguș – 3756,59 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 xml:space="preserve"> x 85 lei/m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 xml:space="preserve"> = 319,3 mii lei; vreascuri -16813,58 m</w:t>
      </w:r>
      <w:r w:rsidRPr="00F14EEC">
        <w:rPr>
          <w:rFonts w:asciiTheme="majorHAnsi" w:hAnsiTheme="majorHAnsi" w:cstheme="majorHAnsi"/>
          <w:sz w:val="16"/>
          <w:szCs w:val="16"/>
          <w:vertAlign w:val="superscript"/>
          <w:lang w:val="ro-MD"/>
        </w:rPr>
        <w:t>3</w:t>
      </w:r>
      <w:r w:rsidRPr="00F14EEC">
        <w:rPr>
          <w:rFonts w:asciiTheme="majorHAnsi" w:hAnsiTheme="majorHAnsi" w:cstheme="majorHAnsi"/>
          <w:sz w:val="16"/>
          <w:szCs w:val="16"/>
          <w:lang w:val="ro-MD"/>
        </w:rPr>
        <w:t xml:space="preserve"> x 3,1 lei = 52,2 mii lei; altele – 76,91 </w:t>
      </w:r>
      <w:r w:rsidRPr="00F14EEC">
        <w:rPr>
          <w:rFonts w:asciiTheme="majorHAnsi" w:hAnsiTheme="majorHAnsi" w:cstheme="majorHAnsi"/>
          <w:sz w:val="16"/>
          <w:szCs w:val="16"/>
          <w:vertAlign w:val="superscript"/>
          <w:lang w:val="ro-MD"/>
        </w:rPr>
        <w:t xml:space="preserve">m3 </w:t>
      </w:r>
      <w:r w:rsidRPr="00F14EEC">
        <w:rPr>
          <w:rFonts w:asciiTheme="majorHAnsi" w:hAnsiTheme="majorHAnsi" w:cstheme="majorHAnsi"/>
          <w:sz w:val="16"/>
          <w:szCs w:val="16"/>
          <w:lang w:val="ro-MD"/>
        </w:rPr>
        <w:t xml:space="preserve">în valoare de 1,9 mii lei. </w:t>
      </w:r>
    </w:p>
  </w:footnote>
  <w:footnote w:id="84">
    <w:p w14:paraId="4D03E88C" w14:textId="1BD97BF9"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Au fost procurați carburanți în sumă totală de 4.607,52 mii lei, inclusiv: Benzină Premium 95 -  14.965,17 litri, în sumă totală de 224,85 mii lei; Motorină Euro5 – 203.995,88 litri, în sumă de  2.620,21 mii lei; Motorină Ecto – 136.308,86  litri, în sumă de 1.762,46 mii lei. A fost achiziționat gaz metan – 18.295,01 m³, în sumă totală de  137,40 mii lei. </w:t>
      </w:r>
    </w:p>
  </w:footnote>
  <w:footnote w:id="85">
    <w:p w14:paraId="29FD3354" w14:textId="15827E0F"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anul 2019 – 70000,0 mii lei, și în anul 2020 – 95700,0 mii lei.</w:t>
      </w:r>
    </w:p>
  </w:footnote>
  <w:footnote w:id="86">
    <w:p w14:paraId="71A6E9A4" w14:textId="345E6792" w:rsidR="00F14EEC" w:rsidRPr="00F14EEC" w:rsidRDefault="00F14EEC" w:rsidP="00EF4BC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Raportul aprobat prin HCC nr.94 din 17.12.2018.</w:t>
      </w:r>
    </w:p>
  </w:footnote>
  <w:footnote w:id="87">
    <w:p w14:paraId="2B5E2766" w14:textId="372776AB"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Împrumutul BERD – 10 000.00 mii euro (Acordul nr. 47899 din 2016), Împrumutul BEI – 10 000.00 mii euro (Acordul FI N 85900 din 2017).</w:t>
      </w:r>
    </w:p>
  </w:footnote>
  <w:footnote w:id="88">
    <w:p w14:paraId="561A4068" w14:textId="6F6C1E8A"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Raportul aprobat prin HCC nr.37/2012; Raportul aprobat prin HCC nr.30/2016 și Raportul aprobat prin HCC nr.94/2018.</w:t>
      </w:r>
    </w:p>
  </w:footnote>
  <w:footnote w:id="89">
    <w:p w14:paraId="4825B324" w14:textId="00004F6C"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Rețea, state și contingente ale instituțiilor (Forma FD-048-BL); Raportul nr.3-1 privind statele și efectivul de personal ale autorităților publice locale pentru anii 2016, 2018, 2019, 2020 și 2021.</w:t>
      </w:r>
    </w:p>
  </w:footnote>
  <w:footnote w:id="90">
    <w:p w14:paraId="6956525A" w14:textId="28B9B96D"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Aprobat prin Decizia CMC nr.13/7 din 04 august 2020.</w:t>
      </w:r>
    </w:p>
  </w:footnote>
  <w:footnote w:id="91">
    <w:p w14:paraId="376A31E2" w14:textId="1DA0107B"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Decizia nr.54/14  din 03.08.2006 „Cu privire la aprobarea organigramei și schemei de încadrare a DGAURF”.</w:t>
      </w:r>
    </w:p>
  </w:footnote>
  <w:footnote w:id="92">
    <w:p w14:paraId="2FA24493" w14:textId="1D53FBA2"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Decizia CMC nr.8/32 din 19.06.2020 „Cu privire la stabilirea indemnizațiilor de ședință pentru aleșii locali”.</w:t>
      </w:r>
    </w:p>
  </w:footnote>
  <w:footnote w:id="93">
    <w:p w14:paraId="7F2D9B3B" w14:textId="20A512AE"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privind modul de stabilire și reexaminare a salariului minim nr.1432-XIV din 28.12.2000.</w:t>
      </w:r>
    </w:p>
  </w:footnote>
  <w:footnote w:id="94">
    <w:p w14:paraId="13A932DA" w14:textId="72B1E4E9"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Hotărârea Guvernului nr.550 din 09.07.2014 „Privind stabilirea cuantumului salariului minim pe țară”.</w:t>
      </w:r>
    </w:p>
  </w:footnote>
  <w:footnote w:id="95">
    <w:p w14:paraId="5D1097F4" w14:textId="594F5680"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Hotărârea Guvernului nr.165 din 09.03.2010 „Cu privire la cuantumul minim garantat al salariului în sectorul real”.</w:t>
      </w:r>
    </w:p>
  </w:footnote>
  <w:footnote w:id="96">
    <w:p w14:paraId="60A265C6" w14:textId="77777777"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Potrivit pct.1 din Decizia CMC nr.1/26 din 14.04.2016 „Cu privire la stabilirea indemnizațiilor de ședință pentru aleșii locali”, cuantumul stabilit pentru fiecare zi de ședință (8 ore) consilierilor locali constituie 2000 lei, dar nu mai mult de 6000 lei pe lună.</w:t>
      </w:r>
    </w:p>
  </w:footnote>
  <w:footnote w:id="97">
    <w:p w14:paraId="5127399E" w14:textId="7ED2632F"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bugetului de stat pentru anul 2020 nr.172 din 12.12.2019, pentru calcularea, începând cu 01.01.2020, a salariilor angajaților din sectorul bugetar, în conformitate cu prevederile Legii nr.270/2018 privind sistemul unitar de salarizare în sectorul bugetar, se stabilește valoarea de referință în mărime de 1650 de lei.</w:t>
      </w:r>
    </w:p>
  </w:footnote>
  <w:footnote w:id="98">
    <w:p w14:paraId="68DA3052" w14:textId="6834051F"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Hotărârea Guvernului nr. 550 din 09.07.2014 „Privind stabilirea cuantumului salariului minim pe țară”.</w:t>
      </w:r>
    </w:p>
  </w:footnote>
  <w:footnote w:id="99">
    <w:p w14:paraId="157CB666" w14:textId="3A0167DD"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3570600 : 3300 x 1300 = 1406600 lei.</w:t>
      </w:r>
    </w:p>
  </w:footnote>
  <w:footnote w:id="100">
    <w:p w14:paraId="2A97D73A" w14:textId="2EB56AA0"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bCs/>
          <w:sz w:val="16"/>
          <w:szCs w:val="16"/>
          <w:lang w:val="ro-MD"/>
        </w:rPr>
        <w:t>Vocabularul comun al achizițiilor publice, care descrie bunuri, lucrări sau servicii ce pot constitui obiectul contractelor de achiziții publice.</w:t>
      </w:r>
    </w:p>
  </w:footnote>
  <w:footnote w:id="101">
    <w:p w14:paraId="1E288B89" w14:textId="00C85957"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bCs/>
          <w:color w:val="000000" w:themeColor="text1"/>
          <w:sz w:val="16"/>
          <w:szCs w:val="16"/>
          <w:lang w:val="ro-MD"/>
        </w:rPr>
        <w:t>Pct. 5 și pct.13 ale Regulamentului cu privire la modul de planificare a contractelor de achiziții publice, aprobat prin HG nr.1419 din 28.12.2016 „</w:t>
      </w:r>
      <w:r w:rsidRPr="00F14EEC">
        <w:rPr>
          <w:rFonts w:asciiTheme="majorHAnsi" w:hAnsiTheme="majorHAnsi" w:cstheme="majorHAnsi"/>
          <w:sz w:val="16"/>
          <w:szCs w:val="16"/>
          <w:lang w:val="ro-MD"/>
        </w:rPr>
        <w:t>Pentru aprobarea Regulamentului cu privire la modul de planificare a contractelor de achiziții publice”.</w:t>
      </w:r>
    </w:p>
  </w:footnote>
  <w:footnote w:id="102">
    <w:p w14:paraId="147DDAD8" w14:textId="77777777"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Include valoarea de casă a cheltuielilor și activelor nefinanciare diminuate cu valoarea de casă a cheltuielilor aferente personalului, indemnizațiilor, burselor, asistenței sociale, comenzii de stat, subsidiilor, transferurilor.</w:t>
      </w:r>
    </w:p>
  </w:footnote>
  <w:footnote w:id="103">
    <w:p w14:paraId="054121C8" w14:textId="77777777" w:rsidR="00F14EEC" w:rsidRPr="00F14EEC" w:rsidRDefault="00F14EEC" w:rsidP="003D7246">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Art.66 alin. (5) din Legea nr.181 din 25.07.2014 -„se interzice încheierea de către autoritățile/instituțiile bugetare a contractelor cu efectuarea plăților anticipate(avans)pentru achiziționarea mărfurilor, serviciilor și lucrărilor”.</w:t>
      </w:r>
    </w:p>
  </w:footnote>
  <w:footnote w:id="104">
    <w:p w14:paraId="3B413C4D" w14:textId="7EA5C002"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Nu se permite divizarea achizițiilor planificate în scopul aplicării prevederilor Regulamentului achizițiilor publice de valoare mică și evitării procedurilor de achiziție publică stabilite de legislația cu incidență în domeniul achizițiilor publice.</w:t>
      </w:r>
    </w:p>
  </w:footnote>
  <w:footnote w:id="105">
    <w:p w14:paraId="3E073A76" w14:textId="77777777" w:rsidR="00F14EEC" w:rsidRPr="00F14EEC" w:rsidRDefault="00F14EEC" w:rsidP="00D76083">
      <w:pPr>
        <w:pStyle w:val="FootnoteText"/>
        <w:shd w:val="clear" w:color="auto" w:fill="FFFFFF" w:themeFill="background1"/>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Art.14 alin.(9) și art.76 alin.(5) din Legea nr.131/2015.</w:t>
      </w:r>
    </w:p>
  </w:footnote>
  <w:footnote w:id="106">
    <w:p w14:paraId="2F98BD85" w14:textId="4899D87C" w:rsidR="00F14EEC" w:rsidRPr="00F14EEC" w:rsidRDefault="00F14EEC" w:rsidP="00EF4BC3">
      <w:pPr>
        <w:spacing w:after="0" w:line="240" w:lineRule="auto"/>
        <w:jc w:val="both"/>
        <w:rPr>
          <w:rFonts w:asciiTheme="majorHAnsi" w:hAnsiTheme="majorHAnsi" w:cstheme="majorHAnsi"/>
          <w:bCs/>
          <w:noProof/>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bCs/>
          <w:noProof/>
          <w:sz w:val="16"/>
          <w:szCs w:val="16"/>
          <w:lang w:val="ro-MD"/>
        </w:rPr>
        <w:t>SA „Termoelectrica” și DGLCA executau lucrări ce țin de instalarea pilonilor pentru electricitate și alte lucrări pe alee după vopsirea pistei, și agenții economici în cauză nu și-au asumat responsabilitățile ce țin de recuperarea acetor lucrări.</w:t>
      </w:r>
    </w:p>
  </w:footnote>
  <w:footnote w:id="107">
    <w:p w14:paraId="19482316" w14:textId="77777777" w:rsidR="00F14EEC" w:rsidRPr="00F14EEC" w:rsidRDefault="00F14EEC" w:rsidP="00EF4BC3">
      <w:pPr>
        <w:pStyle w:val="FootnoteText"/>
        <w:jc w:val="both"/>
        <w:rPr>
          <w:rFonts w:asciiTheme="majorHAnsi" w:hAnsiTheme="majorHAnsi" w:cstheme="majorHAnsi"/>
          <w:noProof/>
          <w:sz w:val="16"/>
          <w:szCs w:val="16"/>
          <w:lang w:val="ro-MD"/>
        </w:rPr>
      </w:pPr>
      <w:r w:rsidRPr="00F14EEC">
        <w:rPr>
          <w:rStyle w:val="FootnoteReference"/>
          <w:rFonts w:asciiTheme="majorHAnsi" w:hAnsiTheme="majorHAnsi" w:cstheme="majorHAnsi"/>
          <w:noProof/>
          <w:sz w:val="16"/>
          <w:szCs w:val="16"/>
          <w:lang w:val="ro-MD"/>
        </w:rPr>
        <w:footnoteRef/>
      </w:r>
      <w:r w:rsidRPr="00F14EEC">
        <w:rPr>
          <w:rFonts w:asciiTheme="majorHAnsi" w:hAnsiTheme="majorHAnsi" w:cstheme="majorHAnsi"/>
          <w:noProof/>
          <w:sz w:val="16"/>
          <w:szCs w:val="16"/>
          <w:lang w:val="ro-MD"/>
        </w:rPr>
        <w:t xml:space="preserve"> Deviz verificat prin programul autorizat WinCmeta.</w:t>
      </w:r>
    </w:p>
  </w:footnote>
  <w:footnote w:id="108">
    <w:p w14:paraId="1B2C7ED4" w14:textId="5E4CF755"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Lucrările au fost executate de către ÎM Regia „ExDrupo”, achitarea acestora s-a efectuat din contul alocațiilor prevăzute în bugetul DGTPCC pentru întreținerea și reparația străzilor din mun. Chișinău (cod ECO 222500). </w:t>
      </w:r>
    </w:p>
  </w:footnote>
  <w:footnote w:id="109">
    <w:p w14:paraId="23FB5B99" w14:textId="2CE7048E" w:rsidR="00F14EEC" w:rsidRPr="00F14EEC" w:rsidRDefault="00F14EEC" w:rsidP="00EF4BC3">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noProof/>
          <w:sz w:val="16"/>
          <w:szCs w:val="16"/>
          <w:lang w:val="ro-MD"/>
        </w:rPr>
        <w:t>Cu SRL KVM CONS - pe data de 22 .09. 2020, în valoare de 268,96 mii lei; cu SRL Termoizol-AL-</w:t>
      </w:r>
      <w:r w:rsidRPr="00F14EEC">
        <w:rPr>
          <w:rFonts w:asciiTheme="majorHAnsi" w:hAnsiTheme="majorHAnsi" w:cstheme="majorHAnsi"/>
          <w:bCs/>
          <w:noProof/>
          <w:sz w:val="16"/>
          <w:szCs w:val="16"/>
          <w:lang w:val="ro-MD"/>
        </w:rPr>
        <w:t xml:space="preserve"> contractul de antrepriză nr.50/20 din 16.11.2020, în valoare de 299,94 mii lei</w:t>
      </w:r>
      <w:r w:rsidRPr="00F14EEC">
        <w:rPr>
          <w:rFonts w:asciiTheme="majorHAnsi" w:hAnsiTheme="majorHAnsi" w:cstheme="majorHAnsi"/>
          <w:noProof/>
          <w:sz w:val="16"/>
          <w:szCs w:val="16"/>
          <w:lang w:val="ro-MD"/>
        </w:rPr>
        <w:t xml:space="preserve">; cu SRL Electroprim-RS - </w:t>
      </w:r>
      <w:r w:rsidRPr="00F14EEC">
        <w:rPr>
          <w:rFonts w:asciiTheme="majorHAnsi" w:hAnsiTheme="majorHAnsi" w:cstheme="majorHAnsi"/>
          <w:bCs/>
          <w:noProof/>
          <w:sz w:val="16"/>
          <w:szCs w:val="16"/>
          <w:lang w:val="ro-MD"/>
        </w:rPr>
        <w:t>contractul nr.53/20 din 20.11.2020, în valoare de 292,20 mii lei.</w:t>
      </w:r>
    </w:p>
  </w:footnote>
  <w:footnote w:id="110">
    <w:p w14:paraId="7CF5B85F" w14:textId="74DA5CBF"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bCs/>
          <w:noProof/>
          <w:sz w:val="16"/>
          <w:szCs w:val="16"/>
          <w:lang w:val="ro-MD"/>
        </w:rPr>
        <w:t>Instalarea bordurilor pe pistă (pavare cu bordure a terenurilor de joacă și fitnes</w:t>
      </w:r>
      <w:r>
        <w:rPr>
          <w:rFonts w:asciiTheme="majorHAnsi" w:hAnsiTheme="majorHAnsi" w:cstheme="majorHAnsi"/>
          <w:bCs/>
          <w:noProof/>
          <w:sz w:val="16"/>
          <w:szCs w:val="16"/>
          <w:lang w:val="ro-MD"/>
        </w:rPr>
        <w:t>s</w:t>
      </w:r>
      <w:r w:rsidRPr="00F14EEC">
        <w:rPr>
          <w:rFonts w:asciiTheme="majorHAnsi" w:hAnsiTheme="majorHAnsi" w:cstheme="majorHAnsi"/>
          <w:bCs/>
          <w:noProof/>
          <w:sz w:val="16"/>
          <w:szCs w:val="16"/>
          <w:lang w:val="ro-MD"/>
        </w:rPr>
        <w:t>).</w:t>
      </w:r>
    </w:p>
  </w:footnote>
  <w:footnote w:id="111">
    <w:p w14:paraId="79AF12C3" w14:textId="57D1BC18" w:rsidR="00F14EEC" w:rsidRPr="00F14EEC" w:rsidRDefault="00F14EEC" w:rsidP="00EF4BC3">
      <w:pPr>
        <w:pStyle w:val="FootnoteText"/>
        <w:rPr>
          <w:rFonts w:asciiTheme="majorHAnsi" w:hAnsiTheme="majorHAnsi" w:cstheme="majorHAnsi"/>
          <w:noProof/>
          <w:sz w:val="16"/>
          <w:szCs w:val="16"/>
          <w:lang w:val="ro-MD"/>
        </w:rPr>
      </w:pPr>
      <w:r w:rsidRPr="00F14EEC">
        <w:rPr>
          <w:rStyle w:val="FootnoteReference"/>
          <w:rFonts w:asciiTheme="majorHAnsi" w:hAnsiTheme="majorHAnsi" w:cstheme="majorHAnsi"/>
          <w:noProof/>
          <w:sz w:val="16"/>
          <w:szCs w:val="16"/>
          <w:lang w:val="ro-MD"/>
        </w:rPr>
        <w:footnoteRef/>
      </w:r>
      <w:r w:rsidRPr="00F14EEC">
        <w:rPr>
          <w:rFonts w:asciiTheme="majorHAnsi" w:hAnsiTheme="majorHAnsi" w:cstheme="majorHAnsi"/>
          <w:noProof/>
          <w:sz w:val="16"/>
          <w:szCs w:val="16"/>
          <w:lang w:val="ro-MD"/>
        </w:rPr>
        <w:t xml:space="preserve"> Nr. obiectivului 3496.</w:t>
      </w:r>
    </w:p>
  </w:footnote>
  <w:footnote w:id="112">
    <w:p w14:paraId="4C6FC597" w14:textId="653EC43D"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Art.13 alin.(4) din Legea privind calitatea în construcții nr.721 din 02.02.1996, (în continuare – Legea nr.721 din 02.02.1996)</w:t>
      </w:r>
    </w:p>
  </w:footnote>
  <w:footnote w:id="113">
    <w:p w14:paraId="2A63FF17" w14:textId="33FB3EAA" w:rsidR="00F14EEC" w:rsidRPr="00F14EEC" w:rsidRDefault="00F14EEC" w:rsidP="00EF4BC3">
      <w:pPr>
        <w:spacing w:after="0" w:line="240" w:lineRule="auto"/>
        <w:jc w:val="both"/>
        <w:rPr>
          <w:rFonts w:asciiTheme="majorHAnsi" w:hAnsiTheme="majorHAnsi" w:cstheme="majorHAnsi"/>
          <w:noProof/>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noProof/>
          <w:sz w:val="16"/>
          <w:szCs w:val="16"/>
          <w:lang w:val="ro-MD"/>
        </w:rPr>
        <w:t xml:space="preserve"> Art.18 alin.(1) și alin.(3); art.30 </w:t>
      </w:r>
      <w:r w:rsidRPr="00F14EEC">
        <w:rPr>
          <w:rFonts w:asciiTheme="majorHAnsi" w:hAnsiTheme="majorHAnsi" w:cstheme="majorHAnsi"/>
          <w:sz w:val="16"/>
          <w:szCs w:val="16"/>
          <w:lang w:val="ro-MD"/>
        </w:rPr>
        <w:t xml:space="preserve">alin.(1-2) </w:t>
      </w:r>
      <w:r w:rsidRPr="00F14EEC">
        <w:rPr>
          <w:rFonts w:asciiTheme="majorHAnsi" w:hAnsiTheme="majorHAnsi" w:cstheme="majorHAnsi"/>
          <w:noProof/>
          <w:sz w:val="16"/>
          <w:szCs w:val="16"/>
          <w:lang w:val="ro-MD"/>
        </w:rPr>
        <w:t xml:space="preserve">din Legea nr.721 din 02.02.1996:  Recepția lucrărilor reprezintă procesul prin care se certifică  finalizarea lucrărilor pentru realizarea unei constructii. Recepţia construcţiilor se face de către investitor în prezenţa proiectantului şi a executantului şi (sau) reprezentanţilor de specialitate desemnaţi de aceştia. Confirmarea calităţii construcţiilor de către comisiile de recepţie nu înlătură răspunderea directă pentru calitate a persoanelor care au organizat şi condus procesul de proiectare şi execuţie, precum şi a celor care au proiectat sau au executat nemijlocit construcţiile la care ulterior s-au constatat defecte.  </w:t>
      </w:r>
    </w:p>
  </w:footnote>
  <w:footnote w:id="114">
    <w:p w14:paraId="51E716E3" w14:textId="489FC5D1" w:rsidR="00F14EEC" w:rsidRPr="00F14EEC" w:rsidRDefault="00F14EEC" w:rsidP="00EF4BC3">
      <w:pPr>
        <w:pStyle w:val="FootnoteText"/>
        <w:rPr>
          <w:rFonts w:asciiTheme="majorHAnsi" w:hAnsiTheme="majorHAnsi" w:cstheme="majorHAnsi"/>
          <w:noProof/>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noProof/>
          <w:sz w:val="16"/>
          <w:szCs w:val="16"/>
          <w:lang w:val="ro-MD"/>
        </w:rPr>
        <w:t>Pct. 7-8 și 19, Anexa nr.1 la Regulamentul  de recepție a construcțiilor și instalațiilor aferente, aprobat prin HG nr.285 din 23.05.1996.</w:t>
      </w:r>
    </w:p>
  </w:footnote>
  <w:footnote w:id="115">
    <w:p w14:paraId="2965F3D5" w14:textId="7E5A6B0E"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noProof/>
          <w:sz w:val="16"/>
          <w:szCs w:val="16"/>
          <w:lang w:val="ro-MD"/>
        </w:rPr>
        <w:footnoteRef/>
      </w:r>
      <w:r w:rsidRPr="00F14EEC">
        <w:rPr>
          <w:rFonts w:asciiTheme="majorHAnsi" w:hAnsiTheme="majorHAnsi" w:cstheme="majorHAnsi"/>
          <w:noProof/>
          <w:sz w:val="16"/>
          <w:szCs w:val="16"/>
          <w:lang w:val="ro-MD"/>
        </w:rPr>
        <w:t xml:space="preserve"> Pct.6 din Regulamentul privind expertiza tehnică în construcții, aprobat prin HG nr.936 din 16.08.2006.</w:t>
      </w:r>
    </w:p>
  </w:footnote>
  <w:footnote w:id="116">
    <w:p w14:paraId="279D7CA8" w14:textId="40FC06A9"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1) suprafața gardului de 998,9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xml:space="preserve"> instalat, ce este cu 23,9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xml:space="preserve"> mai mult decât suprafața indicată în procesul-verbal de recepție a lucrărilor (975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2) lucrările aferente vopsirii parapetelor și balustradelor metalice au fost executate necalitativ, datorită faptului că nici după 1 an de la executarea lucrărilor vopseaua de pe acestea este cojită, acestea fiind într-o stare deplorabilă ; 3)  marcajul rutier (vopseaua albă), aplicat pe alee de către același agent economic, pe unele porțiuni este uzat/șters complet.</w:t>
      </w:r>
    </w:p>
  </w:footnote>
  <w:footnote w:id="117">
    <w:p w14:paraId="172F76D7" w14:textId="1F197F3C"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noProof/>
          <w:sz w:val="16"/>
          <w:szCs w:val="16"/>
          <w:lang w:val="ro-MD"/>
        </w:rPr>
        <w:t>3 seturi de complex sportiv, 2 trenajoare pentru talie și 1 trenajor pentru sport.</w:t>
      </w:r>
    </w:p>
  </w:footnote>
  <w:footnote w:id="118">
    <w:p w14:paraId="12EEDE7D" w14:textId="1F984F2C" w:rsidR="00F14EEC" w:rsidRPr="00F14EEC" w:rsidRDefault="00F14EEC" w:rsidP="003C5073">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Potrivit contractului, prețul aparatului de antrenament procurat și instalat pe alee este de 13728 lei, pe când prețul de livrare este de 16358 lei.</w:t>
      </w:r>
    </w:p>
  </w:footnote>
  <w:footnote w:id="119">
    <w:p w14:paraId="35666875" w14:textId="3122134B"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noProof/>
          <w:sz w:val="16"/>
          <w:szCs w:val="16"/>
          <w:lang w:val="ro-MD"/>
        </w:rPr>
        <w:t>Conform explicației agentului economic, prețul mai mare în factură pentru trenajorul pentru talie față de cel prevăzut în contract a apărut din cauza complectației trenajorului și a materialului utilizat pentru montarea lui.</w:t>
      </w:r>
    </w:p>
  </w:footnote>
  <w:footnote w:id="120">
    <w:p w14:paraId="7C0C3B5B" w14:textId="1382F1F0"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bCs/>
          <w:noProof/>
          <w:sz w:val="16"/>
          <w:szCs w:val="16"/>
          <w:lang w:val="ro-MD"/>
        </w:rPr>
        <w:t>SRL Termoizol-AL și SRL Electroprim-RS.</w:t>
      </w:r>
    </w:p>
  </w:footnote>
  <w:footnote w:id="121">
    <w:p w14:paraId="7C4DFC14" w14:textId="6AE37320" w:rsidR="00F14EEC" w:rsidRPr="00F14EEC" w:rsidRDefault="00F14EEC" w:rsidP="007102DC">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bCs/>
          <w:noProof/>
          <w:sz w:val="16"/>
          <w:szCs w:val="16"/>
          <w:lang w:val="ro-MD"/>
        </w:rPr>
        <w:t>Suprafețe identice (75 și 75, 375), s-au utilizat aceleași utilaje (compresor mobil și pe pneuri) pentru efectuarea lucrărilor, doar că la prețul pentru o unitate de măsură diferit.</w:t>
      </w:r>
    </w:p>
  </w:footnote>
  <w:footnote w:id="122">
    <w:p w14:paraId="0396AAA6" w14:textId="3D3B6AD4" w:rsidR="00F14EEC" w:rsidRPr="00F14EEC" w:rsidRDefault="00F14EEC" w:rsidP="007102DC">
      <w:pPr>
        <w:spacing w:after="0" w:line="240" w:lineRule="auto"/>
        <w:ind w:right="-1"/>
        <w:jc w:val="both"/>
        <w:rPr>
          <w:rFonts w:asciiTheme="majorHAnsi" w:hAnsiTheme="majorHAnsi" w:cstheme="majorHAnsi"/>
          <w:color w:val="000000" w:themeColor="text1"/>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color w:val="000000" w:themeColor="text1"/>
          <w:sz w:val="16"/>
          <w:szCs w:val="16"/>
          <w:lang w:val="ro-MD"/>
        </w:rPr>
        <w:t xml:space="preserve">Preturile sectoarelor </w:t>
      </w:r>
      <w:r w:rsidRPr="00F14EEC">
        <w:rPr>
          <w:rFonts w:asciiTheme="majorHAnsi" w:hAnsiTheme="majorHAnsi" w:cstheme="majorHAnsi"/>
          <w:b/>
          <w:color w:val="000000" w:themeColor="text1"/>
          <w:sz w:val="16"/>
          <w:szCs w:val="16"/>
          <w:lang w:val="ro-MD"/>
        </w:rPr>
        <w:t>Botanica și Rîșcani</w:t>
      </w:r>
      <w:r w:rsidRPr="00F14EEC">
        <w:rPr>
          <w:rFonts w:asciiTheme="majorHAnsi" w:hAnsiTheme="majorHAnsi" w:cstheme="majorHAnsi"/>
          <w:color w:val="000000" w:themeColor="text1"/>
          <w:sz w:val="16"/>
          <w:szCs w:val="16"/>
          <w:lang w:val="ro-MD"/>
        </w:rPr>
        <w:t xml:space="preserve"> au contractat servicii de acces la Serviciul Mycloudcamera.md și infrastructura IT  conform metodologiei VSaaS de la SRL „Plasma RTI”.</w:t>
      </w:r>
    </w:p>
  </w:footnote>
  <w:footnote w:id="123">
    <w:p w14:paraId="461D55A1" w14:textId="28BF4754"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nr.218-XVI din 24.10.2008 „Codul contravențional al Republicii Moldova”.</w:t>
      </w:r>
    </w:p>
  </w:footnote>
  <w:footnote w:id="124">
    <w:p w14:paraId="1F408EA9" w14:textId="14F4CB6E" w:rsidR="00F14EEC" w:rsidRPr="00F14EEC" w:rsidRDefault="00F14EEC" w:rsidP="007102DC">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noProof/>
          <w:sz w:val="16"/>
          <w:szCs w:val="16"/>
          <w:lang w:val="ro-MD"/>
        </w:rPr>
        <w:t xml:space="preserve">Anexa nr.6 din Regulamentul de funcționare a secției urbanism și arhitectură, aprobat prin Dispoziția primarului general al mun. Chișinău nr.01-5/126 din 16.12.2021: </w:t>
      </w:r>
      <w:r w:rsidRPr="00F14EEC">
        <w:rPr>
          <w:rFonts w:asciiTheme="majorHAnsi" w:eastAsia="Calibri" w:hAnsiTheme="majorHAnsi" w:cstheme="majorHAnsi"/>
          <w:noProof/>
          <w:sz w:val="16"/>
          <w:szCs w:val="16"/>
          <w:lang w:val="ro-MD"/>
        </w:rPr>
        <w:t>Contribuie la exercitarea controlului legalității construcțiilor în sector, prin sesizarea organelor de control în construcție, în vederea întreprinderii măsurilor de lichidare a încălcărilor de lege, are atribuții de efectuare a evidenței și controlului obiectivelor în fază de construire în sector, inclusiv a celor neautorizate</w:t>
      </w:r>
      <w:r w:rsidRPr="00F14EEC">
        <w:rPr>
          <w:rFonts w:asciiTheme="majorHAnsi" w:hAnsiTheme="majorHAnsi" w:cstheme="majorHAnsi"/>
          <w:noProof/>
          <w:sz w:val="16"/>
          <w:szCs w:val="16"/>
          <w:lang w:val="ro-MD"/>
        </w:rPr>
        <w:t>.</w:t>
      </w:r>
    </w:p>
  </w:footnote>
  <w:footnote w:id="125">
    <w:p w14:paraId="2DF0C76F" w14:textId="3CF82004" w:rsidR="00F14EEC" w:rsidRPr="00F14EEC" w:rsidRDefault="00F14EEC" w:rsidP="0034090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Aprobat prin Decizia CMC nr.13/7 din 04.08.2020.</w:t>
      </w:r>
    </w:p>
  </w:footnote>
  <w:footnote w:id="126">
    <w:p w14:paraId="091FA872" w14:textId="3CA86233" w:rsidR="00F14EEC" w:rsidRPr="00F14EEC" w:rsidRDefault="00F14EEC" w:rsidP="0034090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„Administrarea, în comun cu subdiviziunile Primăriei mun. Chișinău, de bunuri din patrimoniul public și privat al mun. Chișinău, aflat în gestiunea acestora, și prezentarea oportunităților de valorificare eficientă a acestora”.</w:t>
      </w:r>
    </w:p>
  </w:footnote>
  <w:footnote w:id="127">
    <w:p w14:paraId="1E8DDCF5" w14:textId="659D7273" w:rsidR="00F14EEC" w:rsidRPr="00F14EEC" w:rsidRDefault="00F14EEC" w:rsidP="0034090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„Asigurarea identificării imobilelor și încăperilor cu altă destinație decât cea locativă din municipiu, declararea acestora proprietate publică a APL a mun. Chișinău și înregistrarea lor la organul cadastral în cazul existenței cadrului legal favorabil”.</w:t>
      </w:r>
    </w:p>
  </w:footnote>
  <w:footnote w:id="128">
    <w:p w14:paraId="436257AE" w14:textId="5575BFC4" w:rsidR="00F14EEC" w:rsidRPr="00F14EEC" w:rsidRDefault="00F14EEC" w:rsidP="0034090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nr.121/2007 privind administrarea și deetatizarea proprietății publice.</w:t>
      </w:r>
    </w:p>
  </w:footnote>
  <w:footnote w:id="129">
    <w:p w14:paraId="69849CC9" w14:textId="7D6B762E" w:rsidR="00F14EEC" w:rsidRPr="00F14EEC" w:rsidRDefault="00F14EEC" w:rsidP="00237FF8">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Clădirea administrativă din str. 31 August 1998, nr.10, și clădirea grădiniței nr.16, depusă în capitalul social al SRL Optron-Lux, amplasată pe terenul cu numărul cadastral 0100313243. </w:t>
      </w:r>
    </w:p>
  </w:footnote>
  <w:footnote w:id="130">
    <w:p w14:paraId="2ECA7C4A" w14:textId="7FF64CC1" w:rsidR="00F14EEC" w:rsidRPr="00F14EEC" w:rsidRDefault="00F14EEC" w:rsidP="0034090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Conform Legii privind administrarea și deetatizarea proprietății publice nr.121/2007, art.3 alin.(2).</w:t>
      </w:r>
    </w:p>
  </w:footnote>
  <w:footnote w:id="131">
    <w:p w14:paraId="290EE0B3" w14:textId="43044123" w:rsidR="00F14EEC" w:rsidRPr="00F14EEC" w:rsidRDefault="00F14EEC" w:rsidP="0034090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cadastrului bunurilor imobile</w:t>
      </w:r>
      <w:r w:rsidRPr="00F14EEC" w:rsidDel="00E834C0">
        <w:rPr>
          <w:rFonts w:asciiTheme="majorHAnsi" w:hAnsiTheme="majorHAnsi" w:cstheme="majorHAnsi"/>
          <w:sz w:val="16"/>
          <w:szCs w:val="16"/>
          <w:lang w:val="ro-MD"/>
        </w:rPr>
        <w:t xml:space="preserve"> </w:t>
      </w:r>
      <w:r w:rsidRPr="00F14EEC">
        <w:rPr>
          <w:rFonts w:asciiTheme="majorHAnsi" w:hAnsiTheme="majorHAnsi" w:cstheme="majorHAnsi"/>
          <w:sz w:val="16"/>
          <w:szCs w:val="16"/>
          <w:lang w:val="ro-MD"/>
        </w:rPr>
        <w:t>nr.1543/1998.</w:t>
      </w:r>
    </w:p>
  </w:footnote>
  <w:footnote w:id="132">
    <w:p w14:paraId="3ACF073F" w14:textId="2F526F69" w:rsidR="00F14EEC" w:rsidRPr="00F14EEC" w:rsidRDefault="00F14EEC" w:rsidP="00340903">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0100416.132 – 0,123 ha – 158,89 mii lei și 0100416.135 – 0,7507 ha – 969,73 mii lei (gestionate de Liceul Republican „Ciprian Porumbescu”); 0100521.427 – 0,0399 ha – 51,54 mii lei (gestionat de Centrul Național de Educație prin Artă); 0100101.541 – 0,0594 ha – 76,73 mii lei (gestionat de AMTAP); 0100418.017 – 1,35 ha – 1743,89 mii lei și 0100418.018 – 0,57 ha – 736,31 mii lei (gestionate de ASEM); 0100101.293 – 0,776 ha – 1002,41 mii lei (gestionat de CEEA „Ștefan Neaga”); 0100419.404 – 0,8582 ha – 1108,59 mii lei (gestionat de Colegiul „Alexei Mateevici”); 0100401.709 – 0,6921 ha – 894,03 mii lei (gestionat de ÎS Mold-Didactica); 0100515.202 – 0,6178 ha – 798,05 mii lei (gestionat de ȘP nr.2); 0100423.299 – 0,068 ha – 87,84 mii lei (gestionat de USEFS); 0100520.030 – 0,0335  ha – 43,27 mii lei (gestionat de USEFS).</w:t>
      </w:r>
    </w:p>
  </w:footnote>
  <w:footnote w:id="133">
    <w:p w14:paraId="3355DC05" w14:textId="69770B88" w:rsidR="00F14EEC" w:rsidRPr="00F14EEC" w:rsidRDefault="00F14EEC" w:rsidP="0034090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0100416.132 și 0100416.135; 0100101.541; 0100418.017; 0100418.018; 0100101.293; 0100520.030.</w:t>
      </w:r>
    </w:p>
  </w:footnote>
  <w:footnote w:id="134">
    <w:p w14:paraId="7FE68760" w14:textId="06A3FBF9" w:rsidR="00F14EEC" w:rsidRPr="00F14EEC" w:rsidRDefault="00F14EEC" w:rsidP="0034090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HG nr.161/2019 „Cu privire la aprobarea listei terenurilor proprietate publică a statului din administrarea Agenției Proprietății Publice”.</w:t>
      </w:r>
    </w:p>
  </w:footnote>
  <w:footnote w:id="135">
    <w:p w14:paraId="6C6C2668" w14:textId="77777777" w:rsidR="00F14EEC" w:rsidRPr="00F14EEC" w:rsidRDefault="00F14EEC" w:rsidP="007102DC">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0100109.502.04 – 42,7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xml:space="preserve"> (0,0 lei), 0100417.107.01 – 1750,1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xml:space="preserve"> (2869,09 mii lei).</w:t>
      </w:r>
    </w:p>
  </w:footnote>
  <w:footnote w:id="136">
    <w:p w14:paraId="64FA5573" w14:textId="7CBE64A9" w:rsidR="00F14EEC" w:rsidRPr="00F14EEC" w:rsidRDefault="00F14EEC" w:rsidP="007102DC">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0100302.411, conform Deciziei CMC nr.10/2-12 din 02.07.2020; 0100506.024, conform Deciziei CMC nr.12/15-29 din 28.07.2020; 0100310.013, conform Deciziei CMC nr.14/14-11 din 11.08.2020.</w:t>
      </w:r>
    </w:p>
  </w:footnote>
  <w:footnote w:id="137">
    <w:p w14:paraId="72ACFBB5" w14:textId="6EFE743D" w:rsidR="00F14EEC" w:rsidRPr="00F14EEC" w:rsidRDefault="00F14EEC" w:rsidP="007102DC">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0100309.1080 (0,1494 ha, în valoare de 192,99 mii lei) și 0100309.1009 (0,1473 ha, în valoare de 190,28 mii lei).</w:t>
      </w:r>
    </w:p>
  </w:footnote>
  <w:footnote w:id="138">
    <w:p w14:paraId="71415446" w14:textId="303491D8" w:rsidR="00F14EEC" w:rsidRPr="00F14EEC" w:rsidRDefault="00F14EEC" w:rsidP="007102DC">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baza Deciziei CMC nr.14/18 din 11.08.2020.</w:t>
      </w:r>
    </w:p>
  </w:footnote>
  <w:footnote w:id="139">
    <w:p w14:paraId="25443527" w14:textId="40FF9E9E" w:rsidR="00F14EEC" w:rsidRPr="00F14EEC" w:rsidRDefault="00F14EEC" w:rsidP="00382413">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anul 2018 au fost vândute terenuri cu suprafața de 2,2 ha; în anul 2019 – 2,56 ha, și în anul 2020 – 18,36 ha.</w:t>
      </w:r>
    </w:p>
  </w:footnote>
  <w:footnote w:id="140">
    <w:p w14:paraId="14C493EA" w14:textId="1600D899" w:rsidR="00F14EEC" w:rsidRPr="00F14EEC" w:rsidRDefault="00F14EEC" w:rsidP="00E2358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Conform informațiilor prezentate de către ÎM „Infocom” la situația din 31.12.2020, valoarea calculată a chiriei a 1124 de apartamente constituie 9599,68 lei, iar valoarea chiriei pentru 1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xml:space="preserve"> este de 0,20 lei. Prin urmare, suprafața celor 1124 de apartamente neprivatizate constituie </w:t>
      </w:r>
      <w:r w:rsidRPr="00F14EEC">
        <w:rPr>
          <w:rFonts w:asciiTheme="majorHAnsi" w:hAnsiTheme="majorHAnsi" w:cstheme="majorHAnsi"/>
          <w:iCs/>
          <w:sz w:val="16"/>
          <w:szCs w:val="16"/>
          <w:lang w:val="ro-MD"/>
        </w:rPr>
        <w:t>47998,4 m</w:t>
      </w:r>
      <w:r w:rsidRPr="00F14EEC">
        <w:rPr>
          <w:rFonts w:asciiTheme="majorHAnsi" w:hAnsiTheme="majorHAnsi" w:cstheme="majorHAnsi"/>
          <w:iCs/>
          <w:sz w:val="16"/>
          <w:szCs w:val="16"/>
          <w:vertAlign w:val="superscript"/>
          <w:lang w:val="ro-MD"/>
        </w:rPr>
        <w:t>2</w:t>
      </w:r>
      <w:r w:rsidRPr="00F14EEC">
        <w:rPr>
          <w:rFonts w:asciiTheme="majorHAnsi" w:hAnsiTheme="majorHAnsi" w:cstheme="majorHAnsi"/>
          <w:sz w:val="16"/>
          <w:szCs w:val="16"/>
          <w:vertAlign w:val="superscript"/>
          <w:lang w:val="ro-MD"/>
        </w:rPr>
        <w:t xml:space="preserve"> </w:t>
      </w:r>
      <w:r w:rsidRPr="00F14EEC">
        <w:rPr>
          <w:rFonts w:asciiTheme="majorHAnsi" w:hAnsiTheme="majorHAnsi" w:cstheme="majorHAnsi"/>
          <w:sz w:val="16"/>
          <w:szCs w:val="16"/>
          <w:lang w:val="ro-MD"/>
        </w:rPr>
        <w:t>(9599,68 lei : 0,2 lei/m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w:t>
      </w:r>
    </w:p>
  </w:footnote>
  <w:footnote w:id="141">
    <w:p w14:paraId="546B3AD8" w14:textId="7FCD91A9" w:rsidR="00F14EEC" w:rsidRPr="00F14EEC" w:rsidRDefault="00F14EEC" w:rsidP="00E2358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Conform Raportului privind rezultatele inventarierii bunurilor imobile aflate în proprietatea mun. Chișinău și a societăților pe acțiuni în care CMC deține cotă-parte integrală sau majoritară, la situația din 01.01.2021 (Anexele 63.1 – 63.23).</w:t>
      </w:r>
    </w:p>
  </w:footnote>
  <w:footnote w:id="142">
    <w:p w14:paraId="45C0C03E" w14:textId="202DFB2B" w:rsidR="00F14EEC" w:rsidRPr="00F14EEC" w:rsidRDefault="00F14EEC" w:rsidP="00195FD0">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Calibri" w:hAnsiTheme="majorHAnsi" w:cstheme="majorHAnsi"/>
          <w:sz w:val="16"/>
          <w:szCs w:val="16"/>
          <w:lang w:val="ro-MD"/>
        </w:rPr>
        <w:t>DGAURF ține evidența plăților aferente administrării fondului funciar prin intermediul Programului „Sistem informațional de management al  plăților funciare municipale Universul Accounting” (în continuare – SIA UA), care a fost elaborat și implementat de către un agent economic (c/f 1003600116460) în anul 2004.</w:t>
      </w:r>
    </w:p>
  </w:footnote>
  <w:footnote w:id="143">
    <w:p w14:paraId="0E9BD262" w14:textId="77777777" w:rsidR="00F14EEC" w:rsidRPr="00F14EEC" w:rsidRDefault="00F14EEC" w:rsidP="00195FD0">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25443,11mii lei= 22103,98(încasări arenda)+3024,95(folosința)+40,73(sume neidentificate)+273,45(penalitate);</w:t>
      </w:r>
    </w:p>
    <w:p w14:paraId="0AE2B480" w14:textId="77777777" w:rsidR="00F14EEC" w:rsidRPr="00F14EEC" w:rsidRDefault="00F14EEC" w:rsidP="00195FD0">
      <w:pPr>
        <w:pStyle w:val="FootnoteText"/>
        <w:ind w:right="-1"/>
        <w:jc w:val="both"/>
        <w:rPr>
          <w:rFonts w:asciiTheme="majorHAnsi" w:hAnsiTheme="majorHAnsi" w:cstheme="majorHAnsi"/>
          <w:sz w:val="16"/>
          <w:szCs w:val="16"/>
          <w:lang w:val="ro-MD"/>
        </w:rPr>
      </w:pPr>
      <w:r w:rsidRPr="00F14EEC">
        <w:rPr>
          <w:rFonts w:asciiTheme="majorHAnsi" w:hAnsiTheme="majorHAnsi" w:cstheme="majorHAnsi"/>
          <w:sz w:val="16"/>
          <w:szCs w:val="16"/>
          <w:lang w:val="ro-MD"/>
        </w:rPr>
        <w:t xml:space="preserve">   31781,55mii lei=20573,47+2315,46+366,85+8525,77;</w:t>
      </w:r>
    </w:p>
    <w:p w14:paraId="36333D23" w14:textId="3761B0F4" w:rsidR="00F14EEC" w:rsidRPr="00F14EEC" w:rsidRDefault="00F14EEC" w:rsidP="00195FD0">
      <w:pPr>
        <w:pStyle w:val="FootnoteText"/>
        <w:ind w:right="-1"/>
        <w:jc w:val="both"/>
        <w:rPr>
          <w:rFonts w:asciiTheme="majorHAnsi" w:hAnsiTheme="majorHAnsi" w:cstheme="majorHAnsi"/>
          <w:sz w:val="16"/>
          <w:szCs w:val="16"/>
          <w:lang w:val="ro-MD"/>
        </w:rPr>
      </w:pPr>
      <w:r w:rsidRPr="00F14EEC">
        <w:rPr>
          <w:rFonts w:asciiTheme="majorHAnsi" w:hAnsiTheme="majorHAnsi" w:cstheme="majorHAnsi"/>
          <w:sz w:val="16"/>
          <w:szCs w:val="16"/>
          <w:lang w:val="ro-MD"/>
        </w:rPr>
        <w:t xml:space="preserve">   26605,04mii lei=20190,18+3358,02+40,81+3016,03.</w:t>
      </w:r>
    </w:p>
  </w:footnote>
  <w:footnote w:id="144">
    <w:p w14:paraId="77685BE9" w14:textId="519E84D9" w:rsidR="00F14EEC" w:rsidRPr="00F14EEC" w:rsidRDefault="00F14EEC" w:rsidP="00B66BD1">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Regulamentul de organizare și funcționare a DGECT, aprobat prin Decizia nr.13/7 din 04.08.2020, alin.10, pct.18, 19 și 20.</w:t>
      </w:r>
    </w:p>
  </w:footnote>
  <w:footnote w:id="145">
    <w:p w14:paraId="07DC8C26" w14:textId="231B89EC" w:rsidR="00F14EEC" w:rsidRPr="00F14EEC" w:rsidRDefault="00F14EEC" w:rsidP="0034363D">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Terenurile cu numerele cadastrale 0100419.456 (0,1654 ha) și 0100521.294 (0,0656 ha), în valoare totală de 6708,75 mii lei, au fost contabilizate în anul 2018 de către DGECT. În anul 2019 aceste terenuri au fost înregistrate și în evidența contabilă a Primăriei (cod instituție 07229). </w:t>
      </w:r>
    </w:p>
  </w:footnote>
  <w:footnote w:id="146">
    <w:p w14:paraId="799AEFA7" w14:textId="4B771078" w:rsidR="00F14EEC" w:rsidRPr="00F14EEC" w:rsidRDefault="00F14EEC" w:rsidP="00B66BD1">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ECO 518410 „Garanția pentru ofertă”.</w:t>
      </w:r>
    </w:p>
  </w:footnote>
  <w:footnote w:id="147">
    <w:p w14:paraId="47E8DD2B" w14:textId="691F11FB" w:rsidR="00F14EEC" w:rsidRPr="00F14EEC" w:rsidRDefault="00F14EEC" w:rsidP="00B66BD1">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Plățile privind loturile adjudecate urmau a fi încasate la contul ECO 142251 „Plata pentru locațiunea patrimoniului public, încasată la bugetul local de nivelul II” – la Org2 14268 Acțiuni generale.</w:t>
      </w:r>
    </w:p>
  </w:footnote>
  <w:footnote w:id="148">
    <w:p w14:paraId="1CC2A65E" w14:textId="502463BE" w:rsidR="00F14EEC" w:rsidRPr="00F14EEC" w:rsidRDefault="00F14EEC" w:rsidP="00332FBE">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Din care: 983,21 mii lei  - în anul 2018; 1113,02 mii lei – în anul 2019, și 952,96 mii lei - în anul 2020.</w:t>
      </w:r>
    </w:p>
  </w:footnote>
  <w:footnote w:id="149">
    <w:p w14:paraId="72751440" w14:textId="00B32573" w:rsidR="00F14EEC" w:rsidRPr="00F14EEC" w:rsidRDefault="00F14EEC" w:rsidP="00332FBE">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Din care: în anul 2018 – 594,91 mii lei, în anul 2019 – 703,19 mii lei, și în anul 2020 – 662,01 mii lei.</w:t>
      </w:r>
    </w:p>
  </w:footnote>
  <w:footnote w:id="150">
    <w:p w14:paraId="1096CC9F" w14:textId="756E0C42" w:rsidR="00F14EEC" w:rsidRPr="00F14EEC" w:rsidRDefault="00F14EEC" w:rsidP="00332FBE">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Perioada auditată 01.01.2015 – 31.12.2019.</w:t>
      </w:r>
    </w:p>
  </w:footnote>
  <w:footnote w:id="151">
    <w:p w14:paraId="04349C7F" w14:textId="6C4F6FC4" w:rsidR="00F14EEC" w:rsidRPr="00F14EEC" w:rsidRDefault="00F14EEC" w:rsidP="0026150B">
      <w:pPr>
        <w:pStyle w:val="FootnoteText"/>
        <w:ind w:right="-22"/>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1. bd. Ștefan cel Mare și Sfânt 8/1 – str. Ismail; 2. bd. Gr. Vieru – bd. Renașterii Naționale,10; 3. bd. Gagarin 8/1; 4. str. Calea Ieșilor 3/1; 5. str. Ion Creangă 74/1.</w:t>
      </w:r>
    </w:p>
  </w:footnote>
  <w:footnote w:id="152">
    <w:p w14:paraId="71647878" w14:textId="4214A6BD" w:rsidR="00F14EEC" w:rsidRPr="00F14EEC" w:rsidRDefault="00F14EEC" w:rsidP="0026150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cu privire la comerțul interior nr. 231/2010. </w:t>
      </w:r>
    </w:p>
  </w:footnote>
  <w:footnote w:id="153">
    <w:p w14:paraId="492EE19E" w14:textId="70B5890C" w:rsidR="00F14EEC" w:rsidRPr="00F14EEC" w:rsidRDefault="00F14EEC" w:rsidP="0026150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„Ținerea la evidență a contractelor de locațiune/comodat/concesiune a patrimoniului municipal întocmite în cadrul Direcției”.</w:t>
      </w:r>
    </w:p>
  </w:footnote>
  <w:footnote w:id="154">
    <w:p w14:paraId="26924729" w14:textId="03953B87" w:rsidR="00F14EEC" w:rsidRPr="00F14EEC" w:rsidRDefault="00F14EEC" w:rsidP="0026150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SRL San Prim Grup, SRL Badimus, SRL Cantacom, ÎI Tamila Gololobova.</w:t>
      </w:r>
    </w:p>
  </w:footnote>
  <w:footnote w:id="155">
    <w:p w14:paraId="54C0C4CA" w14:textId="2103E59F" w:rsidR="00F14EEC" w:rsidRPr="00F14EEC" w:rsidRDefault="00F14EEC" w:rsidP="0026150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SRL San Prim Grup (69,4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SRL Badimus (13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SRL Cantacom (13,1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ÎI Tamila Gololobova (4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w:t>
      </w:r>
    </w:p>
  </w:footnote>
  <w:footnote w:id="156">
    <w:p w14:paraId="57D35EE4" w14:textId="695CF440" w:rsidR="00F14EEC" w:rsidRPr="00F14EEC" w:rsidRDefault="00F14EEC" w:rsidP="0026150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vertAlign w:val="superscript"/>
          <w:lang w:val="ro-MD"/>
        </w:rPr>
        <w:t xml:space="preserve"> </w:t>
      </w:r>
      <w:r w:rsidRPr="00F14EEC">
        <w:rPr>
          <w:rFonts w:asciiTheme="majorHAnsi" w:hAnsiTheme="majorHAnsi" w:cstheme="majorHAnsi"/>
          <w:sz w:val="16"/>
          <w:szCs w:val="16"/>
          <w:lang w:val="ro-MD"/>
        </w:rPr>
        <w:t>1. 22/14 din 03.04.2014 cu SA Lasko; 2. 23/14 din 03.04.2014 cu SRL Avics; 3. 25/14 din 03.04.2014 cu SRL Frezan Grup.</w:t>
      </w:r>
    </w:p>
  </w:footnote>
  <w:footnote w:id="157">
    <w:p w14:paraId="62EC35E8" w14:textId="4B5A2E70" w:rsidR="00F14EEC" w:rsidRPr="00F14EEC" w:rsidRDefault="00F14EEC" w:rsidP="0026150B">
      <w:pPr>
        <w:pStyle w:val="FootnoteText"/>
        <w:jc w:val="both"/>
        <w:rPr>
          <w:rFonts w:asciiTheme="majorHAnsi" w:hAnsiTheme="majorHAnsi" w:cstheme="majorHAnsi"/>
          <w:iCs/>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SRL Univers-Super; SRL Maidenlin; ÎI Rotari-Xenia; SRL „Avent”; ÎI Coban.</w:t>
      </w:r>
    </w:p>
  </w:footnote>
  <w:footnote w:id="158">
    <w:p w14:paraId="1ADCE066" w14:textId="2B5B7F8B" w:rsidR="00F14EEC" w:rsidRPr="00F14EEC" w:rsidRDefault="00F14EEC" w:rsidP="0026150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 exemplu: 06-2-4769 din 21.12.2016 către SRL Maidenlin; 06-2-3439 din 22.12.2016 către SRL Univers-Super.</w:t>
      </w:r>
    </w:p>
  </w:footnote>
  <w:footnote w:id="159">
    <w:p w14:paraId="63C7A75A" w14:textId="6969DFC1" w:rsidR="00F14EEC" w:rsidRPr="00F14EEC" w:rsidRDefault="00F14EEC" w:rsidP="0026150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SRL Badimus; SRL Avent; SRL San Prim Grup.</w:t>
      </w:r>
    </w:p>
  </w:footnote>
  <w:footnote w:id="160">
    <w:p w14:paraId="7D6C22A6" w14:textId="3D471F96" w:rsidR="00F14EEC" w:rsidRPr="00F14EEC" w:rsidRDefault="00F14EEC" w:rsidP="00332FB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Anul 2018 – de la 904,65 lei până la 1228,69 lei; anul 2019 – de la 781,77 lei până la 1475,90 lei; anul 2020 – de la 1123,49 lei până la 1489,52 lei.  Calcul dedus de către audit prin raportarea sumei plății anuale încasate în bugetul municipal la suprafața încăperii transmise în locațiune.</w:t>
      </w:r>
    </w:p>
  </w:footnote>
  <w:footnote w:id="161">
    <w:p w14:paraId="387A3D48" w14:textId="5B9DFA2D" w:rsidR="00F14EEC" w:rsidRPr="00F14EEC" w:rsidRDefault="00F14EEC" w:rsidP="00332FB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Anul 2018 – de la 7045,37 lei până la 76458,39 lei; anul 2019 – de la 4854,19 lei până la 64138,75 lei; anul 2020 – de la 10208,33 lei până la 19938,65 lei. Tarif dedus de către echipa de audit prin raportarea sumei anuale din facturile fiscale eliberate de către locatari sublocatarilor la suprafața eliberată în sublocațiune. (Informație preluată din SIA al SFS). </w:t>
      </w:r>
    </w:p>
  </w:footnote>
  <w:footnote w:id="162">
    <w:p w14:paraId="4A610946" w14:textId="56937606" w:rsidR="00F14EEC" w:rsidRPr="00F14EEC" w:rsidRDefault="00F14EEC" w:rsidP="00B43A26">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HCC nr.7 din 26.12.2021 „Cu privire la Raportul auditului asupra conformității organizării, realizării și supravegherii parteneriatelor public-private încheiate de Ministerul Educației, Culturii și Cercetării, Academia de Științe a Moldovei, UAT mun. Chișinău și entitățile din subordine”.</w:t>
      </w:r>
    </w:p>
  </w:footnote>
  <w:footnote w:id="163">
    <w:p w14:paraId="07AD8F03" w14:textId="3E6AFCFB" w:rsidR="00F14EEC" w:rsidRPr="00F14EEC" w:rsidRDefault="00F14EEC" w:rsidP="00B43A26">
      <w:pPr>
        <w:spacing w:after="0" w:line="240" w:lineRule="auto"/>
        <w:ind w:right="-1"/>
        <w:jc w:val="both"/>
        <w:rPr>
          <w:rFonts w:asciiTheme="majorHAnsi" w:eastAsia="Calibr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hyperlink r:id="rId1" w:history="1">
        <w:r w:rsidRPr="00F14EEC">
          <w:rPr>
            <w:rStyle w:val="Hyperlink"/>
            <w:rFonts w:asciiTheme="majorHAnsi" w:eastAsia="Calibri" w:hAnsiTheme="majorHAnsi" w:cstheme="majorHAnsi"/>
            <w:sz w:val="16"/>
            <w:szCs w:val="16"/>
            <w:lang w:val="ro-MD"/>
          </w:rPr>
          <w:t>https://chisinau.md/public/files/anul_2022/sedinte/12.05.22/9._PPP_pasaj_Ștefan_cel_Mare.PDF</w:t>
        </w:r>
      </w:hyperlink>
    </w:p>
  </w:footnote>
  <w:footnote w:id="164">
    <w:p w14:paraId="28540BA1" w14:textId="6323A398" w:rsidR="00F14EEC" w:rsidRPr="00F14EEC" w:rsidRDefault="00F14EEC" w:rsidP="00B43A26">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Conform experților în piața imobiliară a capitalei, prețul mediu de arendă a spațiilor comerciale în zona PSP-ului este de 16 euro/m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xml:space="preserve"> (8-20 euro/m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Prețul real de arendă/subarendă a spațiilor în pasajele subterane din mun. Chișinău este cuprins în intervalul 5-12 euro/m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Pentru suprafețele de până la 2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la moment, în PSP se colectează taxe neoficiale de locațiune de cca 70-80 euro/m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Acest aspect constituie un factor pentru fezabilitatea proiectului.</w:t>
      </w:r>
    </w:p>
  </w:footnote>
  <w:footnote w:id="165">
    <w:p w14:paraId="3B4EF967" w14:textId="6045763D" w:rsidR="00F14EEC" w:rsidRPr="00F14EEC" w:rsidRDefault="00F14EEC" w:rsidP="00B43A26">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Prețul minim pentru locațiunea 1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10,2 mii lei/an x 823,2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xml:space="preserve"> (suprafața transmisă în locațiune) = </w:t>
      </w:r>
      <w:r w:rsidRPr="00F14EEC">
        <w:rPr>
          <w:rFonts w:asciiTheme="majorHAnsi" w:hAnsiTheme="majorHAnsi" w:cstheme="majorHAnsi"/>
          <w:b/>
          <w:sz w:val="16"/>
          <w:szCs w:val="16"/>
          <w:lang w:val="ro-MD"/>
        </w:rPr>
        <w:t>8.396,64 mii lei/an;</w:t>
      </w:r>
      <w:r w:rsidRPr="00F14EEC">
        <w:rPr>
          <w:rFonts w:asciiTheme="majorHAnsi" w:hAnsiTheme="majorHAnsi" w:cstheme="majorHAnsi"/>
          <w:sz w:val="16"/>
          <w:szCs w:val="16"/>
          <w:lang w:val="ro-MD"/>
        </w:rPr>
        <w:t xml:space="preserve"> 8.396,64 mii lei : 12 luni =</w:t>
      </w:r>
      <w:r w:rsidRPr="00F14EEC">
        <w:rPr>
          <w:rFonts w:asciiTheme="majorHAnsi" w:hAnsiTheme="majorHAnsi" w:cstheme="majorHAnsi"/>
          <w:b/>
          <w:sz w:val="16"/>
          <w:szCs w:val="16"/>
          <w:lang w:val="ro-MD"/>
        </w:rPr>
        <w:t>699,72 mii lei/lună;</w:t>
      </w:r>
      <w:r w:rsidRPr="00F14EEC">
        <w:rPr>
          <w:rFonts w:asciiTheme="majorHAnsi" w:hAnsiTheme="majorHAnsi" w:cstheme="majorHAnsi"/>
          <w:sz w:val="16"/>
          <w:szCs w:val="16"/>
          <w:lang w:val="ro-MD"/>
        </w:rPr>
        <w:t xml:space="preserve"> 24,4 mil.lei /699,72 mii lei = </w:t>
      </w:r>
      <w:r w:rsidRPr="00F14EEC">
        <w:rPr>
          <w:rFonts w:asciiTheme="majorHAnsi" w:hAnsiTheme="majorHAnsi" w:cstheme="majorHAnsi"/>
          <w:b/>
          <w:sz w:val="16"/>
          <w:szCs w:val="16"/>
          <w:lang w:val="ro-MD"/>
        </w:rPr>
        <w:t>34,9 luni.</w:t>
      </w:r>
    </w:p>
  </w:footnote>
  <w:footnote w:id="166">
    <w:p w14:paraId="4CDBBDB8" w14:textId="5D6745AB" w:rsidR="00F14EEC" w:rsidRPr="00F14EEC" w:rsidRDefault="00F14EEC" w:rsidP="00B43A26">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https://mtender.gov.md/tenders/ocds-b3wdp1-MD-1629829246824?tab=contract-notice.</w:t>
      </w:r>
    </w:p>
  </w:footnote>
  <w:footnote w:id="167">
    <w:p w14:paraId="250A0A72" w14:textId="061E5345" w:rsidR="00F14EEC" w:rsidRPr="00F14EEC" w:rsidRDefault="00F14EEC" w:rsidP="00B43A26">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Pasajul subteran pietonal din șos. Hâncești, 86 (Ministerul Apărării în adiacenta intersecției cu str. Sihastrului) și pasajul </w:t>
      </w:r>
      <w:r w:rsidRPr="00F14EEC">
        <w:rPr>
          <w:rFonts w:asciiTheme="majorHAnsi" w:eastAsia="Calibri" w:hAnsiTheme="majorHAnsi" w:cstheme="majorHAnsi"/>
          <w:sz w:val="16"/>
          <w:szCs w:val="16"/>
          <w:lang w:val="ro-MD"/>
        </w:rPr>
        <w:t>subteran de pietoni din șos. Hâncești, 178 (Stația Terminus intersecția cu str. M. Lermontov).</w:t>
      </w:r>
    </w:p>
  </w:footnote>
  <w:footnote w:id="168">
    <w:p w14:paraId="0D3F7FA6" w14:textId="7B1E1E28" w:rsidR="00F14EEC" w:rsidRPr="00F14EEC" w:rsidRDefault="00F14EEC" w:rsidP="00B43A26">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Dimensiunile PSP din șos. Hâncești, 86 (Ministerul Apărării în adiacenta intersecției cu str. Sihastrului) sunt de 60 m (L) 4m (l) 2,5m (h), suprafața =[2x(L x l) + 2x(L x h)] = 780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xml:space="preserve"> și pasajul </w:t>
      </w:r>
      <w:r w:rsidRPr="00F14EEC">
        <w:rPr>
          <w:rFonts w:asciiTheme="majorHAnsi" w:eastAsia="Calibri" w:hAnsiTheme="majorHAnsi" w:cstheme="majorHAnsi"/>
          <w:sz w:val="16"/>
          <w:szCs w:val="16"/>
          <w:lang w:val="ro-MD"/>
        </w:rPr>
        <w:t xml:space="preserve">subteran de pietoni din șos. Hâncești, 178 (Stația Terminus intersecția cu str. M. Lermontov) sunt de </w:t>
      </w:r>
      <w:r w:rsidRPr="00F14EEC">
        <w:rPr>
          <w:rFonts w:asciiTheme="majorHAnsi" w:hAnsiTheme="majorHAnsi" w:cstheme="majorHAnsi"/>
          <w:sz w:val="16"/>
          <w:szCs w:val="16"/>
          <w:lang w:val="ro-MD"/>
        </w:rPr>
        <w:t>40m (L) 3m (l) 2,5m (h), suprafața =[2x(L x l) + 2x(L x h)] = 480 m</w:t>
      </w:r>
      <w:r w:rsidRPr="00F14EEC">
        <w:rPr>
          <w:rFonts w:asciiTheme="majorHAnsi" w:hAnsiTheme="majorHAnsi" w:cstheme="majorHAnsi"/>
          <w:sz w:val="16"/>
          <w:szCs w:val="16"/>
          <w:vertAlign w:val="superscript"/>
          <w:lang w:val="ro-MD"/>
        </w:rPr>
        <w:t>2</w:t>
      </w:r>
      <w:r w:rsidRPr="00F14EEC">
        <w:rPr>
          <w:rFonts w:asciiTheme="majorHAnsi" w:eastAsia="Calibri" w:hAnsiTheme="majorHAnsi" w:cstheme="majorHAnsi"/>
          <w:sz w:val="16"/>
          <w:szCs w:val="16"/>
          <w:lang w:val="ro-MD"/>
        </w:rPr>
        <w:t xml:space="preserve"> (date preluate din rezultatele inventarierii); 5,9 mil. / 1260m</w:t>
      </w:r>
      <w:r w:rsidRPr="00F14EEC">
        <w:rPr>
          <w:rFonts w:asciiTheme="majorHAnsi" w:eastAsia="Calibri" w:hAnsiTheme="majorHAnsi" w:cstheme="majorHAnsi"/>
          <w:sz w:val="16"/>
          <w:szCs w:val="16"/>
          <w:vertAlign w:val="superscript"/>
          <w:lang w:val="ro-MD"/>
        </w:rPr>
        <w:t xml:space="preserve">2 </w:t>
      </w:r>
      <w:r w:rsidRPr="00F14EEC">
        <w:rPr>
          <w:rFonts w:asciiTheme="majorHAnsi" w:eastAsia="Calibri" w:hAnsiTheme="majorHAnsi" w:cstheme="majorHAnsi"/>
          <w:sz w:val="16"/>
          <w:szCs w:val="16"/>
          <w:lang w:val="ro-MD"/>
        </w:rPr>
        <w:t>= 4695 lei/m</w:t>
      </w:r>
      <w:r w:rsidRPr="00F14EEC">
        <w:rPr>
          <w:rFonts w:asciiTheme="majorHAnsi" w:eastAsia="Calibri" w:hAnsiTheme="majorHAnsi" w:cstheme="majorHAnsi"/>
          <w:sz w:val="16"/>
          <w:szCs w:val="16"/>
          <w:vertAlign w:val="superscript"/>
          <w:lang w:val="ro-MD"/>
        </w:rPr>
        <w:t>2</w:t>
      </w:r>
      <w:r w:rsidRPr="00F14EEC">
        <w:rPr>
          <w:rFonts w:asciiTheme="majorHAnsi" w:eastAsia="Calibri" w:hAnsiTheme="majorHAnsi" w:cstheme="majorHAnsi"/>
          <w:sz w:val="16"/>
          <w:szCs w:val="16"/>
          <w:lang w:val="ro-MD"/>
        </w:rPr>
        <w:t xml:space="preserve"> – prețul de reparație.</w:t>
      </w:r>
    </w:p>
  </w:footnote>
  <w:footnote w:id="169">
    <w:p w14:paraId="5810BAAD" w14:textId="0C3E2A15" w:rsidR="00F14EEC" w:rsidRPr="00F14EEC" w:rsidRDefault="00F14EEC" w:rsidP="00B43A26">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Urmează a fi executate aproximativ aceleași lucrări de reabilitare care au fost executate și în alte pasaje subterane de pietoni (restabilirea treptelor, reparația pereților/tavanului, instalarea echipamentelor moderne de iluminare, instalarea camerelor de supraveghere pentru monitorizarea ordinii publice, etc.).</w:t>
      </w:r>
    </w:p>
  </w:footnote>
  <w:footnote w:id="170">
    <w:p w14:paraId="14D6619B" w14:textId="2CBF5362" w:rsidR="00F14EEC" w:rsidRPr="00F14EEC" w:rsidRDefault="00F14EEC" w:rsidP="00B43A26">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Sumă dedusă ca produs dintre costul de reparație a 1m</w:t>
      </w:r>
      <w:r w:rsidRPr="00F14EEC">
        <w:rPr>
          <w:rFonts w:asciiTheme="majorHAnsi" w:hAnsiTheme="majorHAnsi" w:cstheme="majorHAnsi"/>
          <w:sz w:val="16"/>
          <w:szCs w:val="16"/>
          <w:vertAlign w:val="superscript"/>
          <w:lang w:val="ro-MD"/>
        </w:rPr>
        <w:t xml:space="preserve">2 </w:t>
      </w:r>
      <w:r w:rsidRPr="00F14EEC">
        <w:rPr>
          <w:rFonts w:asciiTheme="majorHAnsi" w:hAnsiTheme="majorHAnsi" w:cstheme="majorHAnsi"/>
          <w:sz w:val="16"/>
          <w:szCs w:val="16"/>
          <w:lang w:val="ro-MD"/>
        </w:rPr>
        <w:t xml:space="preserve">și suprafața totală a PSP: </w:t>
      </w:r>
      <w:r w:rsidRPr="00F14EEC">
        <w:rPr>
          <w:rFonts w:asciiTheme="majorHAnsi" w:hAnsiTheme="majorHAnsi" w:cstheme="majorHAnsi"/>
          <w:b/>
          <w:sz w:val="16"/>
          <w:szCs w:val="16"/>
          <w:lang w:val="ro-MD"/>
        </w:rPr>
        <w:t>4695 lei/m</w:t>
      </w:r>
      <w:r w:rsidRPr="00F14EEC">
        <w:rPr>
          <w:rFonts w:asciiTheme="majorHAnsi" w:hAnsiTheme="majorHAnsi" w:cstheme="majorHAnsi"/>
          <w:b/>
          <w:sz w:val="16"/>
          <w:szCs w:val="16"/>
          <w:vertAlign w:val="superscript"/>
          <w:lang w:val="ro-MD"/>
        </w:rPr>
        <w:t>2</w:t>
      </w:r>
      <w:r w:rsidRPr="00F14EEC">
        <w:rPr>
          <w:rFonts w:asciiTheme="majorHAnsi" w:hAnsiTheme="majorHAnsi" w:cstheme="majorHAnsi"/>
          <w:b/>
          <w:sz w:val="16"/>
          <w:szCs w:val="16"/>
          <w:lang w:val="ro-MD"/>
        </w:rPr>
        <w:t xml:space="preserve"> x 3301,2 m2=15,5 mil. lei.</w:t>
      </w:r>
    </w:p>
  </w:footnote>
  <w:footnote w:id="171">
    <w:p w14:paraId="448DBA1D" w14:textId="1D0A72AB" w:rsidR="00F14EEC" w:rsidRPr="00F14EEC" w:rsidRDefault="00F14EEC" w:rsidP="00332FB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Conform Hotărârii Judecătoriei Chișinău, sediul Centru, din 15.12.2016 – „se obligă SRL „Ianus” să elibereze încăperile date în locațiune, pasajul subteran pietonal situat la intersecția bd. Ștefan cel Mare și Sfânt cu str. Ismail, mun. Chișinău”; Deciziei Colegiului Civil al Curții de Apel Chișinău din 10.10.2017 – „se menține Hotărârea Judecătoriei Centru din 15.12.2016, Decizia este definitivă și executorie din momentul pronunțării, însă poate fi atacată cu recurs la CSJ”. Procedura de executare a fost intentată la 20.08.2018. Decizia CSJ nr. 2rac-14/19 din 20.02.2019.</w:t>
      </w:r>
    </w:p>
  </w:footnote>
  <w:footnote w:id="172">
    <w:p w14:paraId="0C29C4E7" w14:textId="4F69A4EC" w:rsidR="00F14EEC" w:rsidRPr="00F14EEC" w:rsidRDefault="00F14EEC" w:rsidP="00332FB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02-20 din 01.07.1997 (860,1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și 9/1 din 14.01.2004 (13,9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w:t>
      </w:r>
    </w:p>
  </w:footnote>
  <w:footnote w:id="173">
    <w:p w14:paraId="397387A4" w14:textId="1343794D" w:rsidR="00F14EEC" w:rsidRPr="00F14EEC" w:rsidRDefault="00F14EEC" w:rsidP="00332FB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02-20 din 01.07.1997 – expirat la 01.07.2006, și 9/1 din 13.01.2004 – expirat la 01.07.2007.</w:t>
      </w:r>
    </w:p>
  </w:footnote>
  <w:footnote w:id="174">
    <w:p w14:paraId="2027817C" w14:textId="77777777" w:rsidR="00F14EEC" w:rsidRPr="00F14EEC" w:rsidRDefault="00F14EEC" w:rsidP="00332FB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DGECT asigură numai evidența contractelor care sunt încheiate de către aceasta. </w:t>
      </w:r>
    </w:p>
  </w:footnote>
  <w:footnote w:id="175">
    <w:p w14:paraId="269F42E5" w14:textId="78934990" w:rsidR="00F14EEC" w:rsidRPr="00F14EEC" w:rsidRDefault="00F14EEC" w:rsidP="00332FB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Hotărârea Curții de Conturi nr.37 din 31 iulie 2012 privind Raportul auditului bugetelor unităților administrativ-teritoriale și gestionării patrimoniului public în mun. Chișinău în perioada 2010-2011; Hotărârea Curții de Conturi nr.35 din 28 iunie 2013 privind Raportul auditului bugetelor și gestionării patrimoniului public în anul 2012 în cadrul unităților administrativ-teritoriale din mun. Chișinău.</w:t>
      </w:r>
    </w:p>
  </w:footnote>
  <w:footnote w:id="176">
    <w:p w14:paraId="46D624A8" w14:textId="0D2729BB" w:rsidR="00F14EEC" w:rsidRPr="00F14EEC" w:rsidRDefault="00F14EEC" w:rsidP="00332FBE">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Conform Hotărârii Judecătoriei Chișinău, sediul Centru, din 01.02.2021 (Dosarul nr.2i-9/21).</w:t>
      </w:r>
    </w:p>
  </w:footnote>
  <w:footnote w:id="177">
    <w:p w14:paraId="03B607DF" w14:textId="670013DC" w:rsidR="00F14EEC" w:rsidRPr="00F14EEC" w:rsidRDefault="00F14EEC" w:rsidP="00FE31F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17 dosare aferente licitațiilor funciare; 9 dosare aferente privatizării terenurilor adiacente bunurilor imobile private și 9 dosare ale tranzacțiilor de privatizare a terenului aferent caselor de locuit particulare.</w:t>
      </w:r>
    </w:p>
  </w:footnote>
  <w:footnote w:id="178">
    <w:p w14:paraId="11E5BCC4" w14:textId="7F15D75F" w:rsidR="00F14EEC" w:rsidRPr="00F14EEC" w:rsidRDefault="00F14EEC" w:rsidP="00756E07">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Decizia CMC nr.6/2 din 04.10.2018. </w:t>
      </w:r>
    </w:p>
  </w:footnote>
  <w:footnote w:id="179">
    <w:p w14:paraId="1A0DD426" w14:textId="77777777" w:rsidR="00F14EEC" w:rsidRPr="00F14EEC" w:rsidRDefault="00F14EEC" w:rsidP="00225D2B">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Art.3 alin.(2) și art.4 alin. (2) și alin.(5) lit. b) din Legea nr.1308 din 02.04.2013 „Privind prețul normativ și modul de vânzare-cumpărare a pământului” : </w:t>
      </w:r>
      <w:r w:rsidRPr="00F14EEC">
        <w:rPr>
          <w:rFonts w:asciiTheme="majorHAnsi" w:hAnsiTheme="majorHAnsi" w:cstheme="majorHAnsi"/>
          <w:i/>
          <w:sz w:val="16"/>
          <w:szCs w:val="16"/>
          <w:lang w:val="ro-MD"/>
        </w:rPr>
        <w:t xml:space="preserve">vânzarea-cumpărarea pământului se efectuează prin contractul de vânzare-cumpărare la preț normativ, prin concurs sau la licitație; </w:t>
      </w:r>
      <w:r w:rsidRPr="00F14EEC">
        <w:rPr>
          <w:rFonts w:asciiTheme="majorHAnsi" w:eastAsia="Times New Roman" w:hAnsiTheme="majorHAnsi" w:cstheme="majorHAnsi"/>
          <w:i/>
          <w:sz w:val="16"/>
          <w:szCs w:val="16"/>
          <w:lang w:val="ro-MD"/>
        </w:rPr>
        <w:t xml:space="preserve">vânzarea-cumpărarea terenurilor din domeniul privat al unităților administrativ-teritoriale se efectuează de către autoritățile administrației publice locale la decizia consiliului respectiv. Vânzătorul soluționează toate problemele referitoare la construcțiile, instalațiile inginerești, plantațiile multianuale și la alte bunuri imobile amplasate pe aceste terenuri; vânzarea-cumpărarea terenurilor proprietate publică se efectuează astfel: a) cumpărătorul (persoană fizică sau persoană juridică) depune la primăria municipiului, orașului, satului (comunei) o cerere de cumpărare a terenului; b) </w:t>
      </w:r>
      <w:r w:rsidRPr="00F14EEC">
        <w:rPr>
          <w:rFonts w:asciiTheme="majorHAnsi" w:eastAsia="Times New Roman" w:hAnsiTheme="majorHAnsi" w:cstheme="majorHAnsi"/>
          <w:b/>
          <w:i/>
          <w:sz w:val="16"/>
          <w:szCs w:val="16"/>
          <w:lang w:val="ro-MD"/>
        </w:rPr>
        <w:t>primarul municipiului</w:t>
      </w:r>
      <w:r w:rsidRPr="00F14EEC">
        <w:rPr>
          <w:rFonts w:asciiTheme="majorHAnsi" w:eastAsia="Times New Roman" w:hAnsiTheme="majorHAnsi" w:cstheme="majorHAnsi"/>
          <w:i/>
          <w:sz w:val="16"/>
          <w:szCs w:val="16"/>
          <w:lang w:val="ro-MD"/>
        </w:rPr>
        <w:t xml:space="preserve">, orașului, satului (comunei), în baza deciziei consiliului, aprobă planul geometric al terenului, elaborat în modul stabilit de legislație, în baza schemei terenului, de către serviciul specializat al autorității administrației publice locale sau, după necesitate, de întreprinderea licențiată în domeniul urbanismului, </w:t>
      </w:r>
      <w:r w:rsidRPr="00F14EEC">
        <w:rPr>
          <w:rFonts w:asciiTheme="majorHAnsi" w:eastAsia="Times New Roman" w:hAnsiTheme="majorHAnsi" w:cstheme="majorHAnsi"/>
          <w:b/>
          <w:i/>
          <w:sz w:val="16"/>
          <w:szCs w:val="16"/>
          <w:lang w:val="ro-MD"/>
        </w:rPr>
        <w:t xml:space="preserve">determină prețul terenului </w:t>
      </w:r>
      <w:r w:rsidRPr="00F14EEC">
        <w:rPr>
          <w:rFonts w:asciiTheme="majorHAnsi" w:eastAsia="Times New Roman" w:hAnsiTheme="majorHAnsi" w:cstheme="majorHAnsi"/>
          <w:i/>
          <w:sz w:val="16"/>
          <w:szCs w:val="16"/>
          <w:lang w:val="ro-MD"/>
        </w:rPr>
        <w:t xml:space="preserve">(sectorului de teren), </w:t>
      </w:r>
      <w:r w:rsidRPr="00F14EEC">
        <w:rPr>
          <w:rFonts w:asciiTheme="majorHAnsi" w:eastAsia="Times New Roman" w:hAnsiTheme="majorHAnsi" w:cstheme="majorHAnsi"/>
          <w:b/>
          <w:i/>
          <w:sz w:val="16"/>
          <w:szCs w:val="16"/>
          <w:lang w:val="ro-MD"/>
        </w:rPr>
        <w:t>încheie contractul de vânzare-cumpărare și stabilește termenul de achitare a plății</w:t>
      </w:r>
      <w:r w:rsidRPr="00F14EEC">
        <w:rPr>
          <w:rFonts w:asciiTheme="majorHAnsi" w:eastAsia="Times New Roman" w:hAnsiTheme="majorHAnsi" w:cstheme="majorHAnsi"/>
          <w:i/>
          <w:sz w:val="16"/>
          <w:szCs w:val="16"/>
          <w:lang w:val="ro-MD"/>
        </w:rPr>
        <w:t>.</w:t>
      </w:r>
    </w:p>
  </w:footnote>
  <w:footnote w:id="180">
    <w:p w14:paraId="358774DC" w14:textId="4E064381" w:rsidR="00F14EEC" w:rsidRPr="00F14EEC" w:rsidRDefault="00F14EEC" w:rsidP="00756E07">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Decizia CMC nr.5/17 din 19.12.2018„Despre aprobarea Regulamentului privind organizarea și desfășurarea licitațiilor funciare cu strigare în municipiul Chișinău”.</w:t>
      </w:r>
    </w:p>
  </w:footnote>
  <w:footnote w:id="181">
    <w:p w14:paraId="289AE49B" w14:textId="2398F2C6" w:rsidR="00F14EEC" w:rsidRPr="00F14EEC" w:rsidRDefault="00F14EEC" w:rsidP="00756E07">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Art.4 alin. (2) și alin.(5) lit. b) din Legea nr.1308-XIII din 25.07.1997.  </w:t>
      </w:r>
    </w:p>
  </w:footnote>
  <w:footnote w:id="182">
    <w:p w14:paraId="5940C920" w14:textId="77777777" w:rsidR="00F14EEC" w:rsidRPr="00F14EEC" w:rsidRDefault="00F14EEC" w:rsidP="00756E07">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https://999.md/ru/78058298</w:t>
      </w:r>
    </w:p>
  </w:footnote>
  <w:footnote w:id="183">
    <w:p w14:paraId="71A9A1F9" w14:textId="22EC9DDB" w:rsidR="00F14EEC" w:rsidRPr="00F14EEC" w:rsidRDefault="00F14EEC" w:rsidP="00756E07">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Art.4 alin.(9) din Legea nr. 1308/1997.</w:t>
      </w:r>
    </w:p>
  </w:footnote>
  <w:footnote w:id="184">
    <w:p w14:paraId="13B7C066" w14:textId="4269FF59" w:rsidR="00F14EEC" w:rsidRPr="00F14EEC" w:rsidRDefault="00F14EEC" w:rsidP="00756E07">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Art.4 alin. (5) lit. b) din Legea nr.1308/1997.</w:t>
      </w:r>
    </w:p>
  </w:footnote>
  <w:footnote w:id="185">
    <w:p w14:paraId="0B5CD51C" w14:textId="1B039572" w:rsidR="00F14EEC" w:rsidRPr="00F14EEC" w:rsidRDefault="00F14EEC" w:rsidP="00756E07">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Conform Legii nr.1308 din 25.07.1997, art.4, alin.(9) „Terenul care, după parametri și amplasare, nu poate fi format ca bun imobil de sine stătător se vinde prin concurs sau la licitație deținătorilor de terenuri adiacente. În cazul în care există un singur deținător de teren adiacent, vânzarea-cumpărarea terenului care nu poate fi format ca bun imobil de sine stătător se efectuează la prețul normativ al pământului. Această prevedere se aplică și relațiilor de arendă a unor astfel de terenuri.”</w:t>
      </w:r>
    </w:p>
  </w:footnote>
  <w:footnote w:id="186">
    <w:p w14:paraId="5484A7CB" w14:textId="073B0882" w:rsidR="00F14EEC" w:rsidRPr="00F14EEC" w:rsidRDefault="00F14EEC" w:rsidP="00756E07">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Prețul normativ al terenurilor cu destinație agricolă, loturilor de pământ de pe lângă casă și al terenurilor întovărășirilor pomicole se calculează prin aplicarea coeficientului 0,3 la tarifele specificate la poziția I din anexă.</w:t>
      </w:r>
    </w:p>
  </w:footnote>
  <w:footnote w:id="187">
    <w:p w14:paraId="0A1B04F4" w14:textId="5E3DB749" w:rsidR="00F14EEC" w:rsidRPr="00F14EEC" w:rsidRDefault="00F14EEC" w:rsidP="00756E07">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Raportul aprobat prin </w:t>
      </w:r>
      <w:r w:rsidRPr="00F14EEC">
        <w:rPr>
          <w:rFonts w:asciiTheme="majorHAnsi" w:eastAsia="Times New Roman" w:hAnsiTheme="majorHAnsi" w:cstheme="majorHAnsi"/>
          <w:sz w:val="16"/>
          <w:szCs w:val="16"/>
          <w:lang w:val="ro-MD"/>
        </w:rPr>
        <w:t xml:space="preserve">HCC nr.9 din 12.02.2004; Raportul aprobat prin HCC </w:t>
      </w:r>
      <w:r w:rsidRPr="00F14EEC">
        <w:rPr>
          <w:rFonts w:asciiTheme="majorHAnsi" w:eastAsia="Times New Roman" w:hAnsiTheme="majorHAnsi" w:cstheme="majorHAnsi"/>
          <w:bCs/>
          <w:sz w:val="16"/>
          <w:szCs w:val="16"/>
          <w:lang w:val="ro-MD"/>
        </w:rPr>
        <w:t>nr.2 din 13 februarie 2018.</w:t>
      </w:r>
    </w:p>
  </w:footnote>
  <w:footnote w:id="188">
    <w:p w14:paraId="41D18346" w14:textId="366A9000" w:rsidR="00F14EEC" w:rsidRPr="00F14EEC" w:rsidRDefault="00F14EEC" w:rsidP="001D44BF">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anul 2018 - 110 decizii; în anul 2019 - 113 decizii; în anul 2020- 263 decizii.</w:t>
      </w:r>
    </w:p>
  </w:footnote>
  <w:footnote w:id="189">
    <w:p w14:paraId="05AD0FDF" w14:textId="547AD69C" w:rsidR="00F14EEC" w:rsidRPr="00F14EEC" w:rsidRDefault="00F14EEC" w:rsidP="00E37505">
      <w:pPr>
        <w:pStyle w:val="FootnoteText"/>
        <w:ind w:right="-612"/>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417.90 m</w:t>
      </w:r>
      <w:r w:rsidRPr="00F14EEC">
        <w:rPr>
          <w:rFonts w:asciiTheme="majorHAnsi" w:hAnsiTheme="majorHAnsi" w:cstheme="majorHAnsi"/>
          <w:sz w:val="16"/>
          <w:szCs w:val="16"/>
          <w:vertAlign w:val="superscript"/>
          <w:lang w:val="ro-MD"/>
        </w:rPr>
        <w:t>2</w:t>
      </w:r>
      <w:r w:rsidRPr="00F14EEC">
        <w:rPr>
          <w:rFonts w:asciiTheme="majorHAnsi" w:hAnsiTheme="majorHAnsi" w:cstheme="majorHAnsi"/>
          <w:sz w:val="16"/>
          <w:szCs w:val="16"/>
          <w:lang w:val="ro-MD"/>
        </w:rPr>
        <w:t xml:space="preserve"> x 444.00 euro = 185547.60 euro x 20.50 lei/euro (în vigoare în anul 2017).</w:t>
      </w:r>
    </w:p>
  </w:footnote>
  <w:footnote w:id="190">
    <w:p w14:paraId="5B46948F" w14:textId="6A278BD8" w:rsidR="00F14EEC" w:rsidRPr="00F14EEC" w:rsidRDefault="00F14EEC" w:rsidP="00E37505">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Hotărârea CCRM nr. 2 din 13.02.2018 „Cu privire la Raportul auditului conformității evidenței, înregistrării și gestionării patrimoniului public, precum și a impozitării bunurilor imobile”.</w:t>
      </w:r>
    </w:p>
  </w:footnote>
  <w:footnote w:id="191">
    <w:p w14:paraId="3DBE14C8" w14:textId="77777777" w:rsidR="00F14EEC" w:rsidRPr="00F14EEC" w:rsidRDefault="00F14EEC" w:rsidP="00E37505">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deciziile CMC este specificată doar rata procentuală (</w:t>
      </w:r>
      <w:r w:rsidRPr="00F14EEC">
        <w:rPr>
          <w:rFonts w:asciiTheme="majorHAnsi" w:hAnsiTheme="majorHAnsi" w:cstheme="majorHAnsi"/>
          <w:bCs/>
          <w:sz w:val="16"/>
          <w:szCs w:val="16"/>
          <w:lang w:val="ro-MD"/>
        </w:rPr>
        <w:t>între 5% și 20%) din numărul total de locuințe ce urmează a fi construite, fără specificarea suprafeței fondului locativ, care urmează a fi transmis în proprietatea AAPL</w:t>
      </w:r>
      <w:r w:rsidRPr="00F14EEC">
        <w:rPr>
          <w:rFonts w:asciiTheme="majorHAnsi" w:hAnsiTheme="majorHAnsi" w:cstheme="majorHAnsi"/>
          <w:sz w:val="16"/>
          <w:szCs w:val="16"/>
          <w:lang w:val="ro-MD"/>
        </w:rPr>
        <w:t>.</w:t>
      </w:r>
    </w:p>
  </w:footnote>
  <w:footnote w:id="192">
    <w:p w14:paraId="40300689" w14:textId="560CF321" w:rsidR="00F14EEC" w:rsidRPr="00F14EEC" w:rsidRDefault="00F14EEC" w:rsidP="00E37505">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Calculul: 0,4259 ha x 100 x 10000 euro (preț Ciocana)  x 20,5 lei/euro = 8730,9 mii lei (în vigoare în anul 2017).</w:t>
      </w:r>
    </w:p>
  </w:footnote>
  <w:footnote w:id="193">
    <w:p w14:paraId="0D77935C" w14:textId="0A2CDB94" w:rsidR="00F14EEC" w:rsidRPr="00F14EEC" w:rsidRDefault="00F14EEC" w:rsidP="00E37505">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Hotărârea CCRM nr. 31 din 17.07.2020 cu privire la Raportul auditului conformității eliberării documentelor permisive în construcție.</w:t>
      </w:r>
    </w:p>
  </w:footnote>
  <w:footnote w:id="194">
    <w:p w14:paraId="3F5CDEE1" w14:textId="30BE1441" w:rsidR="00F14EEC" w:rsidRPr="00F14EEC" w:rsidRDefault="00F14EEC" w:rsidP="00E37505">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sz w:val="16"/>
          <w:szCs w:val="16"/>
          <w:lang w:val="ro-MD" w:eastAsia="ru-RU"/>
        </w:rPr>
        <w:t>Calcul efectuat în baza prețului de piață reieșind din amplasarea terenurilor, valabil în anul 2017.</w:t>
      </w:r>
    </w:p>
  </w:footnote>
  <w:footnote w:id="195">
    <w:p w14:paraId="73C1E80B" w14:textId="77777777" w:rsidR="00F14EEC" w:rsidRPr="00F14EEC" w:rsidRDefault="00F14EEC" w:rsidP="00B25240">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0.314ha*19873.34 (coef)*65 (bonitatea)=405.61 (mii lei)*2%= 8.11*3 ani = 24.33 (mii lei); *10%=40.56*3 ani=121.68 (mii lei).</w:t>
      </w:r>
    </w:p>
  </w:footnote>
  <w:footnote w:id="196">
    <w:p w14:paraId="70EFD791" w14:textId="21BF724A" w:rsidR="00F14EEC" w:rsidRPr="00F14EEC" w:rsidRDefault="00F14EEC" w:rsidP="00B25240">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color w:val="333333"/>
          <w:sz w:val="16"/>
          <w:szCs w:val="16"/>
          <w:lang w:val="ro-MD"/>
        </w:rPr>
        <w:t>aferente garajelor - 4,9858 ha; aferente teraselor de vară – 2,2594 ha; aferente vulcanizărilor – 0,42 ha, și aferente gheretelor (comerțului ambulant) – 0,27 ha.</w:t>
      </w:r>
    </w:p>
  </w:footnote>
  <w:footnote w:id="197">
    <w:p w14:paraId="284B7525" w14:textId="00AD4EA7" w:rsidR="00F14EEC" w:rsidRPr="00F14EEC" w:rsidRDefault="00F14EEC" w:rsidP="00A0022F">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 77 alin. (2) din Legea  privind administrația publică locală nr. 436 din 28.12.2006 , „bunurile domeniului public al unității administrativ-teritoriale pot fi date în administrare întreprinderilor municipale și instituțiilor publice, concesionate, date în arendă ori în locațiune, după caz, în temeiul deciziei consiliului local sau raional, în condițiile legii”; și a</w:t>
      </w:r>
      <w:r w:rsidRPr="00F14EEC">
        <w:rPr>
          <w:rFonts w:asciiTheme="majorHAnsi" w:hAnsiTheme="majorHAnsi" w:cstheme="majorHAnsi"/>
          <w:bCs/>
          <w:sz w:val="16"/>
          <w:szCs w:val="16"/>
          <w:lang w:val="ro-MD"/>
        </w:rPr>
        <w:t xml:space="preserve">rt. 17 alin. (1) din </w:t>
      </w:r>
      <w:r w:rsidRPr="00F14EEC">
        <w:rPr>
          <w:rFonts w:asciiTheme="majorHAnsi" w:hAnsiTheme="majorHAnsi" w:cstheme="majorHAnsi"/>
          <w:sz w:val="16"/>
          <w:szCs w:val="16"/>
          <w:lang w:val="ro-MD"/>
        </w:rPr>
        <w:t xml:space="preserve"> Legea contabilității nr. 113 din 27.04.2007</w:t>
      </w:r>
      <w:r w:rsidRPr="00F14EEC">
        <w:rPr>
          <w:rFonts w:asciiTheme="majorHAnsi" w:hAnsiTheme="majorHAnsi" w:cstheme="majorHAnsi"/>
          <w:bCs/>
          <w:sz w:val="16"/>
          <w:szCs w:val="16"/>
          <w:lang w:val="ro-MD"/>
        </w:rPr>
        <w:t>, potrivit căreia, „d</w:t>
      </w:r>
      <w:r w:rsidRPr="00F14EEC">
        <w:rPr>
          <w:rFonts w:asciiTheme="majorHAnsi" w:hAnsiTheme="majorHAnsi" w:cstheme="majorHAnsi"/>
          <w:sz w:val="16"/>
          <w:szCs w:val="16"/>
          <w:lang w:val="ro-MD"/>
        </w:rPr>
        <w:t>eținerea de către entitate a activelor cu orice titlu, înregistrarea surselor de proveniență a acestora și a faptelor economice fără documentarea și reflectarea acestora în contabilitate se interzic”; și art.904 alin.(1) și alin. (2);  art.906 alin. (1) lit. c) din Legea nr.1107 din 06.06.2002.</w:t>
      </w:r>
    </w:p>
  </w:footnote>
  <w:footnote w:id="198">
    <w:p w14:paraId="48D33320" w14:textId="13AF1C0F" w:rsidR="00F14EEC" w:rsidRPr="00F14EEC" w:rsidRDefault="00F14EEC" w:rsidP="00A0022F">
      <w:pPr>
        <w:pStyle w:val="2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Art.904 alin.(1) și alin. (2);  art.906 alin.(1) lit.c) din Legea nr.1107 din 06.06.2002.</w:t>
      </w:r>
    </w:p>
  </w:footnote>
  <w:footnote w:id="199">
    <w:p w14:paraId="695D1F80" w14:textId="4B8A5B0B" w:rsidR="00F14EEC" w:rsidRPr="00F14EEC" w:rsidRDefault="00F14EEC" w:rsidP="00A0022F">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nr.1308 din 25.07.1997 „Privind prețul normativ și modul de vânzare-cumpărare a pământului”.</w:t>
      </w:r>
    </w:p>
  </w:footnote>
  <w:footnote w:id="200">
    <w:p w14:paraId="348E5947" w14:textId="5B54E797" w:rsidR="00F14EEC" w:rsidRPr="00F14EEC" w:rsidRDefault="00F14EEC" w:rsidP="00A0022F">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Suma creanțelor înregistrate la situația din 01.01.2018 constituie 34293,85 mii lei, la 31.12.2018 –  suma de 37901,83 (326 contracte de folosință – 279,36 ha), sau cu 3607,98 mii lei mai mult; la situația din 31.12.2019 – creanțele constituie 40992,36 mii lei (291 contracte – 291,59 ha), sau cu 3090,53 mii lei mai mult față de creanța înregistrată la începutul anului; la 31.12.2020 – 45801,68 mii lei (629 contracte – 508,23 ha), sau cu 4809,32 mai mult față de creanța înregistrată la începutul anului. </w:t>
      </w:r>
    </w:p>
  </w:footnote>
  <w:footnote w:id="201">
    <w:p w14:paraId="5403C239" w14:textId="6CDA6EFA" w:rsidR="00F14EEC" w:rsidRPr="00F14EEC" w:rsidRDefault="00F14EEC" w:rsidP="00A0022F">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Suprafața terenurilor data în arendă/locațiune pentru proiectarea și construirea unui obiectiv a constituit: în anul 2018 – 13,7 ha (38 contracte); în anul 2019 – 15,26 ha (42 contracte); în anul 2020 – 16,36 ha (39 contracte).</w:t>
      </w:r>
    </w:p>
  </w:footnote>
  <w:footnote w:id="202">
    <w:p w14:paraId="2F3EDED9" w14:textId="6382B620" w:rsidR="00F14EEC" w:rsidRPr="00F14EEC" w:rsidRDefault="00F14EEC" w:rsidP="00A0022F">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anul </w:t>
      </w:r>
      <w:r w:rsidRPr="00F14EEC">
        <w:rPr>
          <w:rFonts w:asciiTheme="majorHAnsi" w:hAnsiTheme="majorHAnsi" w:cstheme="majorHAnsi"/>
          <w:b/>
          <w:bCs/>
          <w:sz w:val="16"/>
          <w:szCs w:val="16"/>
          <w:lang w:val="ro-MD"/>
        </w:rPr>
        <w:t>2018</w:t>
      </w:r>
      <w:r w:rsidRPr="00F14EEC">
        <w:rPr>
          <w:rFonts w:asciiTheme="majorHAnsi" w:hAnsiTheme="majorHAnsi" w:cstheme="majorHAnsi"/>
          <w:sz w:val="16"/>
          <w:szCs w:val="16"/>
          <w:lang w:val="ro-MD"/>
        </w:rPr>
        <w:t>: 13,70*19873,34*65*0,8=</w:t>
      </w:r>
      <w:r w:rsidRPr="00F14EEC">
        <w:rPr>
          <w:rFonts w:asciiTheme="majorHAnsi" w:hAnsiTheme="majorHAnsi" w:cstheme="majorHAnsi"/>
          <w:b/>
          <w:bCs/>
          <w:sz w:val="16"/>
          <w:szCs w:val="16"/>
          <w:lang w:val="ro-MD"/>
        </w:rPr>
        <w:t>15927,48 mii lei</w:t>
      </w:r>
      <w:r w:rsidRPr="00F14EEC">
        <w:rPr>
          <w:rFonts w:asciiTheme="majorHAnsi" w:hAnsiTheme="majorHAnsi" w:cstheme="majorHAnsi"/>
          <w:sz w:val="16"/>
          <w:szCs w:val="16"/>
          <w:lang w:val="ro-MD"/>
        </w:rPr>
        <w:t xml:space="preserve">; anul </w:t>
      </w:r>
      <w:r w:rsidRPr="00F14EEC">
        <w:rPr>
          <w:rFonts w:asciiTheme="majorHAnsi" w:hAnsiTheme="majorHAnsi" w:cstheme="majorHAnsi"/>
          <w:b/>
          <w:bCs/>
          <w:sz w:val="16"/>
          <w:szCs w:val="16"/>
          <w:lang w:val="ro-MD"/>
        </w:rPr>
        <w:t>2019</w:t>
      </w:r>
      <w:r w:rsidRPr="00F14EEC">
        <w:rPr>
          <w:rFonts w:asciiTheme="majorHAnsi" w:hAnsiTheme="majorHAnsi" w:cstheme="majorHAnsi"/>
          <w:sz w:val="16"/>
          <w:szCs w:val="16"/>
          <w:lang w:val="ro-MD"/>
        </w:rPr>
        <w:t>: 15,26*19873,34*65*0,9=</w:t>
      </w:r>
      <w:r w:rsidRPr="00F14EEC">
        <w:rPr>
          <w:rFonts w:asciiTheme="majorHAnsi" w:hAnsiTheme="majorHAnsi" w:cstheme="majorHAnsi"/>
          <w:b/>
          <w:bCs/>
          <w:sz w:val="16"/>
          <w:szCs w:val="16"/>
          <w:lang w:val="ro-MD"/>
        </w:rPr>
        <w:t>17741,13 mii lei</w:t>
      </w:r>
      <w:r w:rsidRPr="00F14EEC">
        <w:rPr>
          <w:rFonts w:asciiTheme="majorHAnsi" w:hAnsiTheme="majorHAnsi" w:cstheme="majorHAnsi"/>
          <w:sz w:val="16"/>
          <w:szCs w:val="16"/>
          <w:lang w:val="ro-MD"/>
        </w:rPr>
        <w:t xml:space="preserve">; anul </w:t>
      </w:r>
      <w:r w:rsidRPr="00F14EEC">
        <w:rPr>
          <w:rFonts w:asciiTheme="majorHAnsi" w:hAnsiTheme="majorHAnsi" w:cstheme="majorHAnsi"/>
          <w:b/>
          <w:bCs/>
          <w:sz w:val="16"/>
          <w:szCs w:val="16"/>
          <w:lang w:val="ro-MD"/>
        </w:rPr>
        <w:t>2020</w:t>
      </w:r>
      <w:r w:rsidRPr="00F14EEC">
        <w:rPr>
          <w:rFonts w:asciiTheme="majorHAnsi" w:hAnsiTheme="majorHAnsi" w:cstheme="majorHAnsi"/>
          <w:sz w:val="16"/>
          <w:szCs w:val="16"/>
          <w:lang w:val="ro-MD"/>
        </w:rPr>
        <w:t>: 16,36*19873,34*65*0,9=</w:t>
      </w:r>
      <w:r w:rsidRPr="00F14EEC">
        <w:rPr>
          <w:rFonts w:asciiTheme="majorHAnsi" w:hAnsiTheme="majorHAnsi" w:cstheme="majorHAnsi"/>
          <w:b/>
          <w:bCs/>
          <w:sz w:val="16"/>
          <w:szCs w:val="16"/>
          <w:lang w:val="ro-MD"/>
        </w:rPr>
        <w:t>19019,98 mii lei</w:t>
      </w:r>
      <w:r w:rsidRPr="00F14EEC">
        <w:rPr>
          <w:rFonts w:asciiTheme="majorHAnsi" w:hAnsiTheme="majorHAnsi" w:cstheme="majorHAnsi"/>
          <w:sz w:val="16"/>
          <w:szCs w:val="16"/>
          <w:lang w:val="ro-MD"/>
        </w:rPr>
        <w:t>.</w:t>
      </w:r>
    </w:p>
  </w:footnote>
  <w:footnote w:id="203">
    <w:p w14:paraId="19CAE353" w14:textId="58566AFA" w:rsidR="00F14EEC" w:rsidRPr="00F14EEC" w:rsidRDefault="00F14EEC" w:rsidP="00E868D4">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2018 – 7 subantreprenori, suma de 18893,1 mii lei; în 2019 – 3 subantreprenori, suma de 13860,5 mii lei; 4 subantreprenori, suma de 9384,7 mii lei.</w:t>
      </w:r>
    </w:p>
  </w:footnote>
  <w:footnote w:id="204">
    <w:p w14:paraId="177F9959" w14:textId="7ECFB9B6" w:rsidR="00F14EEC" w:rsidRPr="00F14EEC" w:rsidRDefault="00F14EEC" w:rsidP="00E868D4">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Deciziile CMC nr.12/12-4 din 28.07.2020 și nr. 17/19-3 din 06.10.2020.</w:t>
      </w:r>
    </w:p>
  </w:footnote>
  <w:footnote w:id="205">
    <w:p w14:paraId="152AAA63" w14:textId="215D3D17" w:rsidR="00F14EEC" w:rsidRPr="00F14EEC" w:rsidRDefault="00F14EEC" w:rsidP="00E868D4">
      <w:pPr>
        <w:pStyle w:val="FootnoteText"/>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Deciziile CMC nr.2/23-3 din 22.02.2019 și nr.2/23-4 din 22.02.2019.</w:t>
      </w:r>
    </w:p>
  </w:footnote>
  <w:footnote w:id="206">
    <w:p w14:paraId="7D955B0F" w14:textId="77777777" w:rsidR="00F14EEC" w:rsidRPr="00F14EEC" w:rsidRDefault="00F14EEC" w:rsidP="004E4AFE">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Tarifele pentru lucrările de întreținere și reparație a obiectivelor de semafoare și a sistemului automatizat de dirijare a circulației rutiere; pentru deservirea tehnică și reparația curentă a unei instalații electrice de iluminat public; pentru serviciile de salubrizare prestate de către ÎM în baza contractelor de gestiune.</w:t>
      </w:r>
    </w:p>
  </w:footnote>
  <w:footnote w:id="207">
    <w:p w14:paraId="65D34E5A" w14:textId="15D380AD" w:rsidR="00F14EEC" w:rsidRPr="00F14EEC" w:rsidRDefault="00F14EEC" w:rsidP="004E4AF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Art.23 alin.(5) din Legea serviciilor publice de gospodărie comunală nr.1402 din 24.10.2002.</w:t>
      </w:r>
    </w:p>
  </w:footnote>
  <w:footnote w:id="208">
    <w:p w14:paraId="7671AEEE" w14:textId="5D7C4848" w:rsidR="00F14EEC" w:rsidRPr="00F14EEC" w:rsidRDefault="00F14EEC" w:rsidP="004E4AF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ÎM REI „Lumteh” și ÎM Regia „ExDrupo”; ÎM AGSV.</w:t>
      </w:r>
    </w:p>
  </w:footnote>
  <w:footnote w:id="209">
    <w:p w14:paraId="0250D14F" w14:textId="1BAF0A1B" w:rsidR="00F14EEC" w:rsidRPr="00F14EEC" w:rsidRDefault="00F14EEC" w:rsidP="004E4AF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Decizia CMC nr.3/8 din 02.04.2013 și Decizia CMC nr.1/5 din 17.03.2015.</w:t>
      </w:r>
    </w:p>
  </w:footnote>
  <w:footnote w:id="210">
    <w:p w14:paraId="717A6617" w14:textId="73047D79" w:rsidR="00F14EEC" w:rsidRPr="00F14EEC" w:rsidRDefault="00F14EEC" w:rsidP="004E4AF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Hotărârea Guvernului nr.715/16.06.2008 „Cu privire la măsurile de accelerare a procesului de gazificare internă a localităților”.</w:t>
      </w:r>
      <w:r w:rsidRPr="00F14EEC">
        <w:rPr>
          <w:rFonts w:asciiTheme="majorHAnsi" w:hAnsiTheme="majorHAnsi" w:cstheme="majorHAnsi"/>
          <w:b/>
          <w:i/>
          <w:sz w:val="16"/>
          <w:szCs w:val="16"/>
          <w:lang w:val="ro-MD"/>
        </w:rPr>
        <w:t xml:space="preserve">  </w:t>
      </w:r>
    </w:p>
  </w:footnote>
  <w:footnote w:id="211">
    <w:p w14:paraId="7FAB6881" w14:textId="4539FD9E" w:rsidR="00F14EEC" w:rsidRPr="00F14EEC" w:rsidRDefault="00F14EEC" w:rsidP="004E4AF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a.2018 – 165,3 mii lei, în a.2019 - 279,2 mii lei, și în a.2020 – 835,5 mii lei.  </w:t>
      </w:r>
    </w:p>
  </w:footnote>
  <w:footnote w:id="212">
    <w:p w14:paraId="6DD52036" w14:textId="2A7FA350" w:rsidR="00F14EEC" w:rsidRPr="00F14EEC" w:rsidRDefault="00F14EEC" w:rsidP="004E4AF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Art.1 alin. (7) din Legea cu privire la proprietatea publică a unităților administrativ-teritoriale nr. 523 din 16.07.1999, </w:t>
      </w:r>
      <w:r w:rsidRPr="00F14EEC">
        <w:rPr>
          <w:rFonts w:asciiTheme="majorHAnsi" w:hAnsiTheme="majorHAnsi" w:cstheme="majorHAnsi"/>
          <w:i/>
          <w:sz w:val="16"/>
          <w:szCs w:val="16"/>
          <w:lang w:val="ro-MD"/>
        </w:rPr>
        <w:t>dreptul de proprietate publică a unităților administrativ-teritoriale apare, de asemenea, asupra tuturor tipurilor de venituri și bunuri obținute de subiecții acestui drept în conformitate cu legislația.</w:t>
      </w:r>
      <w:r w:rsidRPr="00F14EEC">
        <w:rPr>
          <w:rFonts w:asciiTheme="majorHAnsi" w:hAnsiTheme="majorHAnsi" w:cstheme="majorHAnsi"/>
          <w:sz w:val="16"/>
          <w:szCs w:val="16"/>
          <w:lang w:val="ro-MD"/>
        </w:rPr>
        <w:t xml:space="preserve"> </w:t>
      </w:r>
    </w:p>
  </w:footnote>
  <w:footnote w:id="213">
    <w:p w14:paraId="6E255D02" w14:textId="018504BF" w:rsidR="00F14EEC" w:rsidRPr="00F14EEC" w:rsidRDefault="00F14EEC" w:rsidP="004E4AF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Recomandarea 39 din Hotărârea Curții de Conturi nr.35 din 28.06.2013 „Privind Raportul auditului bugetelor și gestionării patrimoniului public în 2012 în cadrul unităților administrativ-teritoriale din mun. Chișinău”; recomandarea 2.1 din Raportul auditului asupra raportului financiar al municipiului Chișinău pe anul 2017, aprobat prin Hotărârea Curții de Conturi nr. 94 din 17.12.2018.</w:t>
      </w:r>
    </w:p>
  </w:footnote>
  <w:footnote w:id="214">
    <w:p w14:paraId="2A6DF7A9" w14:textId="214DE6C6" w:rsidR="00F14EEC" w:rsidRPr="00F14EEC" w:rsidRDefault="00F14EEC" w:rsidP="004E4AFE">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Auditul a luat ca bază valoarea spațiilor verzi din altă localitate - mun. Bălți (55.146.446,86 lei,) raportată la un hectar (43,721 ha), ce constituie 1.261.326,29 lei/ha.</w:t>
      </w:r>
    </w:p>
  </w:footnote>
  <w:footnote w:id="215">
    <w:p w14:paraId="57C2D174" w14:textId="0D4C7D24" w:rsidR="00F14EEC" w:rsidRPr="00F14EEC" w:rsidRDefault="00F14EEC" w:rsidP="004E4AF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530 străzi – în valoare de 570,8 mil. lei; 270 stradele – în valoare de 25,8 mil. lei; 131 drenaje – în valoare de 714,5 mil. lei; 234 canalizări pluviale – în valoare de 462,5 mil. lei; 18 pasaje subterane – în valoare de 105,5 mil. lei; 9 piețe – în valoare de 18,6 mil. lei; 22 bulevarde și viaducte – în valoare de 192,1 mil. lei; 198 pavilioane – în valoare de 4,9 mil. lei.</w:t>
      </w:r>
    </w:p>
  </w:footnote>
  <w:footnote w:id="216">
    <w:p w14:paraId="67EA3EC8" w14:textId="6CD86ACA" w:rsidR="00F14EEC" w:rsidRPr="00F14EEC" w:rsidRDefault="00F14EEC" w:rsidP="004E4AF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Raportul </w:t>
      </w:r>
      <w:r w:rsidRPr="00F14EEC">
        <w:rPr>
          <w:rFonts w:asciiTheme="majorHAnsi" w:hAnsiTheme="majorHAnsi" w:cstheme="majorHAnsi"/>
          <w:bCs/>
          <w:sz w:val="16"/>
          <w:szCs w:val="16"/>
          <w:lang w:val="ro-MD"/>
        </w:rPr>
        <w:t>auditului asupra raportului financiar al municipiului Chișinău pe anul 2017,</w:t>
      </w:r>
      <w:r w:rsidRPr="00F14EEC">
        <w:rPr>
          <w:rFonts w:asciiTheme="majorHAnsi" w:hAnsiTheme="majorHAnsi" w:cstheme="majorHAnsi"/>
          <w:sz w:val="16"/>
          <w:szCs w:val="16"/>
          <w:lang w:val="ro-MD"/>
        </w:rPr>
        <w:t xml:space="preserve"> aprobat prin H</w:t>
      </w:r>
      <w:r w:rsidRPr="00F14EEC">
        <w:rPr>
          <w:rFonts w:asciiTheme="majorHAnsi" w:hAnsiTheme="majorHAnsi" w:cstheme="majorHAnsi"/>
          <w:bCs/>
          <w:sz w:val="16"/>
          <w:szCs w:val="16"/>
          <w:lang w:val="ro-MD"/>
        </w:rPr>
        <w:t>otărârea Curții de Conturi nr. 94 din 17.12.2018.</w:t>
      </w:r>
    </w:p>
  </w:footnote>
  <w:footnote w:id="217">
    <w:p w14:paraId="20777139" w14:textId="6713D3AC" w:rsidR="00F14EEC" w:rsidRPr="00F14EEC" w:rsidRDefault="00F14EEC" w:rsidP="004E4AFE">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color w:val="333333"/>
          <w:sz w:val="16"/>
          <w:szCs w:val="16"/>
          <w:lang w:val="ro-MD"/>
        </w:rPr>
        <w:t>Legea  </w:t>
      </w:r>
      <w:r w:rsidRPr="00F14EEC">
        <w:rPr>
          <w:rFonts w:asciiTheme="majorHAnsi" w:eastAsia="Times New Roman" w:hAnsiTheme="majorHAnsi" w:cstheme="majorHAnsi"/>
          <w:bCs/>
          <w:color w:val="333333"/>
          <w:sz w:val="16"/>
          <w:szCs w:val="16"/>
          <w:lang w:val="ro-MD"/>
        </w:rPr>
        <w:t>c</w:t>
      </w:r>
      <w:r w:rsidRPr="00F14EEC">
        <w:rPr>
          <w:rFonts w:asciiTheme="majorHAnsi" w:hAnsiTheme="majorHAnsi" w:cstheme="majorHAnsi"/>
          <w:bCs/>
          <w:color w:val="333333"/>
          <w:sz w:val="16"/>
          <w:szCs w:val="16"/>
          <w:lang w:val="ro-MD"/>
        </w:rPr>
        <w:t>u privire la spaț</w:t>
      </w:r>
      <w:r w:rsidRPr="00F14EEC">
        <w:rPr>
          <w:rFonts w:asciiTheme="majorHAnsi" w:eastAsia="Times New Roman" w:hAnsiTheme="majorHAnsi" w:cstheme="majorHAnsi"/>
          <w:bCs/>
          <w:color w:val="333333"/>
          <w:sz w:val="16"/>
          <w:szCs w:val="16"/>
          <w:lang w:val="ro-MD"/>
        </w:rPr>
        <w:t>iile</w:t>
      </w:r>
      <w:r w:rsidRPr="00F14EEC">
        <w:rPr>
          <w:rFonts w:asciiTheme="majorHAnsi" w:hAnsiTheme="majorHAnsi" w:cstheme="majorHAnsi"/>
          <w:bCs/>
          <w:color w:val="333333"/>
          <w:sz w:val="16"/>
          <w:szCs w:val="16"/>
          <w:lang w:val="ro-MD"/>
        </w:rPr>
        <w:t xml:space="preserve"> </w:t>
      </w:r>
      <w:r w:rsidRPr="00F14EEC">
        <w:rPr>
          <w:rFonts w:asciiTheme="majorHAnsi" w:eastAsia="Times New Roman" w:hAnsiTheme="majorHAnsi" w:cstheme="majorHAnsi"/>
          <w:bCs/>
          <w:color w:val="333333"/>
          <w:sz w:val="16"/>
          <w:szCs w:val="16"/>
          <w:lang w:val="ro-MD"/>
        </w:rPr>
        <w:t>verzi</w:t>
      </w:r>
      <w:r w:rsidRPr="00F14EEC">
        <w:rPr>
          <w:rFonts w:asciiTheme="majorHAnsi" w:hAnsiTheme="majorHAnsi" w:cstheme="majorHAnsi"/>
          <w:bCs/>
          <w:color w:val="333333"/>
          <w:sz w:val="16"/>
          <w:szCs w:val="16"/>
          <w:lang w:val="ro-MD"/>
        </w:rPr>
        <w:t xml:space="preserve"> </w:t>
      </w:r>
      <w:r w:rsidRPr="00F14EEC">
        <w:rPr>
          <w:rFonts w:asciiTheme="majorHAnsi" w:eastAsia="Times New Roman" w:hAnsiTheme="majorHAnsi" w:cstheme="majorHAnsi"/>
          <w:bCs/>
          <w:color w:val="333333"/>
          <w:sz w:val="16"/>
          <w:szCs w:val="16"/>
          <w:lang w:val="ro-MD"/>
        </w:rPr>
        <w:t>ale</w:t>
      </w:r>
      <w:r w:rsidRPr="00F14EEC">
        <w:rPr>
          <w:rFonts w:asciiTheme="majorHAnsi" w:hAnsiTheme="majorHAnsi" w:cstheme="majorHAnsi"/>
          <w:bCs/>
          <w:color w:val="333333"/>
          <w:sz w:val="16"/>
          <w:szCs w:val="16"/>
          <w:lang w:val="ro-MD"/>
        </w:rPr>
        <w:t xml:space="preserve"> </w:t>
      </w:r>
      <w:r w:rsidRPr="00F14EEC">
        <w:rPr>
          <w:rFonts w:asciiTheme="majorHAnsi" w:eastAsia="Times New Roman" w:hAnsiTheme="majorHAnsi" w:cstheme="majorHAnsi"/>
          <w:bCs/>
          <w:color w:val="333333"/>
          <w:sz w:val="16"/>
          <w:szCs w:val="16"/>
          <w:lang w:val="ro-MD"/>
        </w:rPr>
        <w:t>localită</w:t>
      </w:r>
      <w:r w:rsidRPr="00F14EEC">
        <w:rPr>
          <w:rFonts w:asciiTheme="majorHAnsi" w:hAnsiTheme="majorHAnsi" w:cstheme="majorHAnsi"/>
          <w:bCs/>
          <w:color w:val="333333"/>
          <w:sz w:val="16"/>
          <w:szCs w:val="16"/>
          <w:lang w:val="ro-MD"/>
        </w:rPr>
        <w:t>ț</w:t>
      </w:r>
      <w:r w:rsidRPr="00F14EEC">
        <w:rPr>
          <w:rFonts w:asciiTheme="majorHAnsi" w:eastAsia="Times New Roman" w:hAnsiTheme="majorHAnsi" w:cstheme="majorHAnsi"/>
          <w:bCs/>
          <w:color w:val="333333"/>
          <w:sz w:val="16"/>
          <w:szCs w:val="16"/>
          <w:lang w:val="ro-MD"/>
        </w:rPr>
        <w:t>ilor</w:t>
      </w:r>
      <w:r w:rsidRPr="00F14EEC">
        <w:rPr>
          <w:rFonts w:asciiTheme="majorHAnsi" w:hAnsiTheme="majorHAnsi" w:cstheme="majorHAnsi"/>
          <w:bCs/>
          <w:color w:val="333333"/>
          <w:sz w:val="16"/>
          <w:szCs w:val="16"/>
          <w:lang w:val="ro-MD"/>
        </w:rPr>
        <w:t xml:space="preserve"> </w:t>
      </w:r>
      <w:r w:rsidRPr="00F14EEC">
        <w:rPr>
          <w:rFonts w:asciiTheme="majorHAnsi" w:eastAsia="Times New Roman" w:hAnsiTheme="majorHAnsi" w:cstheme="majorHAnsi"/>
          <w:bCs/>
          <w:color w:val="333333"/>
          <w:sz w:val="16"/>
          <w:szCs w:val="16"/>
          <w:lang w:val="ro-MD"/>
        </w:rPr>
        <w:t>urbane și rurale</w:t>
      </w:r>
      <w:r w:rsidRPr="00F14EEC">
        <w:rPr>
          <w:rFonts w:asciiTheme="majorHAnsi" w:hAnsiTheme="majorHAnsi" w:cstheme="majorHAnsi"/>
          <w:color w:val="333333"/>
          <w:sz w:val="16"/>
          <w:szCs w:val="16"/>
          <w:lang w:val="ro-MD"/>
        </w:rPr>
        <w:t xml:space="preserve"> nr. 591 din 23.09.1999.</w:t>
      </w:r>
    </w:p>
  </w:footnote>
  <w:footnote w:id="218">
    <w:p w14:paraId="512C17AC" w14:textId="243150F9"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Decizia CMC nr.2/47 din 05.03.2009 “Cu privire la transformarea ÎM DCC a Primăriei mun. Chișinău în Direcție generală investiții capitale a CMC”).</w:t>
      </w:r>
    </w:p>
  </w:footnote>
  <w:footnote w:id="219">
    <w:p w14:paraId="2394F58E" w14:textId="3C63E356"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Decizia CMC nr.3/90 din 28.01.1999 „Cu privire la fondarea „Centrului de Semiconductori „Sergiu Rădăuțanu””. </w:t>
      </w:r>
    </w:p>
  </w:footnote>
  <w:footnote w:id="220">
    <w:p w14:paraId="0D55615B" w14:textId="4ADF1812"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756,0 mii lei/100 cote X 33,2.</w:t>
      </w:r>
    </w:p>
  </w:footnote>
  <w:footnote w:id="221">
    <w:p w14:paraId="249D1AC9" w14:textId="05FEEF0E"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Potrivit procesului -verbal de transmitere-primire a construcției nefinalizate din 2002, estimarea construcției a fost efectuată în baza HG nr.1056 din 12.11.1997 „Despre măsurile de realizare a Legii cu privire la Programul de privatizare pentru anii 1997-1998” (Anexa nr.6).</w:t>
      </w:r>
    </w:p>
  </w:footnote>
  <w:footnote w:id="222">
    <w:p w14:paraId="036C4EE9" w14:textId="2025A15D"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privind administrarea și deetatizarea proprietății publice nr.121 din 04.05.2007.</w:t>
      </w:r>
    </w:p>
  </w:footnote>
  <w:footnote w:id="223">
    <w:p w14:paraId="089AC97C" w14:textId="7D674758"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Înaintate în Rapoartele aprobate prin Hotărârile Curții de Conturi nr. 31 din 17.07.2020;  nr.16 din 29.04.2020; nr.22 din 24.06.2020 și nr.7 din 26.02.2021.</w:t>
      </w:r>
    </w:p>
  </w:footnote>
  <w:footnote w:id="224">
    <w:p w14:paraId="4026A944" w14:textId="29164A04"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privind principiile urbanismului și amenajării teritoriului nr.835 din 17.05.1996.</w:t>
      </w:r>
    </w:p>
  </w:footnote>
  <w:footnote w:id="225">
    <w:p w14:paraId="26387936" w14:textId="5722421C"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privind autorizarea lucrărilor de construcție nr.163 din 09.07.2010.</w:t>
      </w:r>
    </w:p>
  </w:footnote>
  <w:footnote w:id="226">
    <w:p w14:paraId="504CA913" w14:textId="708E535C"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i/>
          <w:sz w:val="16"/>
          <w:szCs w:val="16"/>
          <w:lang w:val="ro-MD"/>
        </w:rPr>
        <w:t>1937,49 km</w:t>
      </w:r>
      <w:r w:rsidRPr="00F14EEC">
        <w:rPr>
          <w:rFonts w:asciiTheme="majorHAnsi" w:hAnsiTheme="majorHAnsi" w:cstheme="majorHAnsi"/>
          <w:sz w:val="16"/>
          <w:szCs w:val="16"/>
          <w:lang w:val="ro-MD"/>
        </w:rPr>
        <w:t xml:space="preserve"> – rețele de apă, și </w:t>
      </w:r>
      <w:r w:rsidRPr="00F14EEC">
        <w:rPr>
          <w:rFonts w:asciiTheme="majorHAnsi" w:hAnsiTheme="majorHAnsi" w:cstheme="majorHAnsi"/>
          <w:i/>
          <w:sz w:val="16"/>
          <w:szCs w:val="16"/>
          <w:lang w:val="ro-MD"/>
        </w:rPr>
        <w:t>1116,63 km</w:t>
      </w:r>
      <w:r w:rsidRPr="00F14EEC">
        <w:rPr>
          <w:rFonts w:asciiTheme="majorHAnsi" w:hAnsiTheme="majorHAnsi" w:cstheme="majorHAnsi"/>
          <w:sz w:val="16"/>
          <w:szCs w:val="16"/>
          <w:lang w:val="ro-MD"/>
        </w:rPr>
        <w:t xml:space="preserve"> – rețele de canalizare.</w:t>
      </w:r>
    </w:p>
  </w:footnote>
  <w:footnote w:id="227">
    <w:p w14:paraId="42646D92" w14:textId="67D3934B" w:rsidR="00F14EEC" w:rsidRPr="00F14EEC" w:rsidRDefault="00F14EEC" w:rsidP="00EF4BC3">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hAnsiTheme="majorHAnsi" w:cstheme="majorHAnsi"/>
          <w:iCs/>
          <w:sz w:val="16"/>
          <w:szCs w:val="16"/>
          <w:lang w:val="ro-MD"/>
        </w:rPr>
        <w:t>mun. Chișinău – 1.124.858,83 mii lei ,și suburbii – 329.246,84 mii lei.</w:t>
      </w:r>
    </w:p>
  </w:footnote>
  <w:footnote w:id="228">
    <w:p w14:paraId="7AA69CED" w14:textId="55F09ECE" w:rsidR="00F14EEC" w:rsidRPr="00F14EEC" w:rsidRDefault="00F14EEC" w:rsidP="00BC50D6">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Factura fiscală AAN nr. 6740632 din 03.05.2022, în valoare de 1</w:t>
      </w:r>
      <w:r w:rsidRPr="00F14EEC">
        <w:rPr>
          <w:rFonts w:asciiTheme="majorHAnsi" w:hAnsiTheme="majorHAnsi" w:cstheme="majorHAnsi"/>
          <w:iCs/>
          <w:sz w:val="16"/>
          <w:szCs w:val="16"/>
          <w:lang w:val="ro-MD"/>
        </w:rPr>
        <w:t>.454.105,67 mii lei.</w:t>
      </w:r>
    </w:p>
  </w:footnote>
  <w:footnote w:id="229">
    <w:p w14:paraId="56636DAE" w14:textId="49FCE1CD" w:rsidR="00F14EEC" w:rsidRPr="00F14EEC" w:rsidRDefault="00F14EEC" w:rsidP="00BC50D6">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Decizia nr. 3/12 din 27.04.2022 „Cu privire la modificarea Contractului de delegare a gestiunii serviciului public de alimentare cu apă și de canalizare nr.94 din 13.03.2015”.</w:t>
      </w:r>
    </w:p>
  </w:footnote>
  <w:footnote w:id="230">
    <w:p w14:paraId="11D6938E" w14:textId="056F5E87" w:rsidR="00F14EEC" w:rsidRPr="00F14EEC" w:rsidRDefault="00F14EEC" w:rsidP="00BC50D6">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Acordurile adiționale nr. 1 și nr. 2, cu anexarea listei bunurilor imobile și mobile aferente infrastructurii tehnico - edilitare a serviciului public de alimentare cu apă și de canalizare, proprietate publică sau privată a UAT.</w:t>
      </w:r>
    </w:p>
  </w:footnote>
  <w:footnote w:id="231">
    <w:p w14:paraId="5F08F3D3" w14:textId="37245D65" w:rsidR="00F14EEC" w:rsidRPr="00F14EEC" w:rsidRDefault="00F14EEC" w:rsidP="00EF4BC3">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Art. 29 alin.(3) din Legea nr. 303/2013 „Privind serviciul public de alimentare cu apă și de canalizare”.</w:t>
      </w:r>
    </w:p>
  </w:footnote>
  <w:footnote w:id="232">
    <w:p w14:paraId="757EDFB5" w14:textId="1B7ECFE5" w:rsidR="00F14EEC" w:rsidRPr="00F14EEC" w:rsidRDefault="00F14EEC" w:rsidP="00EF4BC3">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Blocurile locative din bd. Ștefan cel Mare și Sfânt 126 și str. T. Vladimirescu 12/7.</w:t>
      </w:r>
    </w:p>
  </w:footnote>
  <w:footnote w:id="233">
    <w:p w14:paraId="1F591ED6" w14:textId="6AFA533D" w:rsidR="00F14EEC" w:rsidRPr="00F14EEC" w:rsidRDefault="00F14EEC" w:rsidP="00EF4BC3">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IMGFL 8 - bd. Stefan cel Mare și Sfânt, bl. 126; IMGFL 14 - str. Coca, bl. 45; IMGFL 14 - str. Coca, bl.30 B; IMGFL 17 - str. Vadul lui Vodă, bl.17 L; MGFL 18 - str. Vladimirescu T., bl. 12/ 7.</w:t>
      </w:r>
    </w:p>
  </w:footnote>
  <w:footnote w:id="234">
    <w:p w14:paraId="3900C9CA" w14:textId="77777777" w:rsidR="00F14EEC" w:rsidRPr="00F14EEC" w:rsidRDefault="00F14EEC" w:rsidP="00EF4BC3">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IMGFL 10 - sos. Hîncesti, bl.22 A; IMGFL 12 - str. Lech Kaczynski, bl. 10/ 1; IMGFL 17 - str. Branistii, bl. 9/ 2; IMGFL 17 - str. Kiev, bl. 16/ 1.</w:t>
      </w:r>
    </w:p>
  </w:footnote>
  <w:footnote w:id="235">
    <w:p w14:paraId="6E4A2040" w14:textId="38F21727" w:rsidR="00F14EEC" w:rsidRPr="00F14EEC" w:rsidRDefault="00F14EEC" w:rsidP="00EF4BC3">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Apă menajeră – astfel a denumit ÎM „Infocom” apa caldă livrată consumatorilor. Cadrul normativ nu conține această noțiune. Auditul relevă că</w:t>
      </w:r>
      <w:r w:rsidRPr="00F14EEC">
        <w:rPr>
          <w:rFonts w:asciiTheme="majorHAnsi" w:eastAsia="Times New Roman" w:hAnsiTheme="majorHAnsi" w:cstheme="majorHAnsi"/>
          <w:sz w:val="16"/>
          <w:szCs w:val="16"/>
          <w:lang w:val="ro-MD" w:eastAsia="ru-RU"/>
        </w:rPr>
        <w:t>, în aspecte de compoziție și calitate, apa potabilă și apa menajeră nu diferă.</w:t>
      </w:r>
    </w:p>
  </w:footnote>
  <w:footnote w:id="236">
    <w:p w14:paraId="79BC267F" w14:textId="3A6F1553" w:rsidR="00F14EEC" w:rsidRPr="00F14EEC" w:rsidRDefault="00F14EEC" w:rsidP="00EF4BC3">
      <w:pPr>
        <w:spacing w:after="0" w:line="240" w:lineRule="auto"/>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Conform informației prezentate de IM „Infocom”, datoria populației la  31.12.2021 este de 68793372,90 lei, iar din calculele auditului este de 68949682,03 lei (</w:t>
      </w:r>
      <w:r w:rsidRPr="00F14EEC">
        <w:rPr>
          <w:rFonts w:asciiTheme="majorHAnsi" w:eastAsia="Times New Roman" w:hAnsiTheme="majorHAnsi" w:cstheme="majorHAnsi"/>
          <w:color w:val="000000"/>
          <w:sz w:val="16"/>
          <w:szCs w:val="16"/>
          <w:lang w:val="ro-MD"/>
        </w:rPr>
        <w:t xml:space="preserve">64.673.321,91 </w:t>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bCs/>
          <w:color w:val="000000"/>
          <w:sz w:val="16"/>
          <w:szCs w:val="16"/>
          <w:lang w:val="ro-MD"/>
        </w:rPr>
        <w:t>680,621,031.85</w:t>
      </w:r>
      <w:r w:rsidRPr="00F14EEC">
        <w:rPr>
          <w:rFonts w:asciiTheme="majorHAnsi" w:hAnsiTheme="majorHAnsi" w:cstheme="majorHAnsi"/>
          <w:bCs/>
          <w:color w:val="000000"/>
          <w:sz w:val="16"/>
          <w:szCs w:val="16"/>
          <w:lang w:val="ro-MD"/>
        </w:rPr>
        <w:t xml:space="preserve"> – </w:t>
      </w:r>
      <w:r w:rsidRPr="00F14EEC">
        <w:rPr>
          <w:rFonts w:asciiTheme="majorHAnsi" w:eastAsia="Times New Roman" w:hAnsiTheme="majorHAnsi" w:cstheme="majorHAnsi"/>
          <w:bCs/>
          <w:color w:val="000000"/>
          <w:sz w:val="16"/>
          <w:szCs w:val="16"/>
          <w:lang w:val="ro-MD"/>
        </w:rPr>
        <w:t>676,344,671.73</w:t>
      </w:r>
      <w:r w:rsidRPr="00F14EEC">
        <w:rPr>
          <w:rFonts w:asciiTheme="majorHAnsi" w:hAnsiTheme="majorHAnsi" w:cstheme="majorHAnsi"/>
          <w:bCs/>
          <w:color w:val="000000"/>
          <w:sz w:val="16"/>
          <w:szCs w:val="16"/>
          <w:lang w:val="ro-MD"/>
        </w:rPr>
        <w:t xml:space="preserve"> =  </w:t>
      </w:r>
      <w:r w:rsidRPr="00F14EEC">
        <w:rPr>
          <w:rFonts w:asciiTheme="majorHAnsi" w:hAnsiTheme="majorHAnsi" w:cstheme="majorHAnsi"/>
          <w:sz w:val="16"/>
          <w:szCs w:val="16"/>
          <w:lang w:val="ro-MD"/>
        </w:rPr>
        <w:t>68949682,03), diferența este de 156309,13 lei.</w:t>
      </w:r>
    </w:p>
  </w:footnote>
  <w:footnote w:id="237">
    <w:p w14:paraId="0A08A392" w14:textId="7EAC67D7" w:rsidR="00F14EEC" w:rsidRPr="00F14EEC" w:rsidRDefault="00F14EEC" w:rsidP="003C5073">
      <w:pPr>
        <w:tabs>
          <w:tab w:val="left" w:pos="7948"/>
        </w:tabs>
        <w:spacing w:after="0" w:line="240" w:lineRule="auto"/>
        <w:rPr>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Informație cu privire la creanțele ÎMGFL aflate în proces de insolvabilitate, Anexa nr. 3.</w:t>
      </w:r>
    </w:p>
  </w:footnote>
  <w:footnote w:id="238">
    <w:p w14:paraId="61C42AC9" w14:textId="3427BDC0" w:rsidR="00F14EEC" w:rsidRPr="00F14EEC" w:rsidRDefault="00F14EEC">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SRL PfB Legal Consulting (nr. CD/07/07/2020/346 din 29.07.2020)  și IM Incaso SRL (nr. 13112020_C1S/649 din 16.11.2020)</w:t>
      </w:r>
    </w:p>
  </w:footnote>
  <w:footnote w:id="239">
    <w:p w14:paraId="67768BA8" w14:textId="77777777" w:rsidR="00F14EEC" w:rsidRPr="00F14EEC" w:rsidRDefault="00F14EEC" w:rsidP="00EF4BC3">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Legea nr. 260 din 07.12.2017 privind organizarea și funcționarea Curții de Conturi a Republicii Moldova.</w:t>
      </w:r>
    </w:p>
  </w:footnote>
  <w:footnote w:id="240">
    <w:p w14:paraId="49D88891" w14:textId="08EB4FD1" w:rsidR="00F14EEC" w:rsidRPr="00F14EEC" w:rsidRDefault="00F14EEC" w:rsidP="00EF4BC3">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ISSAI 100, ISSAI 400 și ISSAI 4000, aprobate pentru aplicare prin HCC nr.2 din 24.01.2020 „Cu privire la Cadrul Declarațiilor Profesionale ale INTOSAI”.</w:t>
      </w:r>
    </w:p>
  </w:footnote>
  <w:footnote w:id="241">
    <w:p w14:paraId="0B0E3605" w14:textId="270D6290" w:rsidR="00F14EEC" w:rsidRPr="00F14EEC" w:rsidRDefault="00F14EEC" w:rsidP="00723D5F">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Valoarea calculată a plății pentru locațiune în anul 2018 a constituit 436,07 mii lei, în anul 2019 – 457,45 mii lei, și în anul 2020 – 483,5 mii lei.</w:t>
      </w:r>
    </w:p>
  </w:footnote>
  <w:footnote w:id="242">
    <w:p w14:paraId="54DE48D9" w14:textId="478AF1F9" w:rsidR="00F14EEC" w:rsidRPr="00F14EEC" w:rsidRDefault="00F14EEC" w:rsidP="00723D5F">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Anul 2018 – 30475,64 lei [(76458,39 lei + 25000 lei + 13398,79 lei + 7045,37 lei)/4]; Anul 2019 – 26806,86 lei [(64138,75 lei + 25000 lei + 13234,50 lei + 4854,19 lei)/4]; Anul 2020 – 13823,14 lei [(19938,65 lei + 10208,33 lei + 11322,43 lei)/3].</w:t>
      </w:r>
    </w:p>
  </w:footnote>
  <w:footnote w:id="243">
    <w:p w14:paraId="6E9D8DB6" w14:textId="3871B81F" w:rsidR="00F14EEC" w:rsidRPr="00F14EEC" w:rsidRDefault="00F14EEC" w:rsidP="00723D5F">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2018-135,9 m2 x 30475,64 lei, 2019-135,9 m2 x 26806,86 lei, 2020-135,9 m2 x 13823,14 lei.</w:t>
      </w:r>
    </w:p>
  </w:footnote>
  <w:footnote w:id="244">
    <w:p w14:paraId="501F27A4" w14:textId="3405D3AA" w:rsidR="00F14EEC" w:rsidRPr="00F14EEC" w:rsidRDefault="00F14EEC" w:rsidP="00723D5F">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Date preluate din SIA al SFS. Au fost analizate declarațiile TVA și anexele la aceasta depuse în perioada 2018-2020 de către SRL „Ianus” și 5 agenți economici care iau în sublocațiune de la SRL „Ianus” încăperi proprietate publică în incinta pasajului subteran de pietoni din str. Ismail cu bd. Ștefan cel Mare și Sfânt. </w:t>
      </w:r>
    </w:p>
  </w:footnote>
  <w:footnote w:id="245">
    <w:p w14:paraId="5640B005" w14:textId="74F4E774" w:rsidR="00F14EEC" w:rsidRPr="00F14EEC" w:rsidRDefault="00F14EEC" w:rsidP="00723D5F">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SRL San Prim Grup; SRL Tavnat-Exim; SRL Avent; SA Lasko; SRL Frezan Grup.</w:t>
      </w:r>
    </w:p>
  </w:footnote>
  <w:footnote w:id="246">
    <w:p w14:paraId="0AAD89CF" w14:textId="77777777" w:rsidR="00F14EEC" w:rsidRPr="00F14EEC" w:rsidRDefault="00F14EEC" w:rsidP="00723D5F">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Cu tema „Există posibilități de îmbunătățire a modului de gestionare a pasajelor subterane din municipiul Chișinău?”, perioada supusă auditării fiind 01.01.2015 – 31.12.2019. </w:t>
      </w:r>
    </w:p>
  </w:footnote>
  <w:footnote w:id="247">
    <w:p w14:paraId="3E8C8372" w14:textId="5C85B69B" w:rsidR="00F14EEC" w:rsidRPr="00F14EEC" w:rsidRDefault="00F14EEC" w:rsidP="00723D5F">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Anexa nr.9 la Legile anuale ale bugetului de stat.</w:t>
      </w:r>
    </w:p>
  </w:footnote>
  <w:footnote w:id="248">
    <w:p w14:paraId="63F7DFF4" w14:textId="77777777" w:rsidR="00F14EEC" w:rsidRPr="00F14EEC" w:rsidRDefault="00F14EEC" w:rsidP="00FB52F4">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Hotărârea CA din 21.05.2007, prin care s-a considerat nul contractul de vânzare-cumpărare a imobilului din str. Columna 92/94, încheiat între SC Negatur Service și SC Ratmir, la data de 11.06.2003, cu anularea înscrisurilor în RBI aferente transmiterii drepturilor de proprietate în temeiul contractului de vânzare-cumpărare, și Hotărârea CSJ din 23.06.2005, prin care a fost declarat nul actul de primire-predare a bunului imobil din str. Columna 92/94 de la balanța Direcției de Producție a Gospodăriei Comunale și de Locuințe.</w:t>
      </w:r>
    </w:p>
  </w:footnote>
  <w:footnote w:id="249">
    <w:p w14:paraId="37576D55" w14:textId="77777777" w:rsidR="00F14EEC" w:rsidRPr="00F14EEC" w:rsidRDefault="00F14EEC" w:rsidP="00FB52F4">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1350,0 mii lei la 18.11.2016; 300,0 mii lei la 23.06.2017; 2400,0 mii lei la 22.12.2017; 649,0 mii lei la 17.07.2018; 600,0 mii lei la 18.07.2018</w:t>
      </w:r>
    </w:p>
  </w:footnote>
  <w:footnote w:id="250">
    <w:p w14:paraId="300A199E" w14:textId="7126E7CE" w:rsidR="00F14EEC" w:rsidRPr="00F14EEC" w:rsidRDefault="00F14EEC" w:rsidP="00FB52F4">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Calculate de audit în baza prevederilor cadrului legal, pentru întârzierea onorării obligațiunilor pecuniare stabilite prin Încheierea CA nr.3-3726/08.</w:t>
      </w:r>
    </w:p>
  </w:footnote>
  <w:footnote w:id="251">
    <w:p w14:paraId="0E857DAC" w14:textId="77777777" w:rsidR="00F14EEC" w:rsidRPr="00F14EEC" w:rsidRDefault="00F14EEC" w:rsidP="00FB52F4">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2% din prețul normativ.</w:t>
      </w:r>
    </w:p>
  </w:footnote>
  <w:footnote w:id="252">
    <w:p w14:paraId="3232D699" w14:textId="77777777" w:rsidR="00F14EEC" w:rsidRPr="00F14EEC" w:rsidRDefault="00F14EEC" w:rsidP="00FB52F4">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Liceul Elitex - 0100114.142 – 0,9561 ha; LLMM - 0100417.107 – 0,8035; Liceul Columna - 0100511.196 – 0,9425 ha.</w:t>
      </w:r>
    </w:p>
  </w:footnote>
  <w:footnote w:id="253">
    <w:p w14:paraId="635F7E60" w14:textId="77777777" w:rsidR="00F14EEC" w:rsidRPr="00F14EEC" w:rsidRDefault="00F14EEC" w:rsidP="00FB52F4">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[19873,34 x 65 x (0,8035 ha + 0,9561 ha + 0,9425 ha) x 0,02] x 3 ani = 209429,03 lei = 209,43 mii lei.</w:t>
      </w:r>
    </w:p>
  </w:footnote>
  <w:footnote w:id="254">
    <w:p w14:paraId="61801E10" w14:textId="77777777" w:rsidR="00F14EEC" w:rsidRPr="00F14EEC" w:rsidRDefault="00F14EEC" w:rsidP="00FB52F4">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[19873,34 x 65 x (0,8035 ha + 0,9561 ha + 0,9425 ha) x 0,1] x 3 ani = 1047145,16 lei = 1047,15 mii lei.</w:t>
      </w:r>
    </w:p>
  </w:footnote>
  <w:footnote w:id="255">
    <w:p w14:paraId="670672F3" w14:textId="77777777" w:rsidR="00F14EEC" w:rsidRPr="00F14EEC" w:rsidRDefault="00F14EEC" w:rsidP="003E291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Decizia CMC nr. 6/30-10 din 02.10.2014 „Cu privire la reperfectarea relațiilor funciare de arendă a lotului de pământ din str. Carierei 5 cu Uniunea conducătorilor auto din Republica Moldova, dl Igor Neznaico și dna Irina Lejniova”. </w:t>
      </w:r>
    </w:p>
  </w:footnote>
  <w:footnote w:id="256">
    <w:p w14:paraId="2C30DD6B" w14:textId="77777777" w:rsidR="00F14EEC" w:rsidRPr="00F14EEC" w:rsidRDefault="00F14EEC" w:rsidP="005C6936">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Antecontract din 02.12.2014, Contractul de societate civilă nr.201 din 20.01.2015, Acordul adițional f/n din 11.05.2016.</w:t>
      </w:r>
    </w:p>
  </w:footnote>
  <w:footnote w:id="257">
    <w:p w14:paraId="02790D5B" w14:textId="1F8DB3C8" w:rsidR="00F14EEC" w:rsidRPr="00F14EEC" w:rsidRDefault="00F14EEC" w:rsidP="003E291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Prețul de vânzare a spațiilor din complexul locativ de pe str. Carierei nr.5 este stabilit de la 444 euro pentru un metru pătrat (</w:t>
      </w:r>
      <w:hyperlink r:id="rId2" w:history="1">
        <w:r w:rsidRPr="00F14EEC">
          <w:rPr>
            <w:rStyle w:val="Hyperlink"/>
            <w:rFonts w:asciiTheme="majorHAnsi" w:hAnsiTheme="majorHAnsi" w:cstheme="majorHAnsi"/>
            <w:sz w:val="16"/>
            <w:szCs w:val="16"/>
            <w:lang w:val="ro-MD"/>
          </w:rPr>
          <w:t>https://topimobiliare.md/complex-rezidential-nou-circului/</w:t>
        </w:r>
      </w:hyperlink>
      <w:r w:rsidRPr="00F14EEC">
        <w:rPr>
          <w:rFonts w:asciiTheme="majorHAnsi" w:hAnsiTheme="majorHAnsi" w:cstheme="majorHAnsi"/>
          <w:sz w:val="16"/>
          <w:szCs w:val="16"/>
          <w:lang w:val="ro-MD"/>
        </w:rPr>
        <w:t xml:space="preserve">; </w:t>
      </w:r>
      <w:hyperlink r:id="rId3" w:history="1">
        <w:r w:rsidRPr="00F14EEC">
          <w:rPr>
            <w:rStyle w:val="Hyperlink"/>
            <w:rFonts w:asciiTheme="majorHAnsi" w:hAnsiTheme="majorHAnsi" w:cstheme="majorHAnsi"/>
            <w:sz w:val="16"/>
            <w:szCs w:val="16"/>
            <w:lang w:val="ro-MD"/>
          </w:rPr>
          <w:t>http://www.laetaj.md/blocuri/circului/</w:t>
        </w:r>
      </w:hyperlink>
      <w:r w:rsidRPr="00F14EEC">
        <w:rPr>
          <w:rFonts w:asciiTheme="majorHAnsi" w:hAnsiTheme="majorHAnsi" w:cstheme="majorHAnsi"/>
          <w:sz w:val="16"/>
          <w:szCs w:val="16"/>
          <w:lang w:val="ro-MD"/>
        </w:rPr>
        <w:t>)- vizualizat în anul 2017.</w:t>
      </w:r>
    </w:p>
  </w:footnote>
  <w:footnote w:id="258">
    <w:p w14:paraId="7902112E" w14:textId="1A3414D3" w:rsidR="00F14EEC" w:rsidRPr="00F14EEC" w:rsidRDefault="00F14EEC" w:rsidP="003E291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4956.30 m.p. x 444.00 euro = 2200597.20 euro x 20.50 lei/euro, conform datelor anului 2017 .</w:t>
      </w:r>
    </w:p>
  </w:footnote>
  <w:footnote w:id="259">
    <w:p w14:paraId="5F5A0999" w14:textId="18D7163C" w:rsidR="00F14EEC" w:rsidRPr="00F14EEC" w:rsidRDefault="00F14EEC" w:rsidP="003E291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417.90 m.p. x 444.00 euro = 185547.60 euro x 20.50 lei/euro, conform datelor anului 2017.</w:t>
      </w:r>
    </w:p>
  </w:footnote>
  <w:footnote w:id="260">
    <w:p w14:paraId="1C2F151E" w14:textId="46126A35" w:rsidR="00F14EEC" w:rsidRPr="00F14EEC" w:rsidRDefault="00F14EEC" w:rsidP="003E291B">
      <w:pPr>
        <w:spacing w:after="0" w:line="240" w:lineRule="auto"/>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În perioada arendei funciare, plata achitată a constituit 780.40 mii lei, din care  266.70 mii lei au fost achitate de către dezvoltatorul imobiliar, și 513,7 mii lei - de către SRL „Forscont Exim”.</w:t>
      </w:r>
    </w:p>
  </w:footnote>
  <w:footnote w:id="261">
    <w:p w14:paraId="5549CDE7" w14:textId="1DF6ECE4" w:rsidR="00F14EEC" w:rsidRPr="00F14EEC" w:rsidRDefault="00F14EEC" w:rsidP="003E291B">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Hotărârea CCRM nr. 2 din 13.02.2018 „Cu privire la Raportul auditului conformității evidenței, înregistrării și gestionării patrimoniului public, precum și a impozitării bunurilor imobile”.</w:t>
      </w:r>
    </w:p>
  </w:footnote>
  <w:footnote w:id="262">
    <w:p w14:paraId="0B6D04FE" w14:textId="77777777" w:rsidR="00F14EEC" w:rsidRPr="00F14EEC" w:rsidRDefault="00F14EEC" w:rsidP="003E291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Conform prevederilor cap.XXVIII din Codul civil.</w:t>
      </w:r>
    </w:p>
  </w:footnote>
  <w:footnote w:id="263">
    <w:p w14:paraId="7065313A" w14:textId="0A50962A" w:rsidR="00F14EEC" w:rsidRPr="00F14EEC" w:rsidRDefault="00F14EEC" w:rsidP="003E291B">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sz w:val="16"/>
          <w:szCs w:val="16"/>
          <w:lang w:val="ro-MD"/>
        </w:rPr>
        <w:t>Legea nr.835-XIII din 17.05.1996,</w:t>
      </w:r>
      <w:r w:rsidRPr="00F14EEC">
        <w:rPr>
          <w:rFonts w:asciiTheme="majorHAnsi" w:hAnsiTheme="majorHAnsi" w:cstheme="majorHAnsi"/>
          <w:sz w:val="16"/>
          <w:szCs w:val="16"/>
          <w:lang w:val="ro-MD"/>
        </w:rPr>
        <w:t xml:space="preserve"> art.12 din Legea nr.163 din 09.07.2010 privind autorizarea executării lucrărilor de construcție.</w:t>
      </w:r>
    </w:p>
  </w:footnote>
  <w:footnote w:id="264">
    <w:p w14:paraId="751E7DAC" w14:textId="77777777" w:rsidR="00F14EEC" w:rsidRPr="00F14EEC" w:rsidRDefault="00F14EEC" w:rsidP="003E291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Semnată de viceprimar, secretarul CMC și arhitectul-șef.</w:t>
      </w:r>
    </w:p>
  </w:footnote>
  <w:footnote w:id="265">
    <w:p w14:paraId="2DC81636" w14:textId="112A5A35" w:rsidR="00F14EEC" w:rsidRPr="00F14EEC" w:rsidRDefault="00F14EEC" w:rsidP="003E291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Hotărârea CCRM nr. 31 din 17.07.2020 cu privire la Raportul auditului conformității eliberării documentelor permisive în construcție</w:t>
      </w:r>
    </w:p>
  </w:footnote>
  <w:footnote w:id="266">
    <w:p w14:paraId="7008F0A7" w14:textId="77777777" w:rsidR="00F14EEC" w:rsidRPr="00F14EEC" w:rsidRDefault="00F14EEC" w:rsidP="003E291B">
      <w:pPr>
        <w:pStyle w:val="21"/>
        <w:ind w:right="-1"/>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Decizia CMC nr.7/59 din 05.09.2013 „Cu privire la privatizarea terenului aferent obiectivelor private ale Societății pe acțiuni „Transcon-M” din str. Gradina Botanică 5/2”. </w:t>
      </w:r>
    </w:p>
  </w:footnote>
  <w:footnote w:id="267">
    <w:p w14:paraId="22052B1C" w14:textId="77777777" w:rsidR="00F14EEC" w:rsidRPr="00F14EEC" w:rsidRDefault="00F14EEC" w:rsidP="003E291B">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Calculul: 1,0087 ha x 65 x 19873,34 lei  x 0,9 x 1,13 = 1325,2 mii lei; 1325,2 mii lei - 926,7 mii lei = 398,5 mii lei.      </w:t>
      </w:r>
    </w:p>
  </w:footnote>
  <w:footnote w:id="268">
    <w:p w14:paraId="3B538F23" w14:textId="77777777" w:rsidR="00F14EEC" w:rsidRPr="00F14EEC" w:rsidRDefault="00F14EEC" w:rsidP="003E291B">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HCC nr.30 din 26.07.2016 „Privind Raportul auditului conformităţii gestionării patrimoniului public în cadrul entităţilor publice din mun.Chişinău pe anii 2014-2015”.</w:t>
      </w:r>
    </w:p>
  </w:footnote>
  <w:footnote w:id="269">
    <w:p w14:paraId="0FA713E0" w14:textId="77777777" w:rsidR="00F14EEC" w:rsidRPr="00F14EEC" w:rsidRDefault="00F14EEC" w:rsidP="003E291B">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Decizia CMC nr.22/18-3 din 26.09.2002 și Decizia CMC nr.6/31-1 din 19.05.2009. </w:t>
      </w:r>
    </w:p>
  </w:footnote>
  <w:footnote w:id="270">
    <w:p w14:paraId="17B229E8" w14:textId="77777777" w:rsidR="00F14EEC" w:rsidRPr="00F14EEC" w:rsidRDefault="00F14EEC" w:rsidP="003E291B">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Nr.cad.: 0100101352; 01001011041; 01001011042; 01001011043; 0100101780. </w:t>
      </w:r>
    </w:p>
  </w:footnote>
  <w:footnote w:id="271">
    <w:p w14:paraId="28FE5F3B" w14:textId="77777777" w:rsidR="00F14EEC" w:rsidRPr="00F14EEC" w:rsidRDefault="00F14EEC" w:rsidP="003E291B">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Terenul cu nr.cad. 01001011041 – 0,1031 ha; terenul din domeniul public cu nr.cad. 01001011042 – 0,2505 ha; terenul cu nr.cad. 0100101780 – 0,0705 ha.</w:t>
      </w:r>
    </w:p>
  </w:footnote>
  <w:footnote w:id="272">
    <w:p w14:paraId="41982BE2" w14:textId="77777777" w:rsidR="00F14EEC" w:rsidRPr="00F14EEC" w:rsidRDefault="00F14EEC" w:rsidP="003E291B">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Calculul: </w:t>
      </w:r>
      <w:r w:rsidRPr="00F14EEC">
        <w:rPr>
          <w:rFonts w:asciiTheme="majorHAnsi" w:eastAsia="Times New Roman" w:hAnsiTheme="majorHAnsi" w:cstheme="majorHAnsi"/>
          <w:color w:val="000000"/>
          <w:sz w:val="16"/>
          <w:szCs w:val="16"/>
          <w:lang w:val="ro-MD"/>
        </w:rPr>
        <w:t>0,4241 ha x 100 x 30000euro/ar x 20,5 lei/euro = 26082,2 mii lei.</w:t>
      </w:r>
    </w:p>
  </w:footnote>
  <w:footnote w:id="273">
    <w:p w14:paraId="05D84197" w14:textId="77777777" w:rsidR="00F14EEC" w:rsidRPr="00F14EEC" w:rsidRDefault="00F14EEC" w:rsidP="003E291B">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Decizia CMC nr. 11/11 din 31.10.2017 cu privire la schimbul de apartamente. </w:t>
      </w:r>
    </w:p>
  </w:footnote>
  <w:footnote w:id="274">
    <w:p w14:paraId="5458F214" w14:textId="77777777" w:rsidR="00F14EEC" w:rsidRPr="00F14EEC" w:rsidRDefault="00F14EEC" w:rsidP="003E291B">
      <w:pPr>
        <w:pStyle w:val="FootnoteText"/>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Potrivit bazei de date </w:t>
      </w:r>
      <w:r w:rsidRPr="00F14EEC">
        <w:rPr>
          <w:rFonts w:asciiTheme="majorHAnsi" w:hAnsiTheme="majorHAnsi" w:cstheme="majorHAnsi"/>
          <w:b/>
          <w:bCs/>
          <w:sz w:val="16"/>
          <w:szCs w:val="16"/>
          <w:u w:val="single"/>
          <w:lang w:val="ro-MD"/>
        </w:rPr>
        <w:t>reports.fisc.md</w:t>
      </w:r>
      <w:r w:rsidRPr="00F14EEC">
        <w:rPr>
          <w:rFonts w:asciiTheme="majorHAnsi" w:hAnsiTheme="majorHAnsi" w:cstheme="majorHAnsi"/>
          <w:sz w:val="16"/>
          <w:szCs w:val="16"/>
          <w:lang w:val="ro-MD"/>
        </w:rPr>
        <w:t>, fondatorul și conducătorul SRL „MOBILATA” este Adrian Mariciuc, fostul director și cofondator al SRL „ARHIMANAGEMENT”, care a semnat Contractul de investiție nr. 4R/12 din 31.07.2012.</w:t>
      </w:r>
    </w:p>
  </w:footnote>
  <w:footnote w:id="275">
    <w:p w14:paraId="734BDA41" w14:textId="1CD30FC9" w:rsidR="00F14EEC" w:rsidRPr="00F14EEC" w:rsidRDefault="00F14EEC" w:rsidP="003E291B">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sz w:val="16"/>
          <w:szCs w:val="16"/>
          <w:lang w:val="ro-MD"/>
        </w:rPr>
        <w:t>0100414010, 0100419497, 0100521517, 0100426212, 0100519264, 0100202995, 0100308471, 0100519299.</w:t>
      </w:r>
    </w:p>
  </w:footnote>
  <w:footnote w:id="276">
    <w:p w14:paraId="4000EC85" w14:textId="2CC27E05" w:rsidR="00F14EEC" w:rsidRPr="00F14EEC" w:rsidRDefault="00F14EEC" w:rsidP="003E291B">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sz w:val="16"/>
          <w:szCs w:val="16"/>
          <w:lang w:val="ro-MD"/>
        </w:rPr>
        <w:t>0100105326, 0100519263, 0100413556, 0100512535, 0100417841, 0100416301, 0100416300, 01001011054, 0100424633, 0100114236, 0100113648.</w:t>
      </w:r>
    </w:p>
  </w:footnote>
  <w:footnote w:id="277">
    <w:p w14:paraId="7E7E7C5C" w14:textId="0A4B9CE0" w:rsidR="00F14EEC" w:rsidRPr="00F14EEC" w:rsidRDefault="00F14EEC" w:rsidP="003E291B">
      <w:pPr>
        <w:pStyle w:val="FootnoteText"/>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w:t>
      </w:r>
      <w:r w:rsidRPr="00F14EEC">
        <w:rPr>
          <w:rFonts w:asciiTheme="majorHAnsi" w:eastAsia="Times New Roman" w:hAnsiTheme="majorHAnsi" w:cstheme="majorHAnsi"/>
          <w:sz w:val="16"/>
          <w:szCs w:val="16"/>
          <w:lang w:val="ro-MD"/>
        </w:rPr>
        <w:t>0100217325.</w:t>
      </w:r>
    </w:p>
  </w:footnote>
  <w:footnote w:id="278">
    <w:p w14:paraId="3C395C29" w14:textId="77777777" w:rsidR="00F14EEC" w:rsidRPr="00F14EEC" w:rsidRDefault="00F14EEC" w:rsidP="00BE21CC">
      <w:pPr>
        <w:pStyle w:val="FootnoteText"/>
        <w:ind w:right="-1"/>
        <w:jc w:val="both"/>
        <w:rPr>
          <w:rFonts w:asciiTheme="majorHAnsi" w:hAnsiTheme="majorHAnsi" w:cstheme="majorHAnsi"/>
          <w:sz w:val="16"/>
          <w:szCs w:val="16"/>
          <w:lang w:val="ro-MD"/>
        </w:rPr>
      </w:pPr>
      <w:r w:rsidRPr="00F14EEC">
        <w:rPr>
          <w:rStyle w:val="FootnoteReference"/>
          <w:rFonts w:asciiTheme="majorHAnsi" w:hAnsiTheme="majorHAnsi" w:cstheme="majorHAnsi"/>
          <w:sz w:val="16"/>
          <w:szCs w:val="16"/>
          <w:lang w:val="ro-MD"/>
        </w:rPr>
        <w:footnoteRef/>
      </w:r>
      <w:r w:rsidRPr="00F14EEC">
        <w:rPr>
          <w:rFonts w:asciiTheme="majorHAnsi" w:hAnsiTheme="majorHAnsi" w:cstheme="majorHAnsi"/>
          <w:sz w:val="16"/>
          <w:szCs w:val="16"/>
          <w:lang w:val="ro-MD"/>
        </w:rPr>
        <w:t xml:space="preserve"> Recomandarea CSJ nr.32 privind dreptul instanței de a obliga autoritatea publică să emită actul administrativ privind înstrăinarea, concesionarea, darea în arendă ori în locațiune a bunurilor proprietate a unității administrativ-teritoriale prin licitație publică, organizată în condițiile legii (</w:t>
      </w:r>
      <w:r w:rsidRPr="00F14EEC">
        <w:rPr>
          <w:rFonts w:asciiTheme="majorHAnsi" w:eastAsia="Times New Roman" w:hAnsiTheme="majorHAnsi" w:cstheme="majorHAnsi"/>
          <w:iCs/>
          <w:sz w:val="16"/>
          <w:szCs w:val="16"/>
          <w:lang w:val="ro-MD"/>
        </w:rPr>
        <w:t>Buletinul CSJ a RM 7-8/28, 2013)</w:t>
      </w:r>
      <w:r w:rsidRPr="00F14EEC">
        <w:rPr>
          <w:rFonts w:asciiTheme="majorHAnsi" w:hAnsiTheme="majorHAnsi" w:cstheme="majorHAnsi"/>
          <w:sz w:val="16"/>
          <w:szCs w:val="16"/>
          <w:lang w:val="ro-MD"/>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ADF5"/>
      </v:shape>
    </w:pict>
  </w:numPicBullet>
  <w:abstractNum w:abstractNumId="0" w15:restartNumberingAfterBreak="0">
    <w:nsid w:val="00707BAA"/>
    <w:multiLevelType w:val="hybridMultilevel"/>
    <w:tmpl w:val="3EACA3A8"/>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 w15:restartNumberingAfterBreak="0">
    <w:nsid w:val="01D62D3E"/>
    <w:multiLevelType w:val="multilevel"/>
    <w:tmpl w:val="989888C6"/>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7"/>
      <w:numFmt w:val="decimal"/>
      <w:lvlText w:val="%1.%2.%3."/>
      <w:lvlJc w:val="left"/>
      <w:pPr>
        <w:ind w:left="740" w:hanging="740"/>
      </w:pPr>
      <w:rPr>
        <w:rFonts w:hint="default"/>
      </w:rPr>
    </w:lvl>
    <w:lvl w:ilvl="3">
      <w:start w:val="2"/>
      <w:numFmt w:val="decimal"/>
      <w:lvlText w:val="%1.%2.%3.%4."/>
      <w:lvlJc w:val="left"/>
      <w:pPr>
        <w:ind w:left="4852" w:hanging="7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F63A13"/>
    <w:multiLevelType w:val="multilevel"/>
    <w:tmpl w:val="46B6133E"/>
    <w:lvl w:ilvl="0">
      <w:start w:val="1"/>
      <w:numFmt w:val="bullet"/>
      <w:lvlText w:val=""/>
      <w:lvlJc w:val="left"/>
      <w:pPr>
        <w:ind w:left="740" w:hanging="740"/>
      </w:pPr>
      <w:rPr>
        <w:rFonts w:ascii="Wingdings" w:hAnsi="Wingdings" w:hint="default"/>
        <w:b/>
        <w:sz w:val="24"/>
      </w:rPr>
    </w:lvl>
    <w:lvl w:ilvl="1">
      <w:start w:val="3"/>
      <w:numFmt w:val="decimal"/>
      <w:lvlText w:val="%1.%2."/>
      <w:lvlJc w:val="left"/>
      <w:pPr>
        <w:ind w:left="740" w:hanging="740"/>
      </w:pPr>
      <w:rPr>
        <w:rFonts w:hint="default"/>
        <w:b/>
        <w:sz w:val="24"/>
      </w:rPr>
    </w:lvl>
    <w:lvl w:ilvl="2">
      <w:start w:val="3"/>
      <w:numFmt w:val="decimal"/>
      <w:lvlText w:val="%1.%2.%3."/>
      <w:lvlJc w:val="left"/>
      <w:pPr>
        <w:ind w:left="740" w:hanging="740"/>
      </w:pPr>
      <w:rPr>
        <w:rFonts w:hint="default"/>
        <w:b/>
        <w:sz w:val="24"/>
      </w:rPr>
    </w:lvl>
    <w:lvl w:ilvl="3">
      <w:start w:val="5"/>
      <w:numFmt w:val="decimal"/>
      <w:lvlText w:val="%1.%2.%3.%4."/>
      <w:lvlJc w:val="left"/>
      <w:pPr>
        <w:ind w:left="2499"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1800" w:hanging="1800"/>
      </w:pPr>
      <w:rPr>
        <w:rFonts w:hint="default"/>
        <w:b/>
        <w:sz w:val="24"/>
      </w:rPr>
    </w:lvl>
  </w:abstractNum>
  <w:abstractNum w:abstractNumId="3" w15:restartNumberingAfterBreak="0">
    <w:nsid w:val="03591DA5"/>
    <w:multiLevelType w:val="hybridMultilevel"/>
    <w:tmpl w:val="E00CECF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532788D"/>
    <w:multiLevelType w:val="hybridMultilevel"/>
    <w:tmpl w:val="F412DA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83B7A"/>
    <w:multiLevelType w:val="hybridMultilevel"/>
    <w:tmpl w:val="C0D64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B054D4"/>
    <w:multiLevelType w:val="hybridMultilevel"/>
    <w:tmpl w:val="571683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72A0AC8"/>
    <w:multiLevelType w:val="hybridMultilevel"/>
    <w:tmpl w:val="8D103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E0033"/>
    <w:multiLevelType w:val="multilevel"/>
    <w:tmpl w:val="870C6DC8"/>
    <w:lvl w:ilvl="0">
      <w:start w:val="4"/>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08BB2362"/>
    <w:multiLevelType w:val="hybridMultilevel"/>
    <w:tmpl w:val="51B033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8F12DC8"/>
    <w:multiLevelType w:val="hybridMultilevel"/>
    <w:tmpl w:val="FFE23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7D1EBA"/>
    <w:multiLevelType w:val="multilevel"/>
    <w:tmpl w:val="F6687F04"/>
    <w:lvl w:ilvl="0">
      <w:start w:val="4"/>
      <w:numFmt w:val="decimal"/>
      <w:lvlText w:val="%1."/>
      <w:lvlJc w:val="left"/>
      <w:pPr>
        <w:ind w:left="0" w:firstLine="0"/>
      </w:pPr>
      <w:rPr>
        <w:rFonts w:eastAsiaTheme="minorHAnsi" w:hint="default"/>
      </w:rPr>
    </w:lvl>
    <w:lvl w:ilvl="1">
      <w:start w:val="4"/>
      <w:numFmt w:val="decimal"/>
      <w:lvlText w:val="%1.%2."/>
      <w:lvlJc w:val="left"/>
      <w:pPr>
        <w:ind w:left="0" w:firstLine="0"/>
      </w:pPr>
      <w:rPr>
        <w:rFonts w:eastAsiaTheme="minorHAnsi" w:hint="default"/>
      </w:rPr>
    </w:lvl>
    <w:lvl w:ilvl="2">
      <w:start w:val="1"/>
      <w:numFmt w:val="decimal"/>
      <w:lvlText w:val="%1.%2.%3."/>
      <w:lvlJc w:val="left"/>
      <w:pPr>
        <w:ind w:left="40" w:hanging="40"/>
      </w:pPr>
      <w:rPr>
        <w:rFonts w:eastAsiaTheme="minorHAnsi" w:hint="default"/>
      </w:rPr>
    </w:lvl>
    <w:lvl w:ilvl="3">
      <w:start w:val="1"/>
      <w:numFmt w:val="decimal"/>
      <w:lvlText w:val="%1.%2.%3.%4."/>
      <w:lvlJc w:val="left"/>
      <w:pPr>
        <w:ind w:left="40" w:hanging="40"/>
      </w:pPr>
      <w:rPr>
        <w:rFonts w:eastAsiaTheme="minorHAnsi" w:hint="default"/>
      </w:rPr>
    </w:lvl>
    <w:lvl w:ilvl="4">
      <w:start w:val="1"/>
      <w:numFmt w:val="decimal"/>
      <w:lvlText w:val="%1.%2.%3.%4.%5."/>
      <w:lvlJc w:val="left"/>
      <w:pPr>
        <w:ind w:left="400" w:hanging="400"/>
      </w:pPr>
      <w:rPr>
        <w:rFonts w:eastAsiaTheme="minorHAnsi" w:hint="default"/>
      </w:rPr>
    </w:lvl>
    <w:lvl w:ilvl="5">
      <w:start w:val="1"/>
      <w:numFmt w:val="decimal"/>
      <w:lvlText w:val="%1.%2.%3.%4.%5.%6."/>
      <w:lvlJc w:val="left"/>
      <w:pPr>
        <w:ind w:left="400" w:hanging="400"/>
      </w:pPr>
      <w:rPr>
        <w:rFonts w:eastAsiaTheme="minorHAnsi" w:hint="default"/>
      </w:rPr>
    </w:lvl>
    <w:lvl w:ilvl="6">
      <w:start w:val="1"/>
      <w:numFmt w:val="decimal"/>
      <w:lvlText w:val="%1.%2.%3.%4.%5.%6.%7."/>
      <w:lvlJc w:val="left"/>
      <w:pPr>
        <w:ind w:left="760" w:hanging="760"/>
      </w:pPr>
      <w:rPr>
        <w:rFonts w:eastAsiaTheme="minorHAnsi" w:hint="default"/>
      </w:rPr>
    </w:lvl>
    <w:lvl w:ilvl="7">
      <w:start w:val="1"/>
      <w:numFmt w:val="decimal"/>
      <w:lvlText w:val="%1.%2.%3.%4.%5.%6.%7.%8."/>
      <w:lvlJc w:val="left"/>
      <w:pPr>
        <w:ind w:left="760" w:hanging="760"/>
      </w:pPr>
      <w:rPr>
        <w:rFonts w:eastAsiaTheme="minorHAnsi" w:hint="default"/>
      </w:rPr>
    </w:lvl>
    <w:lvl w:ilvl="8">
      <w:start w:val="1"/>
      <w:numFmt w:val="decimal"/>
      <w:lvlText w:val="%1.%2.%3.%4.%5.%6.%7.%8.%9."/>
      <w:lvlJc w:val="left"/>
      <w:pPr>
        <w:ind w:left="1120" w:hanging="1120"/>
      </w:pPr>
      <w:rPr>
        <w:rFonts w:eastAsiaTheme="minorHAnsi" w:hint="default"/>
      </w:rPr>
    </w:lvl>
  </w:abstractNum>
  <w:abstractNum w:abstractNumId="12" w15:restartNumberingAfterBreak="0">
    <w:nsid w:val="09FE1730"/>
    <w:multiLevelType w:val="hybridMultilevel"/>
    <w:tmpl w:val="363CF148"/>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0D540C6F"/>
    <w:multiLevelType w:val="hybridMultilevel"/>
    <w:tmpl w:val="765AE43C"/>
    <w:lvl w:ilvl="0" w:tplc="0409000D">
      <w:start w:val="1"/>
      <w:numFmt w:val="bullet"/>
      <w:lvlText w:val=""/>
      <w:lvlJc w:val="left"/>
      <w:pPr>
        <w:ind w:left="1080" w:hanging="360"/>
      </w:pPr>
      <w:rPr>
        <w:rFonts w:ascii="Wingdings" w:hAnsi="Wingding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E5E6422"/>
    <w:multiLevelType w:val="hybridMultilevel"/>
    <w:tmpl w:val="5A96B5E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15:restartNumberingAfterBreak="0">
    <w:nsid w:val="0ED9505D"/>
    <w:multiLevelType w:val="hybridMultilevel"/>
    <w:tmpl w:val="897487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6C22C7"/>
    <w:multiLevelType w:val="hybridMultilevel"/>
    <w:tmpl w:val="4E16316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12D65A4D"/>
    <w:multiLevelType w:val="hybridMultilevel"/>
    <w:tmpl w:val="75D02C0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3F71E04"/>
    <w:multiLevelType w:val="hybridMultilevel"/>
    <w:tmpl w:val="BDE0ACC6"/>
    <w:lvl w:ilvl="0" w:tplc="884E9AC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17F83B24"/>
    <w:multiLevelType w:val="hybridMultilevel"/>
    <w:tmpl w:val="160E5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8B3310"/>
    <w:multiLevelType w:val="hybridMultilevel"/>
    <w:tmpl w:val="3F586FD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1" w15:restartNumberingAfterBreak="0">
    <w:nsid w:val="1A6B2ED0"/>
    <w:multiLevelType w:val="hybridMultilevel"/>
    <w:tmpl w:val="32A66D40"/>
    <w:lvl w:ilvl="0" w:tplc="C9CE597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B0241AF"/>
    <w:multiLevelType w:val="hybridMultilevel"/>
    <w:tmpl w:val="A29A8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CB1728"/>
    <w:multiLevelType w:val="hybridMultilevel"/>
    <w:tmpl w:val="17D6D2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1B7965"/>
    <w:multiLevelType w:val="hybridMultilevel"/>
    <w:tmpl w:val="FE4AEB7C"/>
    <w:lvl w:ilvl="0" w:tplc="0418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1FB0681E"/>
    <w:multiLevelType w:val="hybridMultilevel"/>
    <w:tmpl w:val="64F6968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1FC8720B"/>
    <w:multiLevelType w:val="hybridMultilevel"/>
    <w:tmpl w:val="BB74CB1E"/>
    <w:lvl w:ilvl="0" w:tplc="08180001">
      <w:start w:val="1"/>
      <w:numFmt w:val="bullet"/>
      <w:lvlText w:val=""/>
      <w:lvlJc w:val="left"/>
      <w:pPr>
        <w:ind w:left="720" w:hanging="360"/>
      </w:pPr>
      <w:rPr>
        <w:rFonts w:ascii="Symbol" w:hAnsi="Symbol" w:hint="default"/>
      </w:rPr>
    </w:lvl>
    <w:lvl w:ilvl="1" w:tplc="0409000B">
      <w:start w:val="1"/>
      <w:numFmt w:val="bullet"/>
      <w:lvlText w:val=""/>
      <w:lvlJc w:val="left"/>
      <w:pPr>
        <w:ind w:left="360" w:hanging="360"/>
      </w:pPr>
      <w:rPr>
        <w:rFonts w:ascii="Wingdings" w:hAnsi="Wingdings"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7" w15:restartNumberingAfterBreak="0">
    <w:nsid w:val="204768D3"/>
    <w:multiLevelType w:val="multilevel"/>
    <w:tmpl w:val="7E2AA594"/>
    <w:lvl w:ilvl="0">
      <w:start w:val="4"/>
      <w:numFmt w:val="decimal"/>
      <w:lvlText w:val="%1."/>
      <w:lvlJc w:val="left"/>
      <w:pPr>
        <w:ind w:left="740" w:hanging="740"/>
      </w:pPr>
      <w:rPr>
        <w:rFonts w:hint="default"/>
      </w:rPr>
    </w:lvl>
    <w:lvl w:ilvl="1">
      <w:start w:val="3"/>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740" w:hanging="7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04E1573"/>
    <w:multiLevelType w:val="hybridMultilevel"/>
    <w:tmpl w:val="1B2239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0D23DC"/>
    <w:multiLevelType w:val="hybridMultilevel"/>
    <w:tmpl w:val="A9DCEB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CE1C16"/>
    <w:multiLevelType w:val="multilevel"/>
    <w:tmpl w:val="7ED887A8"/>
    <w:lvl w:ilvl="0">
      <w:start w:val="4"/>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2B94B58"/>
    <w:multiLevelType w:val="multilevel"/>
    <w:tmpl w:val="6BC85AB2"/>
    <w:lvl w:ilvl="0">
      <w:start w:val="4"/>
      <w:numFmt w:val="decimal"/>
      <w:lvlText w:val="%1."/>
      <w:lvlJc w:val="left"/>
      <w:pPr>
        <w:ind w:left="560" w:hanging="560"/>
      </w:pPr>
      <w:rPr>
        <w:rFonts w:hint="default"/>
        <w:b/>
      </w:rPr>
    </w:lvl>
    <w:lvl w:ilvl="1">
      <w:start w:val="2"/>
      <w:numFmt w:val="decimal"/>
      <w:lvlText w:val="%1.%2."/>
      <w:lvlJc w:val="left"/>
      <w:pPr>
        <w:ind w:left="920" w:hanging="56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2" w15:restartNumberingAfterBreak="0">
    <w:nsid w:val="240D44E2"/>
    <w:multiLevelType w:val="hybridMultilevel"/>
    <w:tmpl w:val="6DF81BE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26CD37EA"/>
    <w:multiLevelType w:val="hybridMultilevel"/>
    <w:tmpl w:val="099644B2"/>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28BE425E"/>
    <w:multiLevelType w:val="hybridMultilevel"/>
    <w:tmpl w:val="E3ACC2C0"/>
    <w:lvl w:ilvl="0" w:tplc="0409000F">
      <w:start w:val="1"/>
      <w:numFmt w:val="decimal"/>
      <w:lvlText w:val="%1."/>
      <w:lvlJc w:val="left"/>
      <w:pPr>
        <w:ind w:left="26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9501927"/>
    <w:multiLevelType w:val="hybridMultilevel"/>
    <w:tmpl w:val="3700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314F5B"/>
    <w:multiLevelType w:val="multilevel"/>
    <w:tmpl w:val="1BB6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1E5562"/>
    <w:multiLevelType w:val="hybridMultilevel"/>
    <w:tmpl w:val="04AEF278"/>
    <w:lvl w:ilvl="0" w:tplc="77CC615A">
      <w:start w:val="1"/>
      <w:numFmt w:val="bullet"/>
      <w:lvlText w:val="˗"/>
      <w:lvlJc w:val="left"/>
      <w:pPr>
        <w:ind w:left="1340" w:hanging="360"/>
      </w:pPr>
      <w:rPr>
        <w:rFonts w:ascii="Times New Roman" w:hAnsi="Times New Roman" w:cs="Times New Roman"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38" w15:restartNumberingAfterBreak="0">
    <w:nsid w:val="2B620420"/>
    <w:multiLevelType w:val="hybridMultilevel"/>
    <w:tmpl w:val="9EF480B6"/>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2B99364F"/>
    <w:multiLevelType w:val="hybridMultilevel"/>
    <w:tmpl w:val="5FEC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B202C4"/>
    <w:multiLevelType w:val="hybridMultilevel"/>
    <w:tmpl w:val="2746E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417D01"/>
    <w:multiLevelType w:val="multilevel"/>
    <w:tmpl w:val="15C0DFF2"/>
    <w:lvl w:ilvl="0">
      <w:start w:val="4"/>
      <w:numFmt w:val="decimal"/>
      <w:lvlText w:val="%1."/>
      <w:lvlJc w:val="left"/>
      <w:pPr>
        <w:ind w:left="560" w:hanging="560"/>
      </w:pPr>
      <w:rPr>
        <w:rFonts w:hint="default"/>
        <w:b/>
      </w:rPr>
    </w:lvl>
    <w:lvl w:ilvl="1">
      <w:start w:val="3"/>
      <w:numFmt w:val="decimal"/>
      <w:lvlText w:val="%1.%2."/>
      <w:lvlJc w:val="left"/>
      <w:pPr>
        <w:ind w:left="560" w:hanging="560"/>
      </w:pPr>
      <w:rPr>
        <w:rFonts w:hint="default"/>
        <w:b/>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2C5F7B82"/>
    <w:multiLevelType w:val="hybridMultilevel"/>
    <w:tmpl w:val="020281AE"/>
    <w:lvl w:ilvl="0" w:tplc="E1EE099E">
      <w:start w:val="1"/>
      <w:numFmt w:val="decimal"/>
      <w:lvlText w:val="%1."/>
      <w:lvlJc w:val="left"/>
      <w:pPr>
        <w:ind w:left="1080" w:hanging="360"/>
      </w:pPr>
      <w:rPr>
        <w:rFonts w:hint="default"/>
        <w:b w:val="0"/>
        <w:bCs w:val="0"/>
      </w:rPr>
    </w:lvl>
    <w:lvl w:ilvl="1" w:tplc="884E9AC4">
      <w:numFmt w:val="bullet"/>
      <w:lvlText w:val="-"/>
      <w:lvlJc w:val="left"/>
      <w:pPr>
        <w:ind w:left="1800" w:hanging="360"/>
      </w:pPr>
      <w:rPr>
        <w:rFonts w:ascii="Times New Roman" w:eastAsia="Times New Roman" w:hAnsi="Times New Roman" w:cs="Times New Roman" w:hint="default"/>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3" w15:restartNumberingAfterBreak="0">
    <w:nsid w:val="2D8E6982"/>
    <w:multiLevelType w:val="hybridMultilevel"/>
    <w:tmpl w:val="C81A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6F0571"/>
    <w:multiLevelType w:val="hybridMultilevel"/>
    <w:tmpl w:val="2E7E1F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2F162420"/>
    <w:multiLevelType w:val="hybridMultilevel"/>
    <w:tmpl w:val="4E14AF5E"/>
    <w:lvl w:ilvl="0" w:tplc="0418000F">
      <w:start w:val="1"/>
      <w:numFmt w:val="decimal"/>
      <w:lvlText w:val="%1."/>
      <w:lvlJc w:val="left"/>
      <w:pPr>
        <w:ind w:left="720" w:hanging="360"/>
      </w:pPr>
      <w:rPr>
        <w:rFonts w:hint="default"/>
      </w:rPr>
    </w:lvl>
    <w:lvl w:ilvl="1" w:tplc="884E9AC4">
      <w:numFmt w:val="bullet"/>
      <w:lvlText w:val="-"/>
      <w:lvlJc w:val="left"/>
      <w:pPr>
        <w:ind w:left="1440" w:hanging="360"/>
      </w:pPr>
      <w:rPr>
        <w:rFonts w:ascii="Times New Roman" w:eastAsia="Times New Roman" w:hAnsi="Times New Roman"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2F95155E"/>
    <w:multiLevelType w:val="multilevel"/>
    <w:tmpl w:val="B3C40046"/>
    <w:lvl w:ilvl="0">
      <w:start w:val="4"/>
      <w:numFmt w:val="decimal"/>
      <w:lvlText w:val="%1."/>
      <w:lvlJc w:val="left"/>
      <w:pPr>
        <w:ind w:left="740" w:hanging="740"/>
      </w:pPr>
      <w:rPr>
        <w:rFonts w:hint="default"/>
        <w:b/>
        <w:sz w:val="24"/>
      </w:rPr>
    </w:lvl>
    <w:lvl w:ilvl="1">
      <w:start w:val="3"/>
      <w:numFmt w:val="decimal"/>
      <w:lvlText w:val="%1.%2."/>
      <w:lvlJc w:val="left"/>
      <w:pPr>
        <w:ind w:left="740" w:hanging="740"/>
      </w:pPr>
      <w:rPr>
        <w:rFonts w:hint="default"/>
        <w:b/>
        <w:sz w:val="24"/>
      </w:rPr>
    </w:lvl>
    <w:lvl w:ilvl="2">
      <w:start w:val="3"/>
      <w:numFmt w:val="decimal"/>
      <w:lvlText w:val="%1.%2.%3."/>
      <w:lvlJc w:val="left"/>
      <w:pPr>
        <w:ind w:left="740" w:hanging="740"/>
      </w:pPr>
      <w:rPr>
        <w:rFonts w:hint="default"/>
        <w:b/>
        <w:sz w:val="24"/>
      </w:rPr>
    </w:lvl>
    <w:lvl w:ilvl="3">
      <w:start w:val="7"/>
      <w:numFmt w:val="decimal"/>
      <w:lvlText w:val="%1.%2.%3.%4."/>
      <w:lvlJc w:val="left"/>
      <w:pPr>
        <w:ind w:left="1080"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1800" w:hanging="1800"/>
      </w:pPr>
      <w:rPr>
        <w:rFonts w:hint="default"/>
        <w:b/>
        <w:sz w:val="24"/>
      </w:rPr>
    </w:lvl>
  </w:abstractNum>
  <w:abstractNum w:abstractNumId="47" w15:restartNumberingAfterBreak="0">
    <w:nsid w:val="2FA04DD6"/>
    <w:multiLevelType w:val="hybridMultilevel"/>
    <w:tmpl w:val="92BE0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FB578E"/>
    <w:multiLevelType w:val="hybridMultilevel"/>
    <w:tmpl w:val="D828FF42"/>
    <w:lvl w:ilvl="0" w:tplc="E1EE099E">
      <w:start w:val="1"/>
      <w:numFmt w:val="decimal"/>
      <w:lvlText w:val="%1."/>
      <w:lvlJc w:val="left"/>
      <w:pPr>
        <w:ind w:left="1080" w:hanging="360"/>
      </w:pPr>
      <w:rPr>
        <w:rFonts w:hint="default"/>
        <w:b w:val="0"/>
        <w:bCs w:val="0"/>
      </w:rPr>
    </w:lvl>
    <w:lvl w:ilvl="1" w:tplc="0409000B">
      <w:start w:val="1"/>
      <w:numFmt w:val="bullet"/>
      <w:lvlText w:val=""/>
      <w:lvlJc w:val="left"/>
      <w:pPr>
        <w:ind w:left="1800" w:hanging="360"/>
      </w:pPr>
      <w:rPr>
        <w:rFonts w:ascii="Wingdings" w:hAnsi="Wingdings" w:hint="default"/>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9" w15:restartNumberingAfterBreak="0">
    <w:nsid w:val="31CE5B43"/>
    <w:multiLevelType w:val="hybridMultilevel"/>
    <w:tmpl w:val="365A8C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3B56D47"/>
    <w:multiLevelType w:val="hybridMultilevel"/>
    <w:tmpl w:val="A62A3F98"/>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15:restartNumberingAfterBreak="0">
    <w:nsid w:val="360E6CC3"/>
    <w:multiLevelType w:val="hybridMultilevel"/>
    <w:tmpl w:val="AAC60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2E2074"/>
    <w:multiLevelType w:val="hybridMultilevel"/>
    <w:tmpl w:val="5B4001CC"/>
    <w:lvl w:ilvl="0" w:tplc="2EBC379A">
      <w:start w:val="2"/>
      <w:numFmt w:val="bullet"/>
      <w:lvlText w:val="-"/>
      <w:lvlJc w:val="left"/>
      <w:pPr>
        <w:ind w:left="1080" w:hanging="360"/>
      </w:pPr>
      <w:rPr>
        <w:rFonts w:ascii="Calibri Light" w:eastAsia="Calibri"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9512818"/>
    <w:multiLevelType w:val="hybridMultilevel"/>
    <w:tmpl w:val="D04E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9996AFB"/>
    <w:multiLevelType w:val="hybridMultilevel"/>
    <w:tmpl w:val="305A52A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3A3840AD"/>
    <w:multiLevelType w:val="multilevel"/>
    <w:tmpl w:val="E9F4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AEF2B8B"/>
    <w:multiLevelType w:val="hybridMultilevel"/>
    <w:tmpl w:val="30769DA0"/>
    <w:lvl w:ilvl="0" w:tplc="A84E3F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CD7446B"/>
    <w:multiLevelType w:val="hybridMultilevel"/>
    <w:tmpl w:val="696E0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7001BF"/>
    <w:multiLevelType w:val="hybridMultilevel"/>
    <w:tmpl w:val="68560F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6223C0"/>
    <w:multiLevelType w:val="hybridMultilevel"/>
    <w:tmpl w:val="735E58D6"/>
    <w:lvl w:ilvl="0" w:tplc="04090007">
      <w:start w:val="1"/>
      <w:numFmt w:val="bullet"/>
      <w:lvlText w:val=""/>
      <w:lvlPicBulletId w:val="0"/>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0" w15:restartNumberingAfterBreak="0">
    <w:nsid w:val="410469FF"/>
    <w:multiLevelType w:val="hybridMultilevel"/>
    <w:tmpl w:val="E024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DF480E"/>
    <w:multiLevelType w:val="hybridMultilevel"/>
    <w:tmpl w:val="2230CF50"/>
    <w:lvl w:ilvl="0" w:tplc="5C6E5E24">
      <w:start w:val="1"/>
      <w:numFmt w:val="bullet"/>
      <w:lvlText w:val="-"/>
      <w:lvlJc w:val="left"/>
      <w:pPr>
        <w:ind w:left="1080" w:hanging="360"/>
      </w:pPr>
      <w:rPr>
        <w:rFonts w:ascii="Calibri Light" w:eastAsiaTheme="minorHAnsi" w:hAnsi="Calibri Light" w:cs="Calibri Light"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2" w15:restartNumberingAfterBreak="0">
    <w:nsid w:val="431364DF"/>
    <w:multiLevelType w:val="hybridMultilevel"/>
    <w:tmpl w:val="F734124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412346F"/>
    <w:multiLevelType w:val="hybridMultilevel"/>
    <w:tmpl w:val="BB66D066"/>
    <w:lvl w:ilvl="0" w:tplc="8F3443E2">
      <w:start w:val="1"/>
      <w:numFmt w:val="decimal"/>
      <w:lvlText w:val="%1."/>
      <w:lvlJc w:val="left"/>
      <w:pPr>
        <w:ind w:left="1069" w:hanging="360"/>
      </w:pPr>
      <w:rPr>
        <w:rFonts w:hint="default"/>
        <w:b/>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15:restartNumberingAfterBreak="0">
    <w:nsid w:val="44552881"/>
    <w:multiLevelType w:val="hybridMultilevel"/>
    <w:tmpl w:val="6C2AEDB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5" w15:restartNumberingAfterBreak="0">
    <w:nsid w:val="44C20719"/>
    <w:multiLevelType w:val="multilevel"/>
    <w:tmpl w:val="A3403764"/>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6"/>
      <w:numFmt w:val="decimal"/>
      <w:lvlText w:val="%1.%2.%3."/>
      <w:lvlJc w:val="left"/>
      <w:pPr>
        <w:ind w:left="740" w:hanging="740"/>
      </w:pPr>
      <w:rPr>
        <w:rFonts w:hint="default"/>
      </w:rPr>
    </w:lvl>
    <w:lvl w:ilvl="3">
      <w:start w:val="1"/>
      <w:numFmt w:val="decimal"/>
      <w:lvlText w:val="%1.%2.%3.%4."/>
      <w:lvlJc w:val="left"/>
      <w:pPr>
        <w:ind w:left="5986" w:hanging="74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50768D8"/>
    <w:multiLevelType w:val="multilevel"/>
    <w:tmpl w:val="00EA49F4"/>
    <w:lvl w:ilvl="0">
      <w:start w:val="4"/>
      <w:numFmt w:val="decimal"/>
      <w:lvlText w:val="%1."/>
      <w:lvlJc w:val="left"/>
      <w:pPr>
        <w:ind w:left="740" w:hanging="740"/>
      </w:pPr>
      <w:rPr>
        <w:rFonts w:asciiTheme="majorHAnsi" w:eastAsiaTheme="minorHAnsi" w:hAnsiTheme="majorHAnsi" w:cstheme="majorHAnsi" w:hint="default"/>
      </w:rPr>
    </w:lvl>
    <w:lvl w:ilvl="1">
      <w:start w:val="1"/>
      <w:numFmt w:val="decimal"/>
      <w:lvlText w:val="%1.%2."/>
      <w:lvlJc w:val="left"/>
      <w:pPr>
        <w:ind w:left="740" w:hanging="740"/>
      </w:pPr>
      <w:rPr>
        <w:rFonts w:asciiTheme="majorHAnsi" w:eastAsiaTheme="minorHAnsi" w:hAnsiTheme="majorHAnsi" w:cstheme="majorHAnsi" w:hint="default"/>
      </w:rPr>
    </w:lvl>
    <w:lvl w:ilvl="2">
      <w:start w:val="4"/>
      <w:numFmt w:val="decimal"/>
      <w:lvlText w:val="%1.%2.%3."/>
      <w:lvlJc w:val="left"/>
      <w:pPr>
        <w:ind w:left="740" w:hanging="740"/>
      </w:pPr>
      <w:rPr>
        <w:rFonts w:asciiTheme="majorHAnsi" w:eastAsiaTheme="minorHAnsi" w:hAnsiTheme="majorHAnsi" w:cstheme="majorHAnsi" w:hint="default"/>
      </w:rPr>
    </w:lvl>
    <w:lvl w:ilvl="3">
      <w:start w:val="2"/>
      <w:numFmt w:val="decimal"/>
      <w:lvlText w:val="%1.%2.%3.%4."/>
      <w:lvlJc w:val="left"/>
      <w:pPr>
        <w:ind w:left="740" w:hanging="740"/>
      </w:pPr>
      <w:rPr>
        <w:rFonts w:asciiTheme="majorHAnsi" w:eastAsiaTheme="minorHAnsi" w:hAnsiTheme="majorHAnsi" w:cstheme="majorHAnsi" w:hint="default"/>
      </w:rPr>
    </w:lvl>
    <w:lvl w:ilvl="4">
      <w:start w:val="1"/>
      <w:numFmt w:val="decimal"/>
      <w:lvlText w:val="%1.%2.%3.%4.%5."/>
      <w:lvlJc w:val="left"/>
      <w:pPr>
        <w:ind w:left="1080" w:hanging="1080"/>
      </w:pPr>
      <w:rPr>
        <w:rFonts w:asciiTheme="majorHAnsi" w:eastAsiaTheme="minorHAnsi" w:hAnsiTheme="majorHAnsi" w:cstheme="majorHAnsi" w:hint="default"/>
      </w:rPr>
    </w:lvl>
    <w:lvl w:ilvl="5">
      <w:start w:val="1"/>
      <w:numFmt w:val="decimal"/>
      <w:lvlText w:val="%1.%2.%3.%4.%5.%6."/>
      <w:lvlJc w:val="left"/>
      <w:pPr>
        <w:ind w:left="1080" w:hanging="1080"/>
      </w:pPr>
      <w:rPr>
        <w:rFonts w:asciiTheme="majorHAnsi" w:eastAsiaTheme="minorHAnsi" w:hAnsiTheme="majorHAnsi" w:cstheme="majorHAnsi" w:hint="default"/>
      </w:rPr>
    </w:lvl>
    <w:lvl w:ilvl="6">
      <w:start w:val="1"/>
      <w:numFmt w:val="decimal"/>
      <w:lvlText w:val="%1.%2.%3.%4.%5.%6.%7."/>
      <w:lvlJc w:val="left"/>
      <w:pPr>
        <w:ind w:left="1440" w:hanging="1440"/>
      </w:pPr>
      <w:rPr>
        <w:rFonts w:asciiTheme="majorHAnsi" w:eastAsiaTheme="minorHAnsi" w:hAnsiTheme="majorHAnsi" w:cstheme="majorHAnsi" w:hint="default"/>
      </w:rPr>
    </w:lvl>
    <w:lvl w:ilvl="7">
      <w:start w:val="1"/>
      <w:numFmt w:val="decimal"/>
      <w:lvlText w:val="%1.%2.%3.%4.%5.%6.%7.%8."/>
      <w:lvlJc w:val="left"/>
      <w:pPr>
        <w:ind w:left="1440" w:hanging="1440"/>
      </w:pPr>
      <w:rPr>
        <w:rFonts w:asciiTheme="majorHAnsi" w:eastAsiaTheme="minorHAnsi" w:hAnsiTheme="majorHAnsi" w:cstheme="majorHAnsi" w:hint="default"/>
      </w:rPr>
    </w:lvl>
    <w:lvl w:ilvl="8">
      <w:start w:val="1"/>
      <w:numFmt w:val="decimal"/>
      <w:lvlText w:val="%1.%2.%3.%4.%5.%6.%7.%8.%9."/>
      <w:lvlJc w:val="left"/>
      <w:pPr>
        <w:ind w:left="1800" w:hanging="1800"/>
      </w:pPr>
      <w:rPr>
        <w:rFonts w:asciiTheme="majorHAnsi" w:eastAsiaTheme="minorHAnsi" w:hAnsiTheme="majorHAnsi" w:cstheme="majorHAnsi" w:hint="default"/>
      </w:rPr>
    </w:lvl>
  </w:abstractNum>
  <w:abstractNum w:abstractNumId="67" w15:restartNumberingAfterBreak="0">
    <w:nsid w:val="465D12EC"/>
    <w:multiLevelType w:val="hybridMultilevel"/>
    <w:tmpl w:val="9276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7A43239"/>
    <w:multiLevelType w:val="hybridMultilevel"/>
    <w:tmpl w:val="CBA28102"/>
    <w:lvl w:ilvl="0" w:tplc="0409000B">
      <w:start w:val="1"/>
      <w:numFmt w:val="bullet"/>
      <w:lvlText w:val=""/>
      <w:lvlJc w:val="left"/>
      <w:pPr>
        <w:ind w:left="1566" w:hanging="360"/>
      </w:pPr>
      <w:rPr>
        <w:rFonts w:ascii="Wingdings" w:hAnsi="Wingdings"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69" w15:restartNumberingAfterBreak="0">
    <w:nsid w:val="48EF2E85"/>
    <w:multiLevelType w:val="hybridMultilevel"/>
    <w:tmpl w:val="611E43D8"/>
    <w:lvl w:ilvl="0" w:tplc="73AC1ABE">
      <w:start w:val="3"/>
      <w:numFmt w:val="bullet"/>
      <w:lvlText w:val="-"/>
      <w:lvlJc w:val="left"/>
      <w:pPr>
        <w:ind w:left="720" w:hanging="360"/>
      </w:pPr>
      <w:rPr>
        <w:rFonts w:ascii="Calibri Light" w:eastAsiaTheme="minorHAnsi" w:hAnsi="Calibri Light" w:cs="Calibri Light" w:hint="default"/>
      </w:rPr>
    </w:lvl>
    <w:lvl w:ilvl="1" w:tplc="73AC1ABE">
      <w:start w:val="3"/>
      <w:numFmt w:val="bullet"/>
      <w:lvlText w:val="-"/>
      <w:lvlJc w:val="left"/>
      <w:pPr>
        <w:ind w:left="1440" w:hanging="360"/>
      </w:pPr>
      <w:rPr>
        <w:rFonts w:ascii="Calibri Light" w:eastAsiaTheme="minorHAnsi"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01168B"/>
    <w:multiLevelType w:val="hybridMultilevel"/>
    <w:tmpl w:val="A280776A"/>
    <w:lvl w:ilvl="0" w:tplc="45B80816">
      <w:start w:val="4"/>
      <w:numFmt w:val="bullet"/>
      <w:lvlText w:val="-"/>
      <w:lvlJc w:val="left"/>
      <w:pPr>
        <w:ind w:left="502" w:hanging="360"/>
      </w:pPr>
      <w:rPr>
        <w:rFonts w:ascii="Calibri" w:eastAsiaTheme="minorHAnsi" w:hAnsi="Calibri" w:cs="Calibri" w:hint="default"/>
      </w:rPr>
    </w:lvl>
    <w:lvl w:ilvl="1" w:tplc="04090003" w:tentative="1">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1" w15:restartNumberingAfterBreak="0">
    <w:nsid w:val="4C56560D"/>
    <w:multiLevelType w:val="hybridMultilevel"/>
    <w:tmpl w:val="0CA68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80228B"/>
    <w:multiLevelType w:val="hybridMultilevel"/>
    <w:tmpl w:val="CE7ACE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A8197E"/>
    <w:multiLevelType w:val="multilevel"/>
    <w:tmpl w:val="B360E608"/>
    <w:lvl w:ilvl="0">
      <w:start w:val="4"/>
      <w:numFmt w:val="decimal"/>
      <w:lvlText w:val="%1."/>
      <w:lvlJc w:val="left"/>
      <w:pPr>
        <w:ind w:left="740" w:hanging="740"/>
      </w:pPr>
      <w:rPr>
        <w:rFonts w:hint="default"/>
      </w:rPr>
    </w:lvl>
    <w:lvl w:ilvl="1">
      <w:start w:val="4"/>
      <w:numFmt w:val="decimal"/>
      <w:lvlText w:val="%1.%2."/>
      <w:lvlJc w:val="left"/>
      <w:pPr>
        <w:ind w:left="740" w:hanging="740"/>
      </w:pPr>
      <w:rPr>
        <w:rFonts w:hint="default"/>
      </w:rPr>
    </w:lvl>
    <w:lvl w:ilvl="2">
      <w:start w:val="2"/>
      <w:numFmt w:val="decimal"/>
      <w:lvlText w:val="%1.%2.%3."/>
      <w:lvlJc w:val="left"/>
      <w:pPr>
        <w:ind w:left="740" w:hanging="740"/>
      </w:pPr>
      <w:rPr>
        <w:rFonts w:hint="default"/>
      </w:rPr>
    </w:lvl>
    <w:lvl w:ilvl="3">
      <w:start w:val="1"/>
      <w:numFmt w:val="decimal"/>
      <w:lvlText w:val="%1.%2.%3.%4."/>
      <w:lvlJc w:val="left"/>
      <w:pPr>
        <w:ind w:left="740" w:hanging="7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DFD26AF"/>
    <w:multiLevelType w:val="hybridMultilevel"/>
    <w:tmpl w:val="8AB498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5B3D42"/>
    <w:multiLevelType w:val="hybridMultilevel"/>
    <w:tmpl w:val="AE7E98F4"/>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6" w15:restartNumberingAfterBreak="0">
    <w:nsid w:val="4F692590"/>
    <w:multiLevelType w:val="multilevel"/>
    <w:tmpl w:val="93BC1028"/>
    <w:lvl w:ilvl="0">
      <w:start w:val="4"/>
      <w:numFmt w:val="decimal"/>
      <w:lvlText w:val="%1."/>
      <w:lvlJc w:val="left"/>
      <w:pPr>
        <w:ind w:left="560" w:hanging="560"/>
      </w:pPr>
      <w:rPr>
        <w:rFonts w:hint="default"/>
        <w:i w:val="0"/>
      </w:rPr>
    </w:lvl>
    <w:lvl w:ilvl="1">
      <w:start w:val="4"/>
      <w:numFmt w:val="decimal"/>
      <w:lvlText w:val="%1.%2."/>
      <w:lvlJc w:val="left"/>
      <w:pPr>
        <w:ind w:left="560" w:hanging="560"/>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77" w15:restartNumberingAfterBreak="0">
    <w:nsid w:val="4F7912C0"/>
    <w:multiLevelType w:val="hybridMultilevel"/>
    <w:tmpl w:val="4F40B99C"/>
    <w:lvl w:ilvl="0" w:tplc="73AC1ABE">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953C44"/>
    <w:multiLevelType w:val="hybridMultilevel"/>
    <w:tmpl w:val="05C6E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AC20D4"/>
    <w:multiLevelType w:val="hybridMultilevel"/>
    <w:tmpl w:val="5298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1296A63"/>
    <w:multiLevelType w:val="hybridMultilevel"/>
    <w:tmpl w:val="D49CE6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671006"/>
    <w:multiLevelType w:val="multilevel"/>
    <w:tmpl w:val="679AF98E"/>
    <w:lvl w:ilvl="0">
      <w:start w:val="4"/>
      <w:numFmt w:val="decimal"/>
      <w:lvlText w:val="%1."/>
      <w:lvlJc w:val="left"/>
      <w:pPr>
        <w:ind w:left="740" w:hanging="740"/>
      </w:pPr>
      <w:rPr>
        <w:rFonts w:hint="default"/>
        <w:i/>
      </w:rPr>
    </w:lvl>
    <w:lvl w:ilvl="1">
      <w:start w:val="2"/>
      <w:numFmt w:val="decimal"/>
      <w:lvlText w:val="%1.%2."/>
      <w:lvlJc w:val="left"/>
      <w:pPr>
        <w:ind w:left="740" w:hanging="740"/>
      </w:pPr>
      <w:rPr>
        <w:rFonts w:hint="default"/>
        <w:i/>
      </w:rPr>
    </w:lvl>
    <w:lvl w:ilvl="2">
      <w:start w:val="3"/>
      <w:numFmt w:val="decimal"/>
      <w:lvlText w:val="%1.%2.%3."/>
      <w:lvlJc w:val="left"/>
      <w:pPr>
        <w:ind w:left="9671" w:hanging="740"/>
      </w:pPr>
      <w:rPr>
        <w:rFonts w:hint="default"/>
        <w:b/>
        <w:bCs/>
        <w:i/>
        <w:color w:val="auto"/>
      </w:rPr>
    </w:lvl>
    <w:lvl w:ilvl="3">
      <w:start w:val="1"/>
      <w:numFmt w:val="decimal"/>
      <w:lvlText w:val="%1.%2.%3.%4."/>
      <w:lvlJc w:val="left"/>
      <w:pPr>
        <w:ind w:left="740" w:hanging="740"/>
      </w:pPr>
      <w:rPr>
        <w:rFonts w:hint="default"/>
        <w:b/>
        <w:bCs/>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82" w15:restartNumberingAfterBreak="0">
    <w:nsid w:val="52525E7F"/>
    <w:multiLevelType w:val="hybridMultilevel"/>
    <w:tmpl w:val="A3600134"/>
    <w:lvl w:ilvl="0" w:tplc="E2DCD1FE">
      <w:start w:val="19"/>
      <w:numFmt w:val="bullet"/>
      <w:lvlText w:val="-"/>
      <w:lvlJc w:val="left"/>
      <w:pPr>
        <w:ind w:left="1069" w:hanging="360"/>
      </w:pPr>
      <w:rPr>
        <w:rFonts w:ascii="Calibri Light" w:eastAsia="Calibri" w:hAnsi="Calibri Light" w:cs="Calibri Light" w:hint="default"/>
        <w:b/>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3" w15:restartNumberingAfterBreak="0">
    <w:nsid w:val="52FC43B7"/>
    <w:multiLevelType w:val="hybridMultilevel"/>
    <w:tmpl w:val="E38C2292"/>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475505D"/>
    <w:multiLevelType w:val="hybridMultilevel"/>
    <w:tmpl w:val="79AEA6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7CD2C59"/>
    <w:multiLevelType w:val="hybridMultilevel"/>
    <w:tmpl w:val="57FCB5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3D7FD4"/>
    <w:multiLevelType w:val="hybridMultilevel"/>
    <w:tmpl w:val="890C36B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C491463"/>
    <w:multiLevelType w:val="hybridMultilevel"/>
    <w:tmpl w:val="B0B20A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C963FC9"/>
    <w:multiLevelType w:val="hybridMultilevel"/>
    <w:tmpl w:val="6F92BF14"/>
    <w:lvl w:ilvl="0" w:tplc="0409000D">
      <w:start w:val="1"/>
      <w:numFmt w:val="bullet"/>
      <w:lvlText w:val=""/>
      <w:lvlJc w:val="left"/>
      <w:pPr>
        <w:ind w:left="1116" w:hanging="360"/>
      </w:pPr>
      <w:rPr>
        <w:rFonts w:ascii="Wingdings" w:hAnsi="Wingdings"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89" w15:restartNumberingAfterBreak="0">
    <w:nsid w:val="5E122779"/>
    <w:multiLevelType w:val="hybridMultilevel"/>
    <w:tmpl w:val="0546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E2C7A3E"/>
    <w:multiLevelType w:val="hybridMultilevel"/>
    <w:tmpl w:val="5B08CCEE"/>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15:restartNumberingAfterBreak="0">
    <w:nsid w:val="606415E5"/>
    <w:multiLevelType w:val="hybridMultilevel"/>
    <w:tmpl w:val="A0DEF8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15:restartNumberingAfterBreak="0">
    <w:nsid w:val="62A80ED9"/>
    <w:multiLevelType w:val="hybridMultilevel"/>
    <w:tmpl w:val="BF3C15F4"/>
    <w:lvl w:ilvl="0" w:tplc="0409000D">
      <w:start w:val="1"/>
      <w:numFmt w:val="bullet"/>
      <w:lvlText w:val=""/>
      <w:lvlJc w:val="left"/>
      <w:pPr>
        <w:ind w:left="1080" w:hanging="360"/>
      </w:pPr>
      <w:rPr>
        <w:rFonts w:ascii="Wingdings" w:hAnsi="Wingding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67404A7A"/>
    <w:multiLevelType w:val="multilevel"/>
    <w:tmpl w:val="BA0ABDB8"/>
    <w:lvl w:ilvl="0">
      <w:start w:val="4"/>
      <w:numFmt w:val="decimal"/>
      <w:lvlText w:val="%1."/>
      <w:lvlJc w:val="left"/>
      <w:pPr>
        <w:ind w:left="740" w:hanging="740"/>
      </w:pPr>
      <w:rPr>
        <w:rFonts w:eastAsia="Times New Roman" w:cs="Times New Roman" w:hint="default"/>
        <w:i/>
        <w:color w:val="auto"/>
      </w:rPr>
    </w:lvl>
    <w:lvl w:ilvl="1">
      <w:start w:val="1"/>
      <w:numFmt w:val="decimal"/>
      <w:lvlText w:val="%1.%2."/>
      <w:lvlJc w:val="left"/>
      <w:pPr>
        <w:ind w:left="740" w:hanging="740"/>
      </w:pPr>
      <w:rPr>
        <w:rFonts w:eastAsia="Times New Roman" w:cs="Times New Roman" w:hint="default"/>
        <w:i/>
        <w:color w:val="auto"/>
      </w:rPr>
    </w:lvl>
    <w:lvl w:ilvl="2">
      <w:start w:val="5"/>
      <w:numFmt w:val="decimal"/>
      <w:lvlText w:val="%1.%2.%3."/>
      <w:lvlJc w:val="left"/>
      <w:pPr>
        <w:ind w:left="740" w:hanging="740"/>
      </w:pPr>
      <w:rPr>
        <w:rFonts w:eastAsia="Times New Roman" w:cs="Times New Roman" w:hint="default"/>
        <w:i/>
        <w:color w:val="auto"/>
      </w:rPr>
    </w:lvl>
    <w:lvl w:ilvl="3">
      <w:start w:val="1"/>
      <w:numFmt w:val="decimal"/>
      <w:lvlText w:val="%1.%2.%3.%4."/>
      <w:lvlJc w:val="left"/>
      <w:pPr>
        <w:ind w:left="740" w:hanging="740"/>
      </w:pPr>
      <w:rPr>
        <w:rFonts w:eastAsia="Times New Roman" w:cs="Times New Roman" w:hint="default"/>
        <w:i/>
        <w:color w:val="auto"/>
      </w:rPr>
    </w:lvl>
    <w:lvl w:ilvl="4">
      <w:start w:val="1"/>
      <w:numFmt w:val="decimal"/>
      <w:lvlText w:val="%1.%2.%3.%4.%5."/>
      <w:lvlJc w:val="left"/>
      <w:pPr>
        <w:ind w:left="1080" w:hanging="1080"/>
      </w:pPr>
      <w:rPr>
        <w:rFonts w:eastAsia="Times New Roman" w:cs="Times New Roman" w:hint="default"/>
        <w:i/>
        <w:color w:val="auto"/>
      </w:rPr>
    </w:lvl>
    <w:lvl w:ilvl="5">
      <w:start w:val="1"/>
      <w:numFmt w:val="decimal"/>
      <w:lvlText w:val="%1.%2.%3.%4.%5.%6."/>
      <w:lvlJc w:val="left"/>
      <w:pPr>
        <w:ind w:left="1080" w:hanging="1080"/>
      </w:pPr>
      <w:rPr>
        <w:rFonts w:eastAsia="Times New Roman" w:cs="Times New Roman" w:hint="default"/>
        <w:i/>
        <w:color w:val="auto"/>
      </w:rPr>
    </w:lvl>
    <w:lvl w:ilvl="6">
      <w:start w:val="1"/>
      <w:numFmt w:val="decimal"/>
      <w:lvlText w:val="%1.%2.%3.%4.%5.%6.%7."/>
      <w:lvlJc w:val="left"/>
      <w:pPr>
        <w:ind w:left="1440" w:hanging="1440"/>
      </w:pPr>
      <w:rPr>
        <w:rFonts w:eastAsia="Times New Roman" w:cs="Times New Roman" w:hint="default"/>
        <w:i/>
        <w:color w:val="auto"/>
      </w:rPr>
    </w:lvl>
    <w:lvl w:ilvl="7">
      <w:start w:val="1"/>
      <w:numFmt w:val="decimal"/>
      <w:lvlText w:val="%1.%2.%3.%4.%5.%6.%7.%8."/>
      <w:lvlJc w:val="left"/>
      <w:pPr>
        <w:ind w:left="1440" w:hanging="1440"/>
      </w:pPr>
      <w:rPr>
        <w:rFonts w:eastAsia="Times New Roman" w:cs="Times New Roman" w:hint="default"/>
        <w:i/>
        <w:color w:val="auto"/>
      </w:rPr>
    </w:lvl>
    <w:lvl w:ilvl="8">
      <w:start w:val="1"/>
      <w:numFmt w:val="decimal"/>
      <w:lvlText w:val="%1.%2.%3.%4.%5.%6.%7.%8.%9."/>
      <w:lvlJc w:val="left"/>
      <w:pPr>
        <w:ind w:left="1800" w:hanging="1800"/>
      </w:pPr>
      <w:rPr>
        <w:rFonts w:eastAsia="Times New Roman" w:cs="Times New Roman" w:hint="default"/>
        <w:i/>
        <w:color w:val="auto"/>
      </w:rPr>
    </w:lvl>
  </w:abstractNum>
  <w:abstractNum w:abstractNumId="94" w15:restartNumberingAfterBreak="0">
    <w:nsid w:val="67724B7C"/>
    <w:multiLevelType w:val="hybridMultilevel"/>
    <w:tmpl w:val="BF76934C"/>
    <w:lvl w:ilvl="0" w:tplc="D39EE9B0">
      <w:start w:val="1"/>
      <w:numFmt w:val="decimal"/>
      <w:lvlText w:val="%1."/>
      <w:lvlJc w:val="left"/>
      <w:pPr>
        <w:ind w:left="971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7B83D7E"/>
    <w:multiLevelType w:val="multilevel"/>
    <w:tmpl w:val="890AAEEC"/>
    <w:lvl w:ilvl="0">
      <w:start w:val="4"/>
      <w:numFmt w:val="decimal"/>
      <w:lvlText w:val="%1."/>
      <w:lvlJc w:val="left"/>
      <w:pPr>
        <w:ind w:left="740" w:hanging="740"/>
      </w:pPr>
      <w:rPr>
        <w:rFonts w:asciiTheme="majorHAnsi" w:hAnsiTheme="majorHAnsi" w:cstheme="majorHAnsi" w:hint="default"/>
        <w:b/>
        <w:i/>
        <w:color w:val="FF0000"/>
        <w:sz w:val="24"/>
      </w:rPr>
    </w:lvl>
    <w:lvl w:ilvl="1">
      <w:start w:val="3"/>
      <w:numFmt w:val="decimal"/>
      <w:lvlText w:val="%1.%2."/>
      <w:lvlJc w:val="left"/>
      <w:pPr>
        <w:ind w:left="740" w:hanging="740"/>
      </w:pPr>
      <w:rPr>
        <w:rFonts w:asciiTheme="majorHAnsi" w:hAnsiTheme="majorHAnsi" w:cstheme="majorHAnsi" w:hint="default"/>
        <w:b/>
        <w:i/>
        <w:color w:val="FF0000"/>
        <w:sz w:val="24"/>
      </w:rPr>
    </w:lvl>
    <w:lvl w:ilvl="2">
      <w:start w:val="6"/>
      <w:numFmt w:val="decimal"/>
      <w:lvlText w:val="%1.%2.%3."/>
      <w:lvlJc w:val="left"/>
      <w:pPr>
        <w:ind w:left="740" w:hanging="740"/>
      </w:pPr>
      <w:rPr>
        <w:rFonts w:asciiTheme="majorHAnsi" w:hAnsiTheme="majorHAnsi" w:cstheme="majorHAnsi" w:hint="default"/>
        <w:b/>
        <w:i/>
        <w:color w:val="FF0000"/>
        <w:sz w:val="24"/>
      </w:rPr>
    </w:lvl>
    <w:lvl w:ilvl="3">
      <w:start w:val="1"/>
      <w:numFmt w:val="decimal"/>
      <w:lvlText w:val="%1.%2.%3.%4."/>
      <w:lvlJc w:val="left"/>
      <w:pPr>
        <w:ind w:left="740" w:hanging="740"/>
      </w:pPr>
      <w:rPr>
        <w:rFonts w:asciiTheme="majorHAnsi" w:hAnsiTheme="majorHAnsi" w:cstheme="majorHAnsi" w:hint="default"/>
        <w:b/>
        <w:i/>
        <w:color w:val="auto"/>
        <w:sz w:val="24"/>
      </w:rPr>
    </w:lvl>
    <w:lvl w:ilvl="4">
      <w:start w:val="1"/>
      <w:numFmt w:val="decimal"/>
      <w:lvlText w:val="%1.%2.%3.%4.%5."/>
      <w:lvlJc w:val="left"/>
      <w:pPr>
        <w:ind w:left="1080" w:hanging="1080"/>
      </w:pPr>
      <w:rPr>
        <w:rFonts w:asciiTheme="majorHAnsi" w:hAnsiTheme="majorHAnsi" w:cstheme="majorHAnsi" w:hint="default"/>
        <w:b/>
        <w:i/>
        <w:color w:val="FF0000"/>
        <w:sz w:val="24"/>
      </w:rPr>
    </w:lvl>
    <w:lvl w:ilvl="5">
      <w:start w:val="1"/>
      <w:numFmt w:val="decimal"/>
      <w:lvlText w:val="%1.%2.%3.%4.%5.%6."/>
      <w:lvlJc w:val="left"/>
      <w:pPr>
        <w:ind w:left="1080" w:hanging="1080"/>
      </w:pPr>
      <w:rPr>
        <w:rFonts w:asciiTheme="majorHAnsi" w:hAnsiTheme="majorHAnsi" w:cstheme="majorHAnsi" w:hint="default"/>
        <w:b/>
        <w:i/>
        <w:color w:val="FF0000"/>
        <w:sz w:val="24"/>
      </w:rPr>
    </w:lvl>
    <w:lvl w:ilvl="6">
      <w:start w:val="1"/>
      <w:numFmt w:val="decimal"/>
      <w:lvlText w:val="%1.%2.%3.%4.%5.%6.%7."/>
      <w:lvlJc w:val="left"/>
      <w:pPr>
        <w:ind w:left="1440" w:hanging="1440"/>
      </w:pPr>
      <w:rPr>
        <w:rFonts w:asciiTheme="majorHAnsi" w:hAnsiTheme="majorHAnsi" w:cstheme="majorHAnsi" w:hint="default"/>
        <w:b/>
        <w:i/>
        <w:color w:val="FF0000"/>
        <w:sz w:val="24"/>
      </w:rPr>
    </w:lvl>
    <w:lvl w:ilvl="7">
      <w:start w:val="1"/>
      <w:numFmt w:val="decimal"/>
      <w:lvlText w:val="%1.%2.%3.%4.%5.%6.%7.%8."/>
      <w:lvlJc w:val="left"/>
      <w:pPr>
        <w:ind w:left="1440" w:hanging="1440"/>
      </w:pPr>
      <w:rPr>
        <w:rFonts w:asciiTheme="majorHAnsi" w:hAnsiTheme="majorHAnsi" w:cstheme="majorHAnsi" w:hint="default"/>
        <w:b/>
        <w:i/>
        <w:color w:val="FF0000"/>
        <w:sz w:val="24"/>
      </w:rPr>
    </w:lvl>
    <w:lvl w:ilvl="8">
      <w:start w:val="1"/>
      <w:numFmt w:val="decimal"/>
      <w:lvlText w:val="%1.%2.%3.%4.%5.%6.%7.%8.%9."/>
      <w:lvlJc w:val="left"/>
      <w:pPr>
        <w:ind w:left="1800" w:hanging="1800"/>
      </w:pPr>
      <w:rPr>
        <w:rFonts w:asciiTheme="majorHAnsi" w:hAnsiTheme="majorHAnsi" w:cstheme="majorHAnsi" w:hint="default"/>
        <w:b/>
        <w:i/>
        <w:color w:val="FF0000"/>
        <w:sz w:val="24"/>
      </w:rPr>
    </w:lvl>
  </w:abstractNum>
  <w:abstractNum w:abstractNumId="96" w15:restartNumberingAfterBreak="0">
    <w:nsid w:val="680E342C"/>
    <w:multiLevelType w:val="hybridMultilevel"/>
    <w:tmpl w:val="653C1C1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7" w15:restartNumberingAfterBreak="0">
    <w:nsid w:val="68A42127"/>
    <w:multiLevelType w:val="hybridMultilevel"/>
    <w:tmpl w:val="64AEFEC2"/>
    <w:lvl w:ilvl="0" w:tplc="96A0072C">
      <w:start w:val="6"/>
      <w:numFmt w:val="bullet"/>
      <w:lvlText w:val="-"/>
      <w:lvlJc w:val="left"/>
      <w:pPr>
        <w:ind w:left="1080" w:hanging="360"/>
      </w:pPr>
      <w:rPr>
        <w:rFonts w:ascii="Calibri Light" w:eastAsiaTheme="minorHAnsi" w:hAnsi="Calibri Light" w:cs="Calibri Light"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6AB97E50"/>
    <w:multiLevelType w:val="hybridMultilevel"/>
    <w:tmpl w:val="3C6A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B9D2EC3"/>
    <w:multiLevelType w:val="hybridMultilevel"/>
    <w:tmpl w:val="5484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D4707B3"/>
    <w:multiLevelType w:val="hybridMultilevel"/>
    <w:tmpl w:val="84C4D06E"/>
    <w:lvl w:ilvl="0" w:tplc="C9CE59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D9D60D7"/>
    <w:multiLevelType w:val="hybridMultilevel"/>
    <w:tmpl w:val="AD3A35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8B5F91"/>
    <w:multiLevelType w:val="multilevel"/>
    <w:tmpl w:val="299C8AFA"/>
    <w:lvl w:ilvl="0">
      <w:start w:val="4"/>
      <w:numFmt w:val="decimal"/>
      <w:lvlText w:val="%1."/>
      <w:lvlJc w:val="left"/>
      <w:pPr>
        <w:ind w:left="740" w:hanging="740"/>
      </w:pPr>
      <w:rPr>
        <w:rFonts w:hint="default"/>
        <w:b/>
        <w:sz w:val="24"/>
      </w:rPr>
    </w:lvl>
    <w:lvl w:ilvl="1">
      <w:start w:val="3"/>
      <w:numFmt w:val="decimal"/>
      <w:lvlText w:val="%1.%2."/>
      <w:lvlJc w:val="left"/>
      <w:pPr>
        <w:ind w:left="740" w:hanging="740"/>
      </w:pPr>
      <w:rPr>
        <w:rFonts w:hint="default"/>
        <w:b/>
        <w:sz w:val="24"/>
      </w:rPr>
    </w:lvl>
    <w:lvl w:ilvl="2">
      <w:start w:val="3"/>
      <w:numFmt w:val="decimal"/>
      <w:lvlText w:val="%1.%2.%3."/>
      <w:lvlJc w:val="left"/>
      <w:pPr>
        <w:ind w:left="740" w:hanging="740"/>
      </w:pPr>
      <w:rPr>
        <w:rFonts w:hint="default"/>
        <w:b/>
        <w:sz w:val="24"/>
      </w:rPr>
    </w:lvl>
    <w:lvl w:ilvl="3">
      <w:start w:val="5"/>
      <w:numFmt w:val="decimal"/>
      <w:lvlText w:val="%1.%2.%3.%4."/>
      <w:lvlJc w:val="left"/>
      <w:pPr>
        <w:ind w:left="2499"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1800" w:hanging="1800"/>
      </w:pPr>
      <w:rPr>
        <w:rFonts w:hint="default"/>
        <w:b/>
        <w:sz w:val="24"/>
      </w:rPr>
    </w:lvl>
  </w:abstractNum>
  <w:abstractNum w:abstractNumId="103" w15:restartNumberingAfterBreak="0">
    <w:nsid w:val="71145698"/>
    <w:multiLevelType w:val="hybridMultilevel"/>
    <w:tmpl w:val="E74CE18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452CB2"/>
    <w:multiLevelType w:val="hybridMultilevel"/>
    <w:tmpl w:val="0582AA98"/>
    <w:lvl w:ilvl="0" w:tplc="333CF1F6">
      <w:start w:val="18"/>
      <w:numFmt w:val="bullet"/>
      <w:lvlText w:val="-"/>
      <w:lvlJc w:val="left"/>
      <w:pPr>
        <w:ind w:left="644" w:hanging="360"/>
      </w:pPr>
      <w:rPr>
        <w:rFonts w:ascii="Calibri Light" w:eastAsiaTheme="minorHAnsi" w:hAnsi="Calibri Light" w:cs="Calibri Light"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5" w15:restartNumberingAfterBreak="0">
    <w:nsid w:val="7157540A"/>
    <w:multiLevelType w:val="hybridMultilevel"/>
    <w:tmpl w:val="EA661036"/>
    <w:lvl w:ilvl="0" w:tplc="0409000D">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6" w15:restartNumberingAfterBreak="0">
    <w:nsid w:val="71AE665F"/>
    <w:multiLevelType w:val="hybridMultilevel"/>
    <w:tmpl w:val="9E628D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1AE6991"/>
    <w:multiLevelType w:val="hybridMultilevel"/>
    <w:tmpl w:val="30BCFF54"/>
    <w:lvl w:ilvl="0" w:tplc="4B184F2E">
      <w:start w:val="7"/>
      <w:numFmt w:val="bullet"/>
      <w:lvlText w:val="-"/>
      <w:lvlJc w:val="left"/>
      <w:pPr>
        <w:ind w:left="644"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31D6007"/>
    <w:multiLevelType w:val="hybridMultilevel"/>
    <w:tmpl w:val="CB60DF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467B26"/>
    <w:multiLevelType w:val="multilevel"/>
    <w:tmpl w:val="35685DC4"/>
    <w:lvl w:ilvl="0">
      <w:start w:val="4"/>
      <w:numFmt w:val="decimal"/>
      <w:lvlText w:val="%1."/>
      <w:lvlJc w:val="left"/>
      <w:pPr>
        <w:ind w:left="740" w:hanging="740"/>
      </w:pPr>
      <w:rPr>
        <w:rFonts w:hint="default"/>
      </w:rPr>
    </w:lvl>
    <w:lvl w:ilvl="1">
      <w:start w:val="3"/>
      <w:numFmt w:val="decimal"/>
      <w:lvlText w:val="%1.%2."/>
      <w:lvlJc w:val="left"/>
      <w:pPr>
        <w:ind w:left="740" w:hanging="740"/>
      </w:pPr>
      <w:rPr>
        <w:rFonts w:hint="default"/>
      </w:rPr>
    </w:lvl>
    <w:lvl w:ilvl="2">
      <w:start w:val="2"/>
      <w:numFmt w:val="decimal"/>
      <w:lvlText w:val="%1.%2.%3."/>
      <w:lvlJc w:val="left"/>
      <w:pPr>
        <w:ind w:left="740" w:hanging="740"/>
      </w:pPr>
      <w:rPr>
        <w:rFonts w:hint="default"/>
      </w:rPr>
    </w:lvl>
    <w:lvl w:ilvl="3">
      <w:start w:val="1"/>
      <w:numFmt w:val="decimal"/>
      <w:lvlText w:val="%1.%2.%3.%4."/>
      <w:lvlJc w:val="left"/>
      <w:pPr>
        <w:ind w:left="740" w:hanging="7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75D71D24"/>
    <w:multiLevelType w:val="multilevel"/>
    <w:tmpl w:val="294467CC"/>
    <w:lvl w:ilvl="0">
      <w:start w:val="4"/>
      <w:numFmt w:val="decimal"/>
      <w:lvlText w:val="%1."/>
      <w:lvlJc w:val="left"/>
      <w:pPr>
        <w:ind w:left="840" w:hanging="840"/>
      </w:pPr>
      <w:rPr>
        <w:rFonts w:eastAsiaTheme="minorHAnsi" w:hint="default"/>
        <w:color w:val="000000" w:themeColor="text1"/>
      </w:rPr>
    </w:lvl>
    <w:lvl w:ilvl="1">
      <w:start w:val="2"/>
      <w:numFmt w:val="decimal"/>
      <w:lvlText w:val="%1.%2."/>
      <w:lvlJc w:val="left"/>
      <w:pPr>
        <w:ind w:left="840" w:hanging="840"/>
      </w:pPr>
      <w:rPr>
        <w:rFonts w:eastAsiaTheme="minorHAnsi" w:hint="default"/>
        <w:color w:val="000000" w:themeColor="text1"/>
      </w:rPr>
    </w:lvl>
    <w:lvl w:ilvl="2">
      <w:start w:val="10"/>
      <w:numFmt w:val="decimal"/>
      <w:lvlText w:val="%1.%2.%3."/>
      <w:lvlJc w:val="left"/>
      <w:pPr>
        <w:ind w:left="840" w:hanging="840"/>
      </w:pPr>
      <w:rPr>
        <w:rFonts w:eastAsiaTheme="minorHAnsi" w:hint="default"/>
        <w:color w:val="000000" w:themeColor="text1"/>
      </w:rPr>
    </w:lvl>
    <w:lvl w:ilvl="3">
      <w:start w:val="1"/>
      <w:numFmt w:val="decimal"/>
      <w:lvlText w:val="%1.%2.%3.%4."/>
      <w:lvlJc w:val="left"/>
      <w:pPr>
        <w:ind w:left="840" w:hanging="840"/>
      </w:pPr>
      <w:rPr>
        <w:rFonts w:eastAsiaTheme="minorHAnsi" w:hint="default"/>
        <w:color w:val="000000" w:themeColor="text1"/>
      </w:rPr>
    </w:lvl>
    <w:lvl w:ilvl="4">
      <w:start w:val="1"/>
      <w:numFmt w:val="decimal"/>
      <w:lvlText w:val="%1.%2.%3.%4.%5."/>
      <w:lvlJc w:val="left"/>
      <w:pPr>
        <w:ind w:left="1080" w:hanging="1080"/>
      </w:pPr>
      <w:rPr>
        <w:rFonts w:eastAsiaTheme="minorHAnsi" w:hint="default"/>
        <w:color w:val="000000" w:themeColor="text1"/>
      </w:rPr>
    </w:lvl>
    <w:lvl w:ilvl="5">
      <w:start w:val="1"/>
      <w:numFmt w:val="decimal"/>
      <w:lvlText w:val="%1.%2.%3.%4.%5.%6."/>
      <w:lvlJc w:val="left"/>
      <w:pPr>
        <w:ind w:left="1080" w:hanging="1080"/>
      </w:pPr>
      <w:rPr>
        <w:rFonts w:eastAsiaTheme="minorHAnsi" w:hint="default"/>
        <w:color w:val="000000" w:themeColor="text1"/>
      </w:rPr>
    </w:lvl>
    <w:lvl w:ilvl="6">
      <w:start w:val="1"/>
      <w:numFmt w:val="decimal"/>
      <w:lvlText w:val="%1.%2.%3.%4.%5.%6.%7."/>
      <w:lvlJc w:val="left"/>
      <w:pPr>
        <w:ind w:left="1440" w:hanging="1440"/>
      </w:pPr>
      <w:rPr>
        <w:rFonts w:eastAsiaTheme="minorHAnsi" w:hint="default"/>
        <w:color w:val="000000" w:themeColor="text1"/>
      </w:rPr>
    </w:lvl>
    <w:lvl w:ilvl="7">
      <w:start w:val="1"/>
      <w:numFmt w:val="decimal"/>
      <w:lvlText w:val="%1.%2.%3.%4.%5.%6.%7.%8."/>
      <w:lvlJc w:val="left"/>
      <w:pPr>
        <w:ind w:left="1440" w:hanging="1440"/>
      </w:pPr>
      <w:rPr>
        <w:rFonts w:eastAsiaTheme="minorHAnsi" w:hint="default"/>
        <w:color w:val="000000" w:themeColor="text1"/>
      </w:rPr>
    </w:lvl>
    <w:lvl w:ilvl="8">
      <w:start w:val="1"/>
      <w:numFmt w:val="decimal"/>
      <w:lvlText w:val="%1.%2.%3.%4.%5.%6.%7.%8.%9."/>
      <w:lvlJc w:val="left"/>
      <w:pPr>
        <w:ind w:left="1800" w:hanging="1800"/>
      </w:pPr>
      <w:rPr>
        <w:rFonts w:eastAsiaTheme="minorHAnsi" w:hint="default"/>
        <w:color w:val="000000" w:themeColor="text1"/>
      </w:rPr>
    </w:lvl>
  </w:abstractNum>
  <w:abstractNum w:abstractNumId="111" w15:restartNumberingAfterBreak="0">
    <w:nsid w:val="778D3928"/>
    <w:multiLevelType w:val="multilevel"/>
    <w:tmpl w:val="A3403764"/>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6"/>
      <w:numFmt w:val="decimal"/>
      <w:lvlText w:val="%1.%2.%3."/>
      <w:lvlJc w:val="left"/>
      <w:pPr>
        <w:ind w:left="740" w:hanging="740"/>
      </w:pPr>
      <w:rPr>
        <w:rFonts w:hint="default"/>
      </w:rPr>
    </w:lvl>
    <w:lvl w:ilvl="3">
      <w:start w:val="1"/>
      <w:numFmt w:val="decimal"/>
      <w:lvlText w:val="%1.%2.%3.%4."/>
      <w:lvlJc w:val="left"/>
      <w:pPr>
        <w:ind w:left="5986" w:hanging="74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79A2CD8"/>
    <w:multiLevelType w:val="hybridMultilevel"/>
    <w:tmpl w:val="2E16867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77D20BF2"/>
    <w:multiLevelType w:val="hybridMultilevel"/>
    <w:tmpl w:val="D09E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A9C0A08"/>
    <w:multiLevelType w:val="hybridMultilevel"/>
    <w:tmpl w:val="6D6068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BE96620"/>
    <w:multiLevelType w:val="hybridMultilevel"/>
    <w:tmpl w:val="4AA05996"/>
    <w:lvl w:ilvl="0" w:tplc="E1EE099E">
      <w:start w:val="1"/>
      <w:numFmt w:val="decimal"/>
      <w:lvlText w:val="%1."/>
      <w:lvlJc w:val="left"/>
      <w:pPr>
        <w:ind w:left="1080" w:hanging="360"/>
      </w:pPr>
      <w:rPr>
        <w:rFonts w:hint="default"/>
        <w:b w:val="0"/>
        <w:bCs w:val="0"/>
      </w:rPr>
    </w:lvl>
    <w:lvl w:ilvl="1" w:tplc="884E9AC4">
      <w:numFmt w:val="bullet"/>
      <w:lvlText w:val="-"/>
      <w:lvlJc w:val="left"/>
      <w:pPr>
        <w:ind w:left="1800" w:hanging="360"/>
      </w:pPr>
      <w:rPr>
        <w:rFonts w:ascii="Times New Roman" w:eastAsia="Times New Roman" w:hAnsi="Times New Roman" w:cs="Times New Roman" w:hint="default"/>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6" w15:restartNumberingAfterBreak="0">
    <w:nsid w:val="7C007142"/>
    <w:multiLevelType w:val="multilevel"/>
    <w:tmpl w:val="998E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C9B2887"/>
    <w:multiLevelType w:val="hybridMultilevel"/>
    <w:tmpl w:val="9CDAE3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EC92BC2"/>
    <w:multiLevelType w:val="multilevel"/>
    <w:tmpl w:val="3B64DEDC"/>
    <w:lvl w:ilvl="0">
      <w:start w:val="1"/>
      <w:numFmt w:val="bullet"/>
      <w:lvlText w:val=""/>
      <w:lvlJc w:val="left"/>
      <w:pPr>
        <w:ind w:left="740" w:hanging="740"/>
      </w:pPr>
      <w:rPr>
        <w:rFonts w:ascii="Wingdings" w:hAnsi="Wingdings" w:hint="default"/>
        <w:i/>
        <w:color w:val="auto"/>
      </w:rPr>
    </w:lvl>
    <w:lvl w:ilvl="1">
      <w:start w:val="1"/>
      <w:numFmt w:val="decimal"/>
      <w:lvlText w:val="%1.%2."/>
      <w:lvlJc w:val="left"/>
      <w:pPr>
        <w:ind w:left="740" w:hanging="740"/>
      </w:pPr>
      <w:rPr>
        <w:rFonts w:eastAsia="Times New Roman" w:cs="Times New Roman" w:hint="default"/>
        <w:i/>
        <w:color w:val="auto"/>
      </w:rPr>
    </w:lvl>
    <w:lvl w:ilvl="2">
      <w:start w:val="5"/>
      <w:numFmt w:val="decimal"/>
      <w:lvlText w:val="%1.%2.%3."/>
      <w:lvlJc w:val="left"/>
      <w:pPr>
        <w:ind w:left="740" w:hanging="740"/>
      </w:pPr>
      <w:rPr>
        <w:rFonts w:eastAsia="Times New Roman" w:cs="Times New Roman" w:hint="default"/>
        <w:i/>
        <w:color w:val="auto"/>
      </w:rPr>
    </w:lvl>
    <w:lvl w:ilvl="3">
      <w:start w:val="1"/>
      <w:numFmt w:val="decimal"/>
      <w:lvlText w:val="%1.%2.%3.%4."/>
      <w:lvlJc w:val="left"/>
      <w:pPr>
        <w:ind w:left="740" w:hanging="740"/>
      </w:pPr>
      <w:rPr>
        <w:rFonts w:eastAsia="Times New Roman" w:cs="Times New Roman" w:hint="default"/>
        <w:i/>
        <w:color w:val="auto"/>
      </w:rPr>
    </w:lvl>
    <w:lvl w:ilvl="4">
      <w:start w:val="1"/>
      <w:numFmt w:val="decimal"/>
      <w:lvlText w:val="%1.%2.%3.%4.%5."/>
      <w:lvlJc w:val="left"/>
      <w:pPr>
        <w:ind w:left="1080" w:hanging="1080"/>
      </w:pPr>
      <w:rPr>
        <w:rFonts w:eastAsia="Times New Roman" w:cs="Times New Roman" w:hint="default"/>
        <w:i/>
        <w:color w:val="auto"/>
      </w:rPr>
    </w:lvl>
    <w:lvl w:ilvl="5">
      <w:start w:val="1"/>
      <w:numFmt w:val="decimal"/>
      <w:lvlText w:val="%1.%2.%3.%4.%5.%6."/>
      <w:lvlJc w:val="left"/>
      <w:pPr>
        <w:ind w:left="1080" w:hanging="1080"/>
      </w:pPr>
      <w:rPr>
        <w:rFonts w:eastAsia="Times New Roman" w:cs="Times New Roman" w:hint="default"/>
        <w:i/>
        <w:color w:val="auto"/>
      </w:rPr>
    </w:lvl>
    <w:lvl w:ilvl="6">
      <w:start w:val="1"/>
      <w:numFmt w:val="decimal"/>
      <w:lvlText w:val="%1.%2.%3.%4.%5.%6.%7."/>
      <w:lvlJc w:val="left"/>
      <w:pPr>
        <w:ind w:left="1440" w:hanging="1440"/>
      </w:pPr>
      <w:rPr>
        <w:rFonts w:eastAsia="Times New Roman" w:cs="Times New Roman" w:hint="default"/>
        <w:i/>
        <w:color w:val="auto"/>
      </w:rPr>
    </w:lvl>
    <w:lvl w:ilvl="7">
      <w:start w:val="1"/>
      <w:numFmt w:val="decimal"/>
      <w:lvlText w:val="%1.%2.%3.%4.%5.%6.%7.%8."/>
      <w:lvlJc w:val="left"/>
      <w:pPr>
        <w:ind w:left="1440" w:hanging="1440"/>
      </w:pPr>
      <w:rPr>
        <w:rFonts w:eastAsia="Times New Roman" w:cs="Times New Roman" w:hint="default"/>
        <w:i/>
        <w:color w:val="auto"/>
      </w:rPr>
    </w:lvl>
    <w:lvl w:ilvl="8">
      <w:start w:val="1"/>
      <w:numFmt w:val="decimal"/>
      <w:lvlText w:val="%1.%2.%3.%4.%5.%6.%7.%8.%9."/>
      <w:lvlJc w:val="left"/>
      <w:pPr>
        <w:ind w:left="1800" w:hanging="1800"/>
      </w:pPr>
      <w:rPr>
        <w:rFonts w:eastAsia="Times New Roman" w:cs="Times New Roman" w:hint="default"/>
        <w:i/>
        <w:color w:val="auto"/>
      </w:rPr>
    </w:lvl>
  </w:abstractNum>
  <w:abstractNum w:abstractNumId="119" w15:restartNumberingAfterBreak="0">
    <w:nsid w:val="7EF958B9"/>
    <w:multiLevelType w:val="multilevel"/>
    <w:tmpl w:val="C9287926"/>
    <w:lvl w:ilvl="0">
      <w:start w:val="4"/>
      <w:numFmt w:val="decimal"/>
      <w:lvlText w:val="%1."/>
      <w:lvlJc w:val="left"/>
      <w:pPr>
        <w:ind w:left="560" w:hanging="560"/>
      </w:pPr>
      <w:rPr>
        <w:rFonts w:hint="default"/>
        <w:i/>
        <w:color w:val="auto"/>
        <w:sz w:val="24"/>
      </w:rPr>
    </w:lvl>
    <w:lvl w:ilvl="1">
      <w:start w:val="2"/>
      <w:numFmt w:val="decimal"/>
      <w:lvlText w:val="%1.%2."/>
      <w:lvlJc w:val="left"/>
      <w:pPr>
        <w:ind w:left="1232" w:hanging="720"/>
      </w:pPr>
      <w:rPr>
        <w:rFonts w:hint="default"/>
        <w:i/>
        <w:color w:val="auto"/>
        <w:sz w:val="24"/>
      </w:rPr>
    </w:lvl>
    <w:lvl w:ilvl="2">
      <w:start w:val="9"/>
      <w:numFmt w:val="decimal"/>
      <w:lvlText w:val="%1.%2.%3."/>
      <w:lvlJc w:val="left"/>
      <w:pPr>
        <w:ind w:left="2422" w:hanging="720"/>
      </w:pPr>
      <w:rPr>
        <w:rFonts w:hint="default"/>
        <w:b/>
        <w:i/>
        <w:color w:val="auto"/>
        <w:sz w:val="24"/>
      </w:rPr>
    </w:lvl>
    <w:lvl w:ilvl="3">
      <w:start w:val="1"/>
      <w:numFmt w:val="decimal"/>
      <w:lvlText w:val="%1.%2.%3.%4."/>
      <w:lvlJc w:val="left"/>
      <w:pPr>
        <w:ind w:left="2616" w:hanging="1080"/>
      </w:pPr>
      <w:rPr>
        <w:rFonts w:hint="default"/>
        <w:i/>
        <w:color w:val="auto"/>
        <w:sz w:val="24"/>
      </w:rPr>
    </w:lvl>
    <w:lvl w:ilvl="4">
      <w:start w:val="1"/>
      <w:numFmt w:val="decimal"/>
      <w:lvlText w:val="%1.%2.%3.%4.%5."/>
      <w:lvlJc w:val="left"/>
      <w:pPr>
        <w:ind w:left="3128" w:hanging="1080"/>
      </w:pPr>
      <w:rPr>
        <w:rFonts w:hint="default"/>
        <w:i/>
        <w:color w:val="auto"/>
        <w:sz w:val="24"/>
      </w:rPr>
    </w:lvl>
    <w:lvl w:ilvl="5">
      <w:start w:val="1"/>
      <w:numFmt w:val="decimal"/>
      <w:lvlText w:val="%1.%2.%3.%4.%5.%6."/>
      <w:lvlJc w:val="left"/>
      <w:pPr>
        <w:ind w:left="4000" w:hanging="1440"/>
      </w:pPr>
      <w:rPr>
        <w:rFonts w:hint="default"/>
        <w:i/>
        <w:color w:val="auto"/>
        <w:sz w:val="24"/>
      </w:rPr>
    </w:lvl>
    <w:lvl w:ilvl="6">
      <w:start w:val="1"/>
      <w:numFmt w:val="decimal"/>
      <w:lvlText w:val="%1.%2.%3.%4.%5.%6.%7."/>
      <w:lvlJc w:val="left"/>
      <w:pPr>
        <w:ind w:left="4512" w:hanging="1440"/>
      </w:pPr>
      <w:rPr>
        <w:rFonts w:hint="default"/>
        <w:i/>
        <w:color w:val="auto"/>
        <w:sz w:val="24"/>
      </w:rPr>
    </w:lvl>
    <w:lvl w:ilvl="7">
      <w:start w:val="1"/>
      <w:numFmt w:val="decimal"/>
      <w:lvlText w:val="%1.%2.%3.%4.%5.%6.%7.%8."/>
      <w:lvlJc w:val="left"/>
      <w:pPr>
        <w:ind w:left="5384" w:hanging="1800"/>
      </w:pPr>
      <w:rPr>
        <w:rFonts w:hint="default"/>
        <w:i/>
        <w:color w:val="auto"/>
        <w:sz w:val="24"/>
      </w:rPr>
    </w:lvl>
    <w:lvl w:ilvl="8">
      <w:start w:val="1"/>
      <w:numFmt w:val="decimal"/>
      <w:lvlText w:val="%1.%2.%3.%4.%5.%6.%7.%8.%9."/>
      <w:lvlJc w:val="left"/>
      <w:pPr>
        <w:ind w:left="6256" w:hanging="2160"/>
      </w:pPr>
      <w:rPr>
        <w:rFonts w:hint="default"/>
        <w:i/>
        <w:color w:val="auto"/>
        <w:sz w:val="24"/>
      </w:rPr>
    </w:lvl>
  </w:abstractNum>
  <w:abstractNum w:abstractNumId="120" w15:restartNumberingAfterBreak="0">
    <w:nsid w:val="7F6A4C30"/>
    <w:multiLevelType w:val="hybridMultilevel"/>
    <w:tmpl w:val="BA2A58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F6B1006"/>
    <w:multiLevelType w:val="hybridMultilevel"/>
    <w:tmpl w:val="F6C691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8"/>
  </w:num>
  <w:num w:numId="2">
    <w:abstractNumId w:val="96"/>
  </w:num>
  <w:num w:numId="3">
    <w:abstractNumId w:val="107"/>
  </w:num>
  <w:num w:numId="4">
    <w:abstractNumId w:val="77"/>
  </w:num>
  <w:num w:numId="5">
    <w:abstractNumId w:val="63"/>
  </w:num>
  <w:num w:numId="6">
    <w:abstractNumId w:val="85"/>
  </w:num>
  <w:num w:numId="7">
    <w:abstractNumId w:val="16"/>
  </w:num>
  <w:num w:numId="8">
    <w:abstractNumId w:val="3"/>
  </w:num>
  <w:num w:numId="9">
    <w:abstractNumId w:val="38"/>
  </w:num>
  <w:num w:numId="10">
    <w:abstractNumId w:val="10"/>
  </w:num>
  <w:num w:numId="11">
    <w:abstractNumId w:val="117"/>
  </w:num>
  <w:num w:numId="12">
    <w:abstractNumId w:val="71"/>
  </w:num>
  <w:num w:numId="13">
    <w:abstractNumId w:val="30"/>
  </w:num>
  <w:num w:numId="14">
    <w:abstractNumId w:val="66"/>
  </w:num>
  <w:num w:numId="15">
    <w:abstractNumId w:val="52"/>
  </w:num>
  <w:num w:numId="16">
    <w:abstractNumId w:val="118"/>
  </w:num>
  <w:num w:numId="17">
    <w:abstractNumId w:val="112"/>
  </w:num>
  <w:num w:numId="18">
    <w:abstractNumId w:val="14"/>
  </w:num>
  <w:num w:numId="19">
    <w:abstractNumId w:val="93"/>
  </w:num>
  <w:num w:numId="20">
    <w:abstractNumId w:val="65"/>
  </w:num>
  <w:num w:numId="21">
    <w:abstractNumId w:val="1"/>
  </w:num>
  <w:num w:numId="22">
    <w:abstractNumId w:val="78"/>
  </w:num>
  <w:num w:numId="23">
    <w:abstractNumId w:val="80"/>
  </w:num>
  <w:num w:numId="24">
    <w:abstractNumId w:val="12"/>
  </w:num>
  <w:num w:numId="25">
    <w:abstractNumId w:val="22"/>
  </w:num>
  <w:num w:numId="26">
    <w:abstractNumId w:val="21"/>
  </w:num>
  <w:num w:numId="27">
    <w:abstractNumId w:val="26"/>
  </w:num>
  <w:num w:numId="28">
    <w:abstractNumId w:val="32"/>
  </w:num>
  <w:num w:numId="29">
    <w:abstractNumId w:val="41"/>
  </w:num>
  <w:num w:numId="30">
    <w:abstractNumId w:val="5"/>
  </w:num>
  <w:num w:numId="31">
    <w:abstractNumId w:val="40"/>
  </w:num>
  <w:num w:numId="32">
    <w:abstractNumId w:val="105"/>
  </w:num>
  <w:num w:numId="33">
    <w:abstractNumId w:val="17"/>
  </w:num>
  <w:num w:numId="34">
    <w:abstractNumId w:val="15"/>
  </w:num>
  <w:num w:numId="35">
    <w:abstractNumId w:val="9"/>
  </w:num>
  <w:num w:numId="36">
    <w:abstractNumId w:val="88"/>
  </w:num>
  <w:num w:numId="37">
    <w:abstractNumId w:val="62"/>
  </w:num>
  <w:num w:numId="38">
    <w:abstractNumId w:val="54"/>
  </w:num>
  <w:num w:numId="39">
    <w:abstractNumId w:val="24"/>
  </w:num>
  <w:num w:numId="40">
    <w:abstractNumId w:val="48"/>
  </w:num>
  <w:num w:numId="41">
    <w:abstractNumId w:val="49"/>
  </w:num>
  <w:num w:numId="42">
    <w:abstractNumId w:val="59"/>
  </w:num>
  <w:num w:numId="43">
    <w:abstractNumId w:val="18"/>
  </w:num>
  <w:num w:numId="44">
    <w:abstractNumId w:val="37"/>
  </w:num>
  <w:num w:numId="45">
    <w:abstractNumId w:val="106"/>
  </w:num>
  <w:num w:numId="46">
    <w:abstractNumId w:val="104"/>
  </w:num>
  <w:num w:numId="47">
    <w:abstractNumId w:val="94"/>
  </w:num>
  <w:num w:numId="48">
    <w:abstractNumId w:val="114"/>
  </w:num>
  <w:num w:numId="49">
    <w:abstractNumId w:val="33"/>
  </w:num>
  <w:num w:numId="50">
    <w:abstractNumId w:val="8"/>
  </w:num>
  <w:num w:numId="51">
    <w:abstractNumId w:val="72"/>
  </w:num>
  <w:num w:numId="52">
    <w:abstractNumId w:val="81"/>
  </w:num>
  <w:num w:numId="53">
    <w:abstractNumId w:val="51"/>
  </w:num>
  <w:num w:numId="54">
    <w:abstractNumId w:val="58"/>
  </w:num>
  <w:num w:numId="55">
    <w:abstractNumId w:val="83"/>
  </w:num>
  <w:num w:numId="56">
    <w:abstractNumId w:val="119"/>
  </w:num>
  <w:num w:numId="57">
    <w:abstractNumId w:val="97"/>
  </w:num>
  <w:num w:numId="58">
    <w:abstractNumId w:val="6"/>
  </w:num>
  <w:num w:numId="59">
    <w:abstractNumId w:val="29"/>
  </w:num>
  <w:num w:numId="60">
    <w:abstractNumId w:val="87"/>
  </w:num>
  <w:num w:numId="61">
    <w:abstractNumId w:val="91"/>
  </w:num>
  <w:num w:numId="62">
    <w:abstractNumId w:val="0"/>
  </w:num>
  <w:num w:numId="63">
    <w:abstractNumId w:val="111"/>
  </w:num>
  <w:num w:numId="64">
    <w:abstractNumId w:val="89"/>
  </w:num>
  <w:num w:numId="65">
    <w:abstractNumId w:val="120"/>
  </w:num>
  <w:num w:numId="66">
    <w:abstractNumId w:val="82"/>
  </w:num>
  <w:num w:numId="67">
    <w:abstractNumId w:val="110"/>
  </w:num>
  <w:num w:numId="68">
    <w:abstractNumId w:val="27"/>
  </w:num>
  <w:num w:numId="69">
    <w:abstractNumId w:val="7"/>
  </w:num>
  <w:num w:numId="70">
    <w:abstractNumId w:val="73"/>
  </w:num>
  <w:num w:numId="71">
    <w:abstractNumId w:val="109"/>
  </w:num>
  <w:num w:numId="72">
    <w:abstractNumId w:val="19"/>
  </w:num>
  <w:num w:numId="73">
    <w:abstractNumId w:val="121"/>
  </w:num>
  <w:num w:numId="74">
    <w:abstractNumId w:val="50"/>
  </w:num>
  <w:num w:numId="75">
    <w:abstractNumId w:val="101"/>
  </w:num>
  <w:num w:numId="76">
    <w:abstractNumId w:val="102"/>
  </w:num>
  <w:num w:numId="77">
    <w:abstractNumId w:val="2"/>
  </w:num>
  <w:num w:numId="78">
    <w:abstractNumId w:val="76"/>
  </w:num>
  <w:num w:numId="79">
    <w:abstractNumId w:val="68"/>
  </w:num>
  <w:num w:numId="80">
    <w:abstractNumId w:val="46"/>
  </w:num>
  <w:num w:numId="81">
    <w:abstractNumId w:val="95"/>
  </w:num>
  <w:num w:numId="82">
    <w:abstractNumId w:val="35"/>
  </w:num>
  <w:num w:numId="83">
    <w:abstractNumId w:val="11"/>
  </w:num>
  <w:num w:numId="84">
    <w:abstractNumId w:val="64"/>
  </w:num>
  <w:num w:numId="85">
    <w:abstractNumId w:val="20"/>
  </w:num>
  <w:num w:numId="86">
    <w:abstractNumId w:val="75"/>
  </w:num>
  <w:num w:numId="87">
    <w:abstractNumId w:val="42"/>
  </w:num>
  <w:num w:numId="88">
    <w:abstractNumId w:val="115"/>
  </w:num>
  <w:num w:numId="89">
    <w:abstractNumId w:val="45"/>
  </w:num>
  <w:num w:numId="90">
    <w:abstractNumId w:val="79"/>
  </w:num>
  <w:num w:numId="91">
    <w:abstractNumId w:val="25"/>
  </w:num>
  <w:num w:numId="92">
    <w:abstractNumId w:val="44"/>
  </w:num>
  <w:num w:numId="93">
    <w:abstractNumId w:val="34"/>
  </w:num>
  <w:num w:numId="94">
    <w:abstractNumId w:val="56"/>
  </w:num>
  <w:num w:numId="95">
    <w:abstractNumId w:val="103"/>
  </w:num>
  <w:num w:numId="96">
    <w:abstractNumId w:val="108"/>
  </w:num>
  <w:num w:numId="97">
    <w:abstractNumId w:val="31"/>
  </w:num>
  <w:num w:numId="98">
    <w:abstractNumId w:val="23"/>
  </w:num>
  <w:num w:numId="99">
    <w:abstractNumId w:val="53"/>
  </w:num>
  <w:num w:numId="100">
    <w:abstractNumId w:val="84"/>
  </w:num>
  <w:num w:numId="101">
    <w:abstractNumId w:val="90"/>
  </w:num>
  <w:num w:numId="102">
    <w:abstractNumId w:val="55"/>
  </w:num>
  <w:num w:numId="103">
    <w:abstractNumId w:val="116"/>
  </w:num>
  <w:num w:numId="104">
    <w:abstractNumId w:val="36"/>
  </w:num>
  <w:num w:numId="105">
    <w:abstractNumId w:val="113"/>
  </w:num>
  <w:num w:numId="106">
    <w:abstractNumId w:val="4"/>
  </w:num>
  <w:num w:numId="107">
    <w:abstractNumId w:val="61"/>
  </w:num>
  <w:num w:numId="108">
    <w:abstractNumId w:val="86"/>
  </w:num>
  <w:num w:numId="109">
    <w:abstractNumId w:val="28"/>
  </w:num>
  <w:num w:numId="110">
    <w:abstractNumId w:val="13"/>
  </w:num>
  <w:num w:numId="111">
    <w:abstractNumId w:val="92"/>
  </w:num>
  <w:num w:numId="112">
    <w:abstractNumId w:val="39"/>
  </w:num>
  <w:num w:numId="113">
    <w:abstractNumId w:val="60"/>
  </w:num>
  <w:num w:numId="114">
    <w:abstractNumId w:val="67"/>
  </w:num>
  <w:num w:numId="115">
    <w:abstractNumId w:val="43"/>
  </w:num>
  <w:num w:numId="116">
    <w:abstractNumId w:val="99"/>
  </w:num>
  <w:num w:numId="117">
    <w:abstractNumId w:val="47"/>
  </w:num>
  <w:num w:numId="118">
    <w:abstractNumId w:val="57"/>
  </w:num>
  <w:num w:numId="119">
    <w:abstractNumId w:val="70"/>
  </w:num>
  <w:num w:numId="120">
    <w:abstractNumId w:val="69"/>
  </w:num>
  <w:num w:numId="121">
    <w:abstractNumId w:val="74"/>
  </w:num>
  <w:num w:numId="122">
    <w:abstractNumId w:val="10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11E"/>
    <w:rsid w:val="00001742"/>
    <w:rsid w:val="00002B83"/>
    <w:rsid w:val="000043DC"/>
    <w:rsid w:val="00005409"/>
    <w:rsid w:val="00005463"/>
    <w:rsid w:val="000061CE"/>
    <w:rsid w:val="00010518"/>
    <w:rsid w:val="00011074"/>
    <w:rsid w:val="0001318B"/>
    <w:rsid w:val="0001361E"/>
    <w:rsid w:val="00015176"/>
    <w:rsid w:val="000156A3"/>
    <w:rsid w:val="00015A51"/>
    <w:rsid w:val="00017F97"/>
    <w:rsid w:val="00021659"/>
    <w:rsid w:val="00022ECC"/>
    <w:rsid w:val="00022F0F"/>
    <w:rsid w:val="00024307"/>
    <w:rsid w:val="00030FA0"/>
    <w:rsid w:val="00031914"/>
    <w:rsid w:val="00032074"/>
    <w:rsid w:val="00032506"/>
    <w:rsid w:val="000333B0"/>
    <w:rsid w:val="00033989"/>
    <w:rsid w:val="000339E3"/>
    <w:rsid w:val="00034CCC"/>
    <w:rsid w:val="0003510B"/>
    <w:rsid w:val="00037641"/>
    <w:rsid w:val="00041490"/>
    <w:rsid w:val="00042531"/>
    <w:rsid w:val="00043110"/>
    <w:rsid w:val="0004314A"/>
    <w:rsid w:val="000434AF"/>
    <w:rsid w:val="0004488C"/>
    <w:rsid w:val="00044BF5"/>
    <w:rsid w:val="00044E63"/>
    <w:rsid w:val="00051249"/>
    <w:rsid w:val="00052269"/>
    <w:rsid w:val="000537BD"/>
    <w:rsid w:val="00055694"/>
    <w:rsid w:val="0005662D"/>
    <w:rsid w:val="00060293"/>
    <w:rsid w:val="000629BE"/>
    <w:rsid w:val="000637B3"/>
    <w:rsid w:val="0006436D"/>
    <w:rsid w:val="00067D8F"/>
    <w:rsid w:val="00073F06"/>
    <w:rsid w:val="000745A1"/>
    <w:rsid w:val="00075748"/>
    <w:rsid w:val="00076181"/>
    <w:rsid w:val="00076968"/>
    <w:rsid w:val="00076EB2"/>
    <w:rsid w:val="00077D3A"/>
    <w:rsid w:val="00077E48"/>
    <w:rsid w:val="00082708"/>
    <w:rsid w:val="00083348"/>
    <w:rsid w:val="00086881"/>
    <w:rsid w:val="00086A9B"/>
    <w:rsid w:val="00090D3A"/>
    <w:rsid w:val="00092EAE"/>
    <w:rsid w:val="0009469D"/>
    <w:rsid w:val="000964AD"/>
    <w:rsid w:val="00096CE3"/>
    <w:rsid w:val="00096E3B"/>
    <w:rsid w:val="00097A7E"/>
    <w:rsid w:val="000A06C1"/>
    <w:rsid w:val="000A0722"/>
    <w:rsid w:val="000A1411"/>
    <w:rsid w:val="000A236D"/>
    <w:rsid w:val="000A2762"/>
    <w:rsid w:val="000A3958"/>
    <w:rsid w:val="000A3A06"/>
    <w:rsid w:val="000A3DF5"/>
    <w:rsid w:val="000A5179"/>
    <w:rsid w:val="000A56A6"/>
    <w:rsid w:val="000A66E1"/>
    <w:rsid w:val="000A6DF6"/>
    <w:rsid w:val="000B031E"/>
    <w:rsid w:val="000B174F"/>
    <w:rsid w:val="000B35A4"/>
    <w:rsid w:val="000B3D80"/>
    <w:rsid w:val="000B4BB9"/>
    <w:rsid w:val="000B6284"/>
    <w:rsid w:val="000B67F5"/>
    <w:rsid w:val="000B6F92"/>
    <w:rsid w:val="000B75C1"/>
    <w:rsid w:val="000B7E8F"/>
    <w:rsid w:val="000C14FB"/>
    <w:rsid w:val="000C4891"/>
    <w:rsid w:val="000C490D"/>
    <w:rsid w:val="000C4EC2"/>
    <w:rsid w:val="000C504A"/>
    <w:rsid w:val="000C5683"/>
    <w:rsid w:val="000D1169"/>
    <w:rsid w:val="000D1457"/>
    <w:rsid w:val="000D1595"/>
    <w:rsid w:val="000D1DC8"/>
    <w:rsid w:val="000D230E"/>
    <w:rsid w:val="000D277E"/>
    <w:rsid w:val="000D3F10"/>
    <w:rsid w:val="000D4552"/>
    <w:rsid w:val="000D59DE"/>
    <w:rsid w:val="000E1775"/>
    <w:rsid w:val="000E199B"/>
    <w:rsid w:val="000E2A64"/>
    <w:rsid w:val="000E37F0"/>
    <w:rsid w:val="000E4693"/>
    <w:rsid w:val="000E553F"/>
    <w:rsid w:val="000E655D"/>
    <w:rsid w:val="000E79E1"/>
    <w:rsid w:val="000F14C8"/>
    <w:rsid w:val="000F1F68"/>
    <w:rsid w:val="000F26EC"/>
    <w:rsid w:val="000F3653"/>
    <w:rsid w:val="000F3BFD"/>
    <w:rsid w:val="000F3F37"/>
    <w:rsid w:val="000F4082"/>
    <w:rsid w:val="000F49A1"/>
    <w:rsid w:val="000F6E08"/>
    <w:rsid w:val="00100089"/>
    <w:rsid w:val="0010136C"/>
    <w:rsid w:val="001017DB"/>
    <w:rsid w:val="00101B6D"/>
    <w:rsid w:val="0010203F"/>
    <w:rsid w:val="00102554"/>
    <w:rsid w:val="001029D9"/>
    <w:rsid w:val="00105773"/>
    <w:rsid w:val="001060AB"/>
    <w:rsid w:val="001062B7"/>
    <w:rsid w:val="001062DF"/>
    <w:rsid w:val="0010797C"/>
    <w:rsid w:val="00107CDA"/>
    <w:rsid w:val="001101AA"/>
    <w:rsid w:val="0011246A"/>
    <w:rsid w:val="0011322A"/>
    <w:rsid w:val="0011391B"/>
    <w:rsid w:val="00113CC6"/>
    <w:rsid w:val="00115FF4"/>
    <w:rsid w:val="00116C17"/>
    <w:rsid w:val="00121F16"/>
    <w:rsid w:val="00123FE9"/>
    <w:rsid w:val="00126DF8"/>
    <w:rsid w:val="00126E9A"/>
    <w:rsid w:val="00131199"/>
    <w:rsid w:val="0013351D"/>
    <w:rsid w:val="00133658"/>
    <w:rsid w:val="00133D35"/>
    <w:rsid w:val="00133E4F"/>
    <w:rsid w:val="00136C14"/>
    <w:rsid w:val="00136F0C"/>
    <w:rsid w:val="0013757D"/>
    <w:rsid w:val="00147117"/>
    <w:rsid w:val="001475C0"/>
    <w:rsid w:val="001477CE"/>
    <w:rsid w:val="00151C1B"/>
    <w:rsid w:val="0015566E"/>
    <w:rsid w:val="0015722D"/>
    <w:rsid w:val="0015796D"/>
    <w:rsid w:val="00157DE3"/>
    <w:rsid w:val="0016339A"/>
    <w:rsid w:val="00163D4A"/>
    <w:rsid w:val="0016435C"/>
    <w:rsid w:val="00165855"/>
    <w:rsid w:val="00165E67"/>
    <w:rsid w:val="0016721D"/>
    <w:rsid w:val="00170AF1"/>
    <w:rsid w:val="00170BD5"/>
    <w:rsid w:val="00170C69"/>
    <w:rsid w:val="0017280C"/>
    <w:rsid w:val="00173C77"/>
    <w:rsid w:val="0017589C"/>
    <w:rsid w:val="0017592D"/>
    <w:rsid w:val="001767AD"/>
    <w:rsid w:val="00181F75"/>
    <w:rsid w:val="00184411"/>
    <w:rsid w:val="0018470A"/>
    <w:rsid w:val="001849BD"/>
    <w:rsid w:val="00184BA3"/>
    <w:rsid w:val="001857D0"/>
    <w:rsid w:val="001875CE"/>
    <w:rsid w:val="00187D36"/>
    <w:rsid w:val="00187E64"/>
    <w:rsid w:val="00190E8D"/>
    <w:rsid w:val="00190EB0"/>
    <w:rsid w:val="00190FB0"/>
    <w:rsid w:val="00193B16"/>
    <w:rsid w:val="00195962"/>
    <w:rsid w:val="00195FD0"/>
    <w:rsid w:val="001965CF"/>
    <w:rsid w:val="00197403"/>
    <w:rsid w:val="001977BA"/>
    <w:rsid w:val="001A0F94"/>
    <w:rsid w:val="001A1A3B"/>
    <w:rsid w:val="001A2939"/>
    <w:rsid w:val="001A61E2"/>
    <w:rsid w:val="001A6374"/>
    <w:rsid w:val="001A64D6"/>
    <w:rsid w:val="001A6827"/>
    <w:rsid w:val="001A7263"/>
    <w:rsid w:val="001B0F8E"/>
    <w:rsid w:val="001B2729"/>
    <w:rsid w:val="001B437C"/>
    <w:rsid w:val="001B4BEB"/>
    <w:rsid w:val="001B58CD"/>
    <w:rsid w:val="001B59E7"/>
    <w:rsid w:val="001C003B"/>
    <w:rsid w:val="001C0E1A"/>
    <w:rsid w:val="001C186B"/>
    <w:rsid w:val="001C2400"/>
    <w:rsid w:val="001C4434"/>
    <w:rsid w:val="001C4E69"/>
    <w:rsid w:val="001C78D1"/>
    <w:rsid w:val="001D00E8"/>
    <w:rsid w:val="001D00FD"/>
    <w:rsid w:val="001D06FF"/>
    <w:rsid w:val="001D2EB2"/>
    <w:rsid w:val="001D44BF"/>
    <w:rsid w:val="001D4C46"/>
    <w:rsid w:val="001D6103"/>
    <w:rsid w:val="001E141A"/>
    <w:rsid w:val="001E31A9"/>
    <w:rsid w:val="001E399C"/>
    <w:rsid w:val="001E40B1"/>
    <w:rsid w:val="001E4353"/>
    <w:rsid w:val="001E4BCB"/>
    <w:rsid w:val="001E5418"/>
    <w:rsid w:val="001E5623"/>
    <w:rsid w:val="001E6556"/>
    <w:rsid w:val="001E706B"/>
    <w:rsid w:val="001E7691"/>
    <w:rsid w:val="001E7A3B"/>
    <w:rsid w:val="001E7DF3"/>
    <w:rsid w:val="001F00E2"/>
    <w:rsid w:val="001F0141"/>
    <w:rsid w:val="001F2C41"/>
    <w:rsid w:val="001F2D25"/>
    <w:rsid w:val="001F3C85"/>
    <w:rsid w:val="001F3D5D"/>
    <w:rsid w:val="001F48A2"/>
    <w:rsid w:val="00200388"/>
    <w:rsid w:val="0020152D"/>
    <w:rsid w:val="00201A57"/>
    <w:rsid w:val="002026DF"/>
    <w:rsid w:val="00203917"/>
    <w:rsid w:val="00203D3E"/>
    <w:rsid w:val="00204445"/>
    <w:rsid w:val="00205D54"/>
    <w:rsid w:val="00206718"/>
    <w:rsid w:val="002079EA"/>
    <w:rsid w:val="0021004D"/>
    <w:rsid w:val="0021025D"/>
    <w:rsid w:val="002104F8"/>
    <w:rsid w:val="0021060E"/>
    <w:rsid w:val="00211CFF"/>
    <w:rsid w:val="00212BA0"/>
    <w:rsid w:val="002143A2"/>
    <w:rsid w:val="002179EB"/>
    <w:rsid w:val="00222CD4"/>
    <w:rsid w:val="0022304E"/>
    <w:rsid w:val="00224198"/>
    <w:rsid w:val="002244EE"/>
    <w:rsid w:val="00224A8D"/>
    <w:rsid w:val="00225AF2"/>
    <w:rsid w:val="00225D2B"/>
    <w:rsid w:val="00225EBF"/>
    <w:rsid w:val="00227340"/>
    <w:rsid w:val="0022739D"/>
    <w:rsid w:val="00227678"/>
    <w:rsid w:val="00230A82"/>
    <w:rsid w:val="00230EF8"/>
    <w:rsid w:val="002347F0"/>
    <w:rsid w:val="00236792"/>
    <w:rsid w:val="002367AE"/>
    <w:rsid w:val="00236D3A"/>
    <w:rsid w:val="00237FF8"/>
    <w:rsid w:val="00241AFA"/>
    <w:rsid w:val="00242631"/>
    <w:rsid w:val="002432DA"/>
    <w:rsid w:val="00244900"/>
    <w:rsid w:val="002454D4"/>
    <w:rsid w:val="00245A36"/>
    <w:rsid w:val="00245E5D"/>
    <w:rsid w:val="002468B4"/>
    <w:rsid w:val="00252346"/>
    <w:rsid w:val="00252A4B"/>
    <w:rsid w:val="00254477"/>
    <w:rsid w:val="002545F2"/>
    <w:rsid w:val="00254B68"/>
    <w:rsid w:val="002613C8"/>
    <w:rsid w:val="0026150B"/>
    <w:rsid w:val="00261D14"/>
    <w:rsid w:val="00262750"/>
    <w:rsid w:val="002637C6"/>
    <w:rsid w:val="00264362"/>
    <w:rsid w:val="00264C39"/>
    <w:rsid w:val="00264EF2"/>
    <w:rsid w:val="00267006"/>
    <w:rsid w:val="002674EA"/>
    <w:rsid w:val="00270A0C"/>
    <w:rsid w:val="00270E6F"/>
    <w:rsid w:val="0027704F"/>
    <w:rsid w:val="00277FFE"/>
    <w:rsid w:val="00281FC6"/>
    <w:rsid w:val="00282B71"/>
    <w:rsid w:val="00282CA1"/>
    <w:rsid w:val="002833C3"/>
    <w:rsid w:val="00283823"/>
    <w:rsid w:val="00283AB6"/>
    <w:rsid w:val="002862B5"/>
    <w:rsid w:val="00287B3D"/>
    <w:rsid w:val="002923CA"/>
    <w:rsid w:val="002930E4"/>
    <w:rsid w:val="00294D94"/>
    <w:rsid w:val="00295664"/>
    <w:rsid w:val="0029671B"/>
    <w:rsid w:val="00297376"/>
    <w:rsid w:val="002A0120"/>
    <w:rsid w:val="002A0CD7"/>
    <w:rsid w:val="002A0FB9"/>
    <w:rsid w:val="002A1E17"/>
    <w:rsid w:val="002A32AC"/>
    <w:rsid w:val="002A3A6A"/>
    <w:rsid w:val="002A4907"/>
    <w:rsid w:val="002A74C9"/>
    <w:rsid w:val="002B5A5A"/>
    <w:rsid w:val="002C023D"/>
    <w:rsid w:val="002C05BC"/>
    <w:rsid w:val="002C0C7E"/>
    <w:rsid w:val="002C0E09"/>
    <w:rsid w:val="002C1693"/>
    <w:rsid w:val="002C21BB"/>
    <w:rsid w:val="002D02AA"/>
    <w:rsid w:val="002D0457"/>
    <w:rsid w:val="002D09FD"/>
    <w:rsid w:val="002D1C8F"/>
    <w:rsid w:val="002D2CA3"/>
    <w:rsid w:val="002D2F55"/>
    <w:rsid w:val="002D304D"/>
    <w:rsid w:val="002D41F8"/>
    <w:rsid w:val="002D6343"/>
    <w:rsid w:val="002D7156"/>
    <w:rsid w:val="002D7C1C"/>
    <w:rsid w:val="002E167A"/>
    <w:rsid w:val="002E1955"/>
    <w:rsid w:val="002E26FC"/>
    <w:rsid w:val="002E3131"/>
    <w:rsid w:val="002E3E49"/>
    <w:rsid w:val="002E5FA6"/>
    <w:rsid w:val="002E6129"/>
    <w:rsid w:val="002E65B1"/>
    <w:rsid w:val="002E77E4"/>
    <w:rsid w:val="002E7BC9"/>
    <w:rsid w:val="002E7F08"/>
    <w:rsid w:val="002F024D"/>
    <w:rsid w:val="002F0A2E"/>
    <w:rsid w:val="002F0DFB"/>
    <w:rsid w:val="002F1EF5"/>
    <w:rsid w:val="002F25A4"/>
    <w:rsid w:val="002F3594"/>
    <w:rsid w:val="002F3C6E"/>
    <w:rsid w:val="002F53A6"/>
    <w:rsid w:val="002F7912"/>
    <w:rsid w:val="003002CF"/>
    <w:rsid w:val="00300B35"/>
    <w:rsid w:val="0030109A"/>
    <w:rsid w:val="003034DB"/>
    <w:rsid w:val="003038A6"/>
    <w:rsid w:val="00307B4C"/>
    <w:rsid w:val="003145F5"/>
    <w:rsid w:val="00314675"/>
    <w:rsid w:val="0031592D"/>
    <w:rsid w:val="0031605C"/>
    <w:rsid w:val="00317AC9"/>
    <w:rsid w:val="00320313"/>
    <w:rsid w:val="003218C0"/>
    <w:rsid w:val="0032206B"/>
    <w:rsid w:val="00322FFD"/>
    <w:rsid w:val="003231DA"/>
    <w:rsid w:val="00325B73"/>
    <w:rsid w:val="003274E9"/>
    <w:rsid w:val="00332FBE"/>
    <w:rsid w:val="0033320B"/>
    <w:rsid w:val="00334314"/>
    <w:rsid w:val="00335065"/>
    <w:rsid w:val="0033705A"/>
    <w:rsid w:val="00337650"/>
    <w:rsid w:val="00340903"/>
    <w:rsid w:val="0034363D"/>
    <w:rsid w:val="00344D84"/>
    <w:rsid w:val="00351E98"/>
    <w:rsid w:val="00352256"/>
    <w:rsid w:val="0035331E"/>
    <w:rsid w:val="00354182"/>
    <w:rsid w:val="0035551E"/>
    <w:rsid w:val="00355C34"/>
    <w:rsid w:val="00356C45"/>
    <w:rsid w:val="00357009"/>
    <w:rsid w:val="0037157D"/>
    <w:rsid w:val="003720A9"/>
    <w:rsid w:val="0037327C"/>
    <w:rsid w:val="0037396B"/>
    <w:rsid w:val="00373E3C"/>
    <w:rsid w:val="00373ED5"/>
    <w:rsid w:val="00374C53"/>
    <w:rsid w:val="00375A8D"/>
    <w:rsid w:val="00375DB0"/>
    <w:rsid w:val="00376B58"/>
    <w:rsid w:val="003808BD"/>
    <w:rsid w:val="003811E0"/>
    <w:rsid w:val="0038122C"/>
    <w:rsid w:val="00381A4A"/>
    <w:rsid w:val="00382413"/>
    <w:rsid w:val="003841C5"/>
    <w:rsid w:val="00385724"/>
    <w:rsid w:val="00385E75"/>
    <w:rsid w:val="00386929"/>
    <w:rsid w:val="003876A0"/>
    <w:rsid w:val="003918AF"/>
    <w:rsid w:val="003941A9"/>
    <w:rsid w:val="00397D0F"/>
    <w:rsid w:val="00397DE7"/>
    <w:rsid w:val="003A26F4"/>
    <w:rsid w:val="003A2CC3"/>
    <w:rsid w:val="003A314D"/>
    <w:rsid w:val="003A33F9"/>
    <w:rsid w:val="003A3EF8"/>
    <w:rsid w:val="003A3FAB"/>
    <w:rsid w:val="003A5EF0"/>
    <w:rsid w:val="003A61F8"/>
    <w:rsid w:val="003A6B8D"/>
    <w:rsid w:val="003A6C9C"/>
    <w:rsid w:val="003B0844"/>
    <w:rsid w:val="003B2149"/>
    <w:rsid w:val="003B6CE8"/>
    <w:rsid w:val="003B7B77"/>
    <w:rsid w:val="003C08FF"/>
    <w:rsid w:val="003C0D7E"/>
    <w:rsid w:val="003C1DCF"/>
    <w:rsid w:val="003C26A8"/>
    <w:rsid w:val="003C29D1"/>
    <w:rsid w:val="003C36A6"/>
    <w:rsid w:val="003C3856"/>
    <w:rsid w:val="003C4EB5"/>
    <w:rsid w:val="003C5073"/>
    <w:rsid w:val="003C615D"/>
    <w:rsid w:val="003C6960"/>
    <w:rsid w:val="003D1321"/>
    <w:rsid w:val="003D1338"/>
    <w:rsid w:val="003D1907"/>
    <w:rsid w:val="003D5201"/>
    <w:rsid w:val="003D542E"/>
    <w:rsid w:val="003D5B6E"/>
    <w:rsid w:val="003D7246"/>
    <w:rsid w:val="003E0383"/>
    <w:rsid w:val="003E0FDA"/>
    <w:rsid w:val="003E11AF"/>
    <w:rsid w:val="003E1C03"/>
    <w:rsid w:val="003E291B"/>
    <w:rsid w:val="003E2996"/>
    <w:rsid w:val="003E3E19"/>
    <w:rsid w:val="003E4767"/>
    <w:rsid w:val="003E5369"/>
    <w:rsid w:val="003E7375"/>
    <w:rsid w:val="003E7862"/>
    <w:rsid w:val="003E787A"/>
    <w:rsid w:val="003E7DD4"/>
    <w:rsid w:val="003E7DE5"/>
    <w:rsid w:val="003F0CAA"/>
    <w:rsid w:val="003F0FAE"/>
    <w:rsid w:val="003F2065"/>
    <w:rsid w:val="003F3A3E"/>
    <w:rsid w:val="003F5685"/>
    <w:rsid w:val="003F5BD1"/>
    <w:rsid w:val="003F5FBF"/>
    <w:rsid w:val="003F7240"/>
    <w:rsid w:val="003F7DFD"/>
    <w:rsid w:val="00400011"/>
    <w:rsid w:val="00400584"/>
    <w:rsid w:val="0040059C"/>
    <w:rsid w:val="00401394"/>
    <w:rsid w:val="00401997"/>
    <w:rsid w:val="004030C6"/>
    <w:rsid w:val="00403FFF"/>
    <w:rsid w:val="00405658"/>
    <w:rsid w:val="004068FB"/>
    <w:rsid w:val="00407382"/>
    <w:rsid w:val="00407746"/>
    <w:rsid w:val="004105A3"/>
    <w:rsid w:val="00412988"/>
    <w:rsid w:val="004141BF"/>
    <w:rsid w:val="00414ACB"/>
    <w:rsid w:val="00414E9B"/>
    <w:rsid w:val="00414F19"/>
    <w:rsid w:val="00415107"/>
    <w:rsid w:val="004166BA"/>
    <w:rsid w:val="0041764A"/>
    <w:rsid w:val="00417CAB"/>
    <w:rsid w:val="004209E0"/>
    <w:rsid w:val="00420F96"/>
    <w:rsid w:val="0042169B"/>
    <w:rsid w:val="0042403C"/>
    <w:rsid w:val="00424CB7"/>
    <w:rsid w:val="00424E9C"/>
    <w:rsid w:val="00425665"/>
    <w:rsid w:val="00426727"/>
    <w:rsid w:val="00427E49"/>
    <w:rsid w:val="0043115A"/>
    <w:rsid w:val="004312AE"/>
    <w:rsid w:val="004315CC"/>
    <w:rsid w:val="004318BB"/>
    <w:rsid w:val="0043213C"/>
    <w:rsid w:val="00433F37"/>
    <w:rsid w:val="00434888"/>
    <w:rsid w:val="00435660"/>
    <w:rsid w:val="00440BD5"/>
    <w:rsid w:val="00440BE3"/>
    <w:rsid w:val="00441648"/>
    <w:rsid w:val="00442094"/>
    <w:rsid w:val="00442899"/>
    <w:rsid w:val="00442DF5"/>
    <w:rsid w:val="00443208"/>
    <w:rsid w:val="00447ABE"/>
    <w:rsid w:val="00450D20"/>
    <w:rsid w:val="004517D9"/>
    <w:rsid w:val="0045365F"/>
    <w:rsid w:val="00453D8C"/>
    <w:rsid w:val="00456E5E"/>
    <w:rsid w:val="00457F02"/>
    <w:rsid w:val="00462242"/>
    <w:rsid w:val="00463872"/>
    <w:rsid w:val="00464C0F"/>
    <w:rsid w:val="00465487"/>
    <w:rsid w:val="00465B77"/>
    <w:rsid w:val="004662AD"/>
    <w:rsid w:val="004668D5"/>
    <w:rsid w:val="004674B3"/>
    <w:rsid w:val="00470714"/>
    <w:rsid w:val="00470BF4"/>
    <w:rsid w:val="00471A53"/>
    <w:rsid w:val="004740AE"/>
    <w:rsid w:val="00474FA7"/>
    <w:rsid w:val="00475A02"/>
    <w:rsid w:val="004762C3"/>
    <w:rsid w:val="004767CC"/>
    <w:rsid w:val="00480580"/>
    <w:rsid w:val="0048061E"/>
    <w:rsid w:val="0048068D"/>
    <w:rsid w:val="004858D2"/>
    <w:rsid w:val="004859AA"/>
    <w:rsid w:val="00490D4F"/>
    <w:rsid w:val="0049194C"/>
    <w:rsid w:val="004922BD"/>
    <w:rsid w:val="00492440"/>
    <w:rsid w:val="0049343C"/>
    <w:rsid w:val="00493C37"/>
    <w:rsid w:val="00495068"/>
    <w:rsid w:val="004951E9"/>
    <w:rsid w:val="00495C73"/>
    <w:rsid w:val="00496DD5"/>
    <w:rsid w:val="00496FB2"/>
    <w:rsid w:val="00497636"/>
    <w:rsid w:val="004979F3"/>
    <w:rsid w:val="004A0862"/>
    <w:rsid w:val="004A17ED"/>
    <w:rsid w:val="004A1DD6"/>
    <w:rsid w:val="004A52FE"/>
    <w:rsid w:val="004A6E39"/>
    <w:rsid w:val="004A74C7"/>
    <w:rsid w:val="004B0530"/>
    <w:rsid w:val="004B2223"/>
    <w:rsid w:val="004B38CD"/>
    <w:rsid w:val="004B3EF4"/>
    <w:rsid w:val="004B5B32"/>
    <w:rsid w:val="004B6DE2"/>
    <w:rsid w:val="004B6EFE"/>
    <w:rsid w:val="004C02E6"/>
    <w:rsid w:val="004C0300"/>
    <w:rsid w:val="004C216C"/>
    <w:rsid w:val="004C24EE"/>
    <w:rsid w:val="004C2630"/>
    <w:rsid w:val="004C5972"/>
    <w:rsid w:val="004C7F21"/>
    <w:rsid w:val="004D0F0D"/>
    <w:rsid w:val="004D14A8"/>
    <w:rsid w:val="004D163B"/>
    <w:rsid w:val="004D2285"/>
    <w:rsid w:val="004D3213"/>
    <w:rsid w:val="004D354E"/>
    <w:rsid w:val="004D3847"/>
    <w:rsid w:val="004D5476"/>
    <w:rsid w:val="004D5DDA"/>
    <w:rsid w:val="004D753B"/>
    <w:rsid w:val="004D75E0"/>
    <w:rsid w:val="004D7CD9"/>
    <w:rsid w:val="004D7D0D"/>
    <w:rsid w:val="004E19C5"/>
    <w:rsid w:val="004E1D96"/>
    <w:rsid w:val="004E1F1B"/>
    <w:rsid w:val="004E23EF"/>
    <w:rsid w:val="004E3CA9"/>
    <w:rsid w:val="004E41D0"/>
    <w:rsid w:val="004E45A8"/>
    <w:rsid w:val="004E461D"/>
    <w:rsid w:val="004E4773"/>
    <w:rsid w:val="004E4AFE"/>
    <w:rsid w:val="004E56B6"/>
    <w:rsid w:val="004E7B31"/>
    <w:rsid w:val="004F0B0C"/>
    <w:rsid w:val="004F1E03"/>
    <w:rsid w:val="004F31BA"/>
    <w:rsid w:val="004F3DDF"/>
    <w:rsid w:val="004F3E69"/>
    <w:rsid w:val="004F3EB1"/>
    <w:rsid w:val="004F717E"/>
    <w:rsid w:val="004F78F3"/>
    <w:rsid w:val="00501116"/>
    <w:rsid w:val="00501AD3"/>
    <w:rsid w:val="00502647"/>
    <w:rsid w:val="00502D2B"/>
    <w:rsid w:val="00503448"/>
    <w:rsid w:val="00503872"/>
    <w:rsid w:val="005056D7"/>
    <w:rsid w:val="00506DAC"/>
    <w:rsid w:val="0050785D"/>
    <w:rsid w:val="005106A3"/>
    <w:rsid w:val="00511E88"/>
    <w:rsid w:val="00513339"/>
    <w:rsid w:val="00513698"/>
    <w:rsid w:val="00515067"/>
    <w:rsid w:val="0051529A"/>
    <w:rsid w:val="005152A6"/>
    <w:rsid w:val="00516DE6"/>
    <w:rsid w:val="0052024E"/>
    <w:rsid w:val="00521256"/>
    <w:rsid w:val="00521FDD"/>
    <w:rsid w:val="00525726"/>
    <w:rsid w:val="00525846"/>
    <w:rsid w:val="00525879"/>
    <w:rsid w:val="00525978"/>
    <w:rsid w:val="0052660F"/>
    <w:rsid w:val="0052780F"/>
    <w:rsid w:val="00530C80"/>
    <w:rsid w:val="00530CC1"/>
    <w:rsid w:val="005313D9"/>
    <w:rsid w:val="005319F9"/>
    <w:rsid w:val="00532B6D"/>
    <w:rsid w:val="005333C2"/>
    <w:rsid w:val="005348CE"/>
    <w:rsid w:val="00536040"/>
    <w:rsid w:val="00536502"/>
    <w:rsid w:val="005365F1"/>
    <w:rsid w:val="00536871"/>
    <w:rsid w:val="00540E0B"/>
    <w:rsid w:val="00541886"/>
    <w:rsid w:val="00544707"/>
    <w:rsid w:val="005448AB"/>
    <w:rsid w:val="005466C8"/>
    <w:rsid w:val="00546E34"/>
    <w:rsid w:val="005475ED"/>
    <w:rsid w:val="00554EAD"/>
    <w:rsid w:val="00556E75"/>
    <w:rsid w:val="00557405"/>
    <w:rsid w:val="00557BF0"/>
    <w:rsid w:val="00560414"/>
    <w:rsid w:val="00563707"/>
    <w:rsid w:val="005642D7"/>
    <w:rsid w:val="00572EA9"/>
    <w:rsid w:val="00573188"/>
    <w:rsid w:val="00574397"/>
    <w:rsid w:val="005746A2"/>
    <w:rsid w:val="0057751F"/>
    <w:rsid w:val="00581AA1"/>
    <w:rsid w:val="00582C31"/>
    <w:rsid w:val="00582FA0"/>
    <w:rsid w:val="00587752"/>
    <w:rsid w:val="00587D93"/>
    <w:rsid w:val="00587F1F"/>
    <w:rsid w:val="005901F5"/>
    <w:rsid w:val="00591C70"/>
    <w:rsid w:val="00592C86"/>
    <w:rsid w:val="00593448"/>
    <w:rsid w:val="005940D8"/>
    <w:rsid w:val="00594407"/>
    <w:rsid w:val="00594C18"/>
    <w:rsid w:val="00595860"/>
    <w:rsid w:val="005966F2"/>
    <w:rsid w:val="005A3646"/>
    <w:rsid w:val="005A3739"/>
    <w:rsid w:val="005A4661"/>
    <w:rsid w:val="005A7845"/>
    <w:rsid w:val="005A7A25"/>
    <w:rsid w:val="005B008A"/>
    <w:rsid w:val="005B0883"/>
    <w:rsid w:val="005B0E07"/>
    <w:rsid w:val="005B52F2"/>
    <w:rsid w:val="005B70BA"/>
    <w:rsid w:val="005B76B1"/>
    <w:rsid w:val="005C1595"/>
    <w:rsid w:val="005C202F"/>
    <w:rsid w:val="005C2B81"/>
    <w:rsid w:val="005C35E8"/>
    <w:rsid w:val="005C564A"/>
    <w:rsid w:val="005C6936"/>
    <w:rsid w:val="005C6BB5"/>
    <w:rsid w:val="005D0D17"/>
    <w:rsid w:val="005D1249"/>
    <w:rsid w:val="005D17B0"/>
    <w:rsid w:val="005D1E4C"/>
    <w:rsid w:val="005D308E"/>
    <w:rsid w:val="005D378E"/>
    <w:rsid w:val="005D66DF"/>
    <w:rsid w:val="005D7B59"/>
    <w:rsid w:val="005E24A0"/>
    <w:rsid w:val="005E56D9"/>
    <w:rsid w:val="005E584E"/>
    <w:rsid w:val="005E79F4"/>
    <w:rsid w:val="005F08AB"/>
    <w:rsid w:val="005F16A7"/>
    <w:rsid w:val="005F174F"/>
    <w:rsid w:val="005F2A6D"/>
    <w:rsid w:val="005F2BEE"/>
    <w:rsid w:val="005F4178"/>
    <w:rsid w:val="005F7080"/>
    <w:rsid w:val="00600A51"/>
    <w:rsid w:val="00600ED4"/>
    <w:rsid w:val="006021AA"/>
    <w:rsid w:val="00603A03"/>
    <w:rsid w:val="00605177"/>
    <w:rsid w:val="00605421"/>
    <w:rsid w:val="00606F71"/>
    <w:rsid w:val="0061061E"/>
    <w:rsid w:val="00613521"/>
    <w:rsid w:val="00614D36"/>
    <w:rsid w:val="006159CB"/>
    <w:rsid w:val="00615F3C"/>
    <w:rsid w:val="0061671F"/>
    <w:rsid w:val="00617682"/>
    <w:rsid w:val="00617B47"/>
    <w:rsid w:val="00622BE5"/>
    <w:rsid w:val="006234A9"/>
    <w:rsid w:val="00623E24"/>
    <w:rsid w:val="0063109C"/>
    <w:rsid w:val="0063126E"/>
    <w:rsid w:val="0063186B"/>
    <w:rsid w:val="006322FA"/>
    <w:rsid w:val="0063451C"/>
    <w:rsid w:val="00636A08"/>
    <w:rsid w:val="00637192"/>
    <w:rsid w:val="006414BD"/>
    <w:rsid w:val="006442AA"/>
    <w:rsid w:val="006461DF"/>
    <w:rsid w:val="00646A2E"/>
    <w:rsid w:val="00646E23"/>
    <w:rsid w:val="00653067"/>
    <w:rsid w:val="00653984"/>
    <w:rsid w:val="00654B1E"/>
    <w:rsid w:val="00655A46"/>
    <w:rsid w:val="00660FEB"/>
    <w:rsid w:val="00661005"/>
    <w:rsid w:val="0066754B"/>
    <w:rsid w:val="00667BDE"/>
    <w:rsid w:val="00667F0B"/>
    <w:rsid w:val="006711E4"/>
    <w:rsid w:val="006720F6"/>
    <w:rsid w:val="00675EF1"/>
    <w:rsid w:val="00680C19"/>
    <w:rsid w:val="0068411E"/>
    <w:rsid w:val="00690F6E"/>
    <w:rsid w:val="00691360"/>
    <w:rsid w:val="00692AF7"/>
    <w:rsid w:val="00693502"/>
    <w:rsid w:val="00693E1E"/>
    <w:rsid w:val="0069758A"/>
    <w:rsid w:val="00697728"/>
    <w:rsid w:val="006A0390"/>
    <w:rsid w:val="006A05FB"/>
    <w:rsid w:val="006A0901"/>
    <w:rsid w:val="006A104B"/>
    <w:rsid w:val="006A1F6A"/>
    <w:rsid w:val="006A41FD"/>
    <w:rsid w:val="006A44B1"/>
    <w:rsid w:val="006A5455"/>
    <w:rsid w:val="006A69F0"/>
    <w:rsid w:val="006A7199"/>
    <w:rsid w:val="006B03E0"/>
    <w:rsid w:val="006B0477"/>
    <w:rsid w:val="006B0551"/>
    <w:rsid w:val="006B38F2"/>
    <w:rsid w:val="006B4149"/>
    <w:rsid w:val="006B46C2"/>
    <w:rsid w:val="006B75DD"/>
    <w:rsid w:val="006B7650"/>
    <w:rsid w:val="006B77F2"/>
    <w:rsid w:val="006C1D53"/>
    <w:rsid w:val="006C3BFA"/>
    <w:rsid w:val="006C4729"/>
    <w:rsid w:val="006C5240"/>
    <w:rsid w:val="006C5ACA"/>
    <w:rsid w:val="006C6B4F"/>
    <w:rsid w:val="006D0145"/>
    <w:rsid w:val="006D1407"/>
    <w:rsid w:val="006D2DEB"/>
    <w:rsid w:val="006D3D63"/>
    <w:rsid w:val="006D4C5F"/>
    <w:rsid w:val="006D54C4"/>
    <w:rsid w:val="006D5E26"/>
    <w:rsid w:val="006D780E"/>
    <w:rsid w:val="006E0007"/>
    <w:rsid w:val="006E2D9B"/>
    <w:rsid w:val="006E335A"/>
    <w:rsid w:val="006E35C0"/>
    <w:rsid w:val="006E5173"/>
    <w:rsid w:val="006E75ED"/>
    <w:rsid w:val="006F12DD"/>
    <w:rsid w:val="006F45CF"/>
    <w:rsid w:val="006F5845"/>
    <w:rsid w:val="006F6A64"/>
    <w:rsid w:val="006F6D97"/>
    <w:rsid w:val="006F70E2"/>
    <w:rsid w:val="006F7B1E"/>
    <w:rsid w:val="0070045C"/>
    <w:rsid w:val="0070080D"/>
    <w:rsid w:val="00701A79"/>
    <w:rsid w:val="00704164"/>
    <w:rsid w:val="00704932"/>
    <w:rsid w:val="0070512B"/>
    <w:rsid w:val="00705DF6"/>
    <w:rsid w:val="00706B87"/>
    <w:rsid w:val="00710085"/>
    <w:rsid w:val="007102DC"/>
    <w:rsid w:val="00711CD3"/>
    <w:rsid w:val="00713584"/>
    <w:rsid w:val="00714192"/>
    <w:rsid w:val="00714505"/>
    <w:rsid w:val="00714C0C"/>
    <w:rsid w:val="0071508F"/>
    <w:rsid w:val="007161DE"/>
    <w:rsid w:val="007174EB"/>
    <w:rsid w:val="0072194A"/>
    <w:rsid w:val="007221B2"/>
    <w:rsid w:val="00722F7C"/>
    <w:rsid w:val="00723D5F"/>
    <w:rsid w:val="00725E7A"/>
    <w:rsid w:val="00726EAC"/>
    <w:rsid w:val="00730232"/>
    <w:rsid w:val="00731A29"/>
    <w:rsid w:val="00731E3C"/>
    <w:rsid w:val="00732765"/>
    <w:rsid w:val="00733666"/>
    <w:rsid w:val="00733721"/>
    <w:rsid w:val="00733EAC"/>
    <w:rsid w:val="00733FD3"/>
    <w:rsid w:val="00734C3A"/>
    <w:rsid w:val="00735AAF"/>
    <w:rsid w:val="00737DAA"/>
    <w:rsid w:val="00741054"/>
    <w:rsid w:val="00741135"/>
    <w:rsid w:val="007411EF"/>
    <w:rsid w:val="007444EB"/>
    <w:rsid w:val="00745EB6"/>
    <w:rsid w:val="0074633C"/>
    <w:rsid w:val="00746FB6"/>
    <w:rsid w:val="00747535"/>
    <w:rsid w:val="00750542"/>
    <w:rsid w:val="00752A93"/>
    <w:rsid w:val="007541BC"/>
    <w:rsid w:val="007545A3"/>
    <w:rsid w:val="007550CE"/>
    <w:rsid w:val="00755372"/>
    <w:rsid w:val="007558CF"/>
    <w:rsid w:val="00755CA8"/>
    <w:rsid w:val="00756BC2"/>
    <w:rsid w:val="00756E07"/>
    <w:rsid w:val="00757E8A"/>
    <w:rsid w:val="00760E45"/>
    <w:rsid w:val="00761AD8"/>
    <w:rsid w:val="00762649"/>
    <w:rsid w:val="00764299"/>
    <w:rsid w:val="00765F8A"/>
    <w:rsid w:val="00766FCD"/>
    <w:rsid w:val="00767E1F"/>
    <w:rsid w:val="00767EA7"/>
    <w:rsid w:val="007703F6"/>
    <w:rsid w:val="00771D48"/>
    <w:rsid w:val="00774DF4"/>
    <w:rsid w:val="00775C82"/>
    <w:rsid w:val="007765F4"/>
    <w:rsid w:val="00777DD7"/>
    <w:rsid w:val="007800D5"/>
    <w:rsid w:val="00780AAA"/>
    <w:rsid w:val="00780E8C"/>
    <w:rsid w:val="007816D6"/>
    <w:rsid w:val="0078194A"/>
    <w:rsid w:val="007838F1"/>
    <w:rsid w:val="00785F3F"/>
    <w:rsid w:val="00786798"/>
    <w:rsid w:val="00787D9F"/>
    <w:rsid w:val="00787E66"/>
    <w:rsid w:val="00790008"/>
    <w:rsid w:val="00794B51"/>
    <w:rsid w:val="00796AAC"/>
    <w:rsid w:val="007A1B7F"/>
    <w:rsid w:val="007A2220"/>
    <w:rsid w:val="007A25E3"/>
    <w:rsid w:val="007A320E"/>
    <w:rsid w:val="007A5134"/>
    <w:rsid w:val="007A51AF"/>
    <w:rsid w:val="007A5B9E"/>
    <w:rsid w:val="007A7970"/>
    <w:rsid w:val="007B0A77"/>
    <w:rsid w:val="007B30C9"/>
    <w:rsid w:val="007B40CE"/>
    <w:rsid w:val="007B5A3E"/>
    <w:rsid w:val="007B6333"/>
    <w:rsid w:val="007B6721"/>
    <w:rsid w:val="007B730E"/>
    <w:rsid w:val="007C0A8A"/>
    <w:rsid w:val="007C2FF7"/>
    <w:rsid w:val="007C4513"/>
    <w:rsid w:val="007D05AE"/>
    <w:rsid w:val="007D0E72"/>
    <w:rsid w:val="007D1469"/>
    <w:rsid w:val="007D3D19"/>
    <w:rsid w:val="007D72A4"/>
    <w:rsid w:val="007E2F1E"/>
    <w:rsid w:val="007E4F97"/>
    <w:rsid w:val="007E5FDF"/>
    <w:rsid w:val="007E640E"/>
    <w:rsid w:val="007E740C"/>
    <w:rsid w:val="007F17B7"/>
    <w:rsid w:val="007F2632"/>
    <w:rsid w:val="007F2C21"/>
    <w:rsid w:val="007F56FD"/>
    <w:rsid w:val="007F5F71"/>
    <w:rsid w:val="007F6CCE"/>
    <w:rsid w:val="007F6EAA"/>
    <w:rsid w:val="00800BB4"/>
    <w:rsid w:val="008016E2"/>
    <w:rsid w:val="00802EF1"/>
    <w:rsid w:val="008050B2"/>
    <w:rsid w:val="00805E5C"/>
    <w:rsid w:val="00805F1A"/>
    <w:rsid w:val="0080601D"/>
    <w:rsid w:val="0080673A"/>
    <w:rsid w:val="008068D7"/>
    <w:rsid w:val="00807D3D"/>
    <w:rsid w:val="008107EA"/>
    <w:rsid w:val="0081086B"/>
    <w:rsid w:val="00810EDC"/>
    <w:rsid w:val="008110AC"/>
    <w:rsid w:val="00811200"/>
    <w:rsid w:val="00812FE0"/>
    <w:rsid w:val="008151DF"/>
    <w:rsid w:val="008161F0"/>
    <w:rsid w:val="00817823"/>
    <w:rsid w:val="00822A72"/>
    <w:rsid w:val="00822CDD"/>
    <w:rsid w:val="00823EBC"/>
    <w:rsid w:val="00824847"/>
    <w:rsid w:val="0082521D"/>
    <w:rsid w:val="00825E69"/>
    <w:rsid w:val="00827CD4"/>
    <w:rsid w:val="00830462"/>
    <w:rsid w:val="008308B7"/>
    <w:rsid w:val="00830B7D"/>
    <w:rsid w:val="008329EB"/>
    <w:rsid w:val="00832CE2"/>
    <w:rsid w:val="00833E20"/>
    <w:rsid w:val="00833EEE"/>
    <w:rsid w:val="00835991"/>
    <w:rsid w:val="008361B4"/>
    <w:rsid w:val="008363F5"/>
    <w:rsid w:val="00836BD9"/>
    <w:rsid w:val="0083766E"/>
    <w:rsid w:val="00837BD6"/>
    <w:rsid w:val="0084184C"/>
    <w:rsid w:val="008419FE"/>
    <w:rsid w:val="008433D1"/>
    <w:rsid w:val="00843891"/>
    <w:rsid w:val="008441CF"/>
    <w:rsid w:val="008446C8"/>
    <w:rsid w:val="00844D5C"/>
    <w:rsid w:val="008474ED"/>
    <w:rsid w:val="00847AF5"/>
    <w:rsid w:val="00847B73"/>
    <w:rsid w:val="00850555"/>
    <w:rsid w:val="00850ECF"/>
    <w:rsid w:val="00851CF3"/>
    <w:rsid w:val="00852B16"/>
    <w:rsid w:val="00856E45"/>
    <w:rsid w:val="00861BCA"/>
    <w:rsid w:val="008652AF"/>
    <w:rsid w:val="0086572D"/>
    <w:rsid w:val="008702B4"/>
    <w:rsid w:val="00872AF9"/>
    <w:rsid w:val="00872CDF"/>
    <w:rsid w:val="00873BA2"/>
    <w:rsid w:val="00874722"/>
    <w:rsid w:val="008749FB"/>
    <w:rsid w:val="00874F1A"/>
    <w:rsid w:val="00875227"/>
    <w:rsid w:val="00876F50"/>
    <w:rsid w:val="00877373"/>
    <w:rsid w:val="00882E82"/>
    <w:rsid w:val="008844D1"/>
    <w:rsid w:val="00884AAD"/>
    <w:rsid w:val="00884FBD"/>
    <w:rsid w:val="00886E8F"/>
    <w:rsid w:val="008872EC"/>
    <w:rsid w:val="008879B0"/>
    <w:rsid w:val="00887BFB"/>
    <w:rsid w:val="00892863"/>
    <w:rsid w:val="00892AF2"/>
    <w:rsid w:val="0089350E"/>
    <w:rsid w:val="008959E9"/>
    <w:rsid w:val="00897627"/>
    <w:rsid w:val="008A2529"/>
    <w:rsid w:val="008A3EE4"/>
    <w:rsid w:val="008A47E1"/>
    <w:rsid w:val="008A480D"/>
    <w:rsid w:val="008A6366"/>
    <w:rsid w:val="008B0194"/>
    <w:rsid w:val="008B0380"/>
    <w:rsid w:val="008B33A0"/>
    <w:rsid w:val="008B4875"/>
    <w:rsid w:val="008B4C39"/>
    <w:rsid w:val="008B4C47"/>
    <w:rsid w:val="008B4D63"/>
    <w:rsid w:val="008C085F"/>
    <w:rsid w:val="008C3CD2"/>
    <w:rsid w:val="008C6648"/>
    <w:rsid w:val="008C6649"/>
    <w:rsid w:val="008C6F02"/>
    <w:rsid w:val="008C717F"/>
    <w:rsid w:val="008D0E4B"/>
    <w:rsid w:val="008D2EA8"/>
    <w:rsid w:val="008E03A9"/>
    <w:rsid w:val="008E0DAD"/>
    <w:rsid w:val="008E2980"/>
    <w:rsid w:val="008E29E0"/>
    <w:rsid w:val="008E43E4"/>
    <w:rsid w:val="008E4B3F"/>
    <w:rsid w:val="008E5BC5"/>
    <w:rsid w:val="008E6C14"/>
    <w:rsid w:val="008E720B"/>
    <w:rsid w:val="008E74DC"/>
    <w:rsid w:val="008F01DF"/>
    <w:rsid w:val="008F09BF"/>
    <w:rsid w:val="008F2A43"/>
    <w:rsid w:val="008F2A8E"/>
    <w:rsid w:val="008F307E"/>
    <w:rsid w:val="008F7595"/>
    <w:rsid w:val="008F7FD6"/>
    <w:rsid w:val="009001A3"/>
    <w:rsid w:val="0090556E"/>
    <w:rsid w:val="009059BE"/>
    <w:rsid w:val="009069BC"/>
    <w:rsid w:val="00906E31"/>
    <w:rsid w:val="0090762E"/>
    <w:rsid w:val="00907B92"/>
    <w:rsid w:val="00914EAE"/>
    <w:rsid w:val="009158A8"/>
    <w:rsid w:val="009161B2"/>
    <w:rsid w:val="0091737C"/>
    <w:rsid w:val="00917A07"/>
    <w:rsid w:val="009209D3"/>
    <w:rsid w:val="00921057"/>
    <w:rsid w:val="00922635"/>
    <w:rsid w:val="00924542"/>
    <w:rsid w:val="00925349"/>
    <w:rsid w:val="0092718E"/>
    <w:rsid w:val="00927558"/>
    <w:rsid w:val="0092799B"/>
    <w:rsid w:val="009301EC"/>
    <w:rsid w:val="00930538"/>
    <w:rsid w:val="00930FE2"/>
    <w:rsid w:val="00931B79"/>
    <w:rsid w:val="00931EBF"/>
    <w:rsid w:val="00932773"/>
    <w:rsid w:val="0093295F"/>
    <w:rsid w:val="00932A8A"/>
    <w:rsid w:val="00932AE4"/>
    <w:rsid w:val="009348E5"/>
    <w:rsid w:val="00940DE6"/>
    <w:rsid w:val="009424FE"/>
    <w:rsid w:val="00943609"/>
    <w:rsid w:val="0094472D"/>
    <w:rsid w:val="009447A5"/>
    <w:rsid w:val="00945C12"/>
    <w:rsid w:val="00950022"/>
    <w:rsid w:val="0095067F"/>
    <w:rsid w:val="00950778"/>
    <w:rsid w:val="00953FEC"/>
    <w:rsid w:val="00954036"/>
    <w:rsid w:val="009542CB"/>
    <w:rsid w:val="009546DA"/>
    <w:rsid w:val="009552FB"/>
    <w:rsid w:val="009566BF"/>
    <w:rsid w:val="00956701"/>
    <w:rsid w:val="00956929"/>
    <w:rsid w:val="00956EFE"/>
    <w:rsid w:val="009578A5"/>
    <w:rsid w:val="00957D1B"/>
    <w:rsid w:val="00960A4F"/>
    <w:rsid w:val="00960BDD"/>
    <w:rsid w:val="00961358"/>
    <w:rsid w:val="009629B3"/>
    <w:rsid w:val="0096325F"/>
    <w:rsid w:val="00964482"/>
    <w:rsid w:val="00964CCB"/>
    <w:rsid w:val="0096687E"/>
    <w:rsid w:val="00966AB5"/>
    <w:rsid w:val="00967706"/>
    <w:rsid w:val="00967DA5"/>
    <w:rsid w:val="0097160C"/>
    <w:rsid w:val="00971C1F"/>
    <w:rsid w:val="00972258"/>
    <w:rsid w:val="009724F0"/>
    <w:rsid w:val="00972DF2"/>
    <w:rsid w:val="00973BD6"/>
    <w:rsid w:val="00973FF9"/>
    <w:rsid w:val="009744B5"/>
    <w:rsid w:val="00975F7A"/>
    <w:rsid w:val="00976A5D"/>
    <w:rsid w:val="00977893"/>
    <w:rsid w:val="00981F1A"/>
    <w:rsid w:val="0098357E"/>
    <w:rsid w:val="00985262"/>
    <w:rsid w:val="00985532"/>
    <w:rsid w:val="00985CA6"/>
    <w:rsid w:val="009860FA"/>
    <w:rsid w:val="009865BA"/>
    <w:rsid w:val="00986B0F"/>
    <w:rsid w:val="009870C6"/>
    <w:rsid w:val="009878DF"/>
    <w:rsid w:val="009902EC"/>
    <w:rsid w:val="00992350"/>
    <w:rsid w:val="00992EA9"/>
    <w:rsid w:val="00992F9F"/>
    <w:rsid w:val="00992FEF"/>
    <w:rsid w:val="00993692"/>
    <w:rsid w:val="00993812"/>
    <w:rsid w:val="00994ABC"/>
    <w:rsid w:val="00997741"/>
    <w:rsid w:val="009A00CF"/>
    <w:rsid w:val="009A0145"/>
    <w:rsid w:val="009A08BB"/>
    <w:rsid w:val="009A3EBE"/>
    <w:rsid w:val="009B24E7"/>
    <w:rsid w:val="009B3210"/>
    <w:rsid w:val="009B37B3"/>
    <w:rsid w:val="009B5922"/>
    <w:rsid w:val="009B6742"/>
    <w:rsid w:val="009B70C5"/>
    <w:rsid w:val="009B790A"/>
    <w:rsid w:val="009C124D"/>
    <w:rsid w:val="009C1659"/>
    <w:rsid w:val="009C1B85"/>
    <w:rsid w:val="009C4648"/>
    <w:rsid w:val="009C4974"/>
    <w:rsid w:val="009C5056"/>
    <w:rsid w:val="009C69A2"/>
    <w:rsid w:val="009D0D5E"/>
    <w:rsid w:val="009D0F97"/>
    <w:rsid w:val="009D0FF8"/>
    <w:rsid w:val="009D16EF"/>
    <w:rsid w:val="009D2D3A"/>
    <w:rsid w:val="009D2E3F"/>
    <w:rsid w:val="009D4C1A"/>
    <w:rsid w:val="009D5466"/>
    <w:rsid w:val="009D6C8C"/>
    <w:rsid w:val="009E0D39"/>
    <w:rsid w:val="009E1459"/>
    <w:rsid w:val="009E31EB"/>
    <w:rsid w:val="009E3223"/>
    <w:rsid w:val="009E4C7E"/>
    <w:rsid w:val="009E4EAA"/>
    <w:rsid w:val="009E5B39"/>
    <w:rsid w:val="009E5F38"/>
    <w:rsid w:val="009E6BC8"/>
    <w:rsid w:val="009E77F3"/>
    <w:rsid w:val="009F2559"/>
    <w:rsid w:val="009F3523"/>
    <w:rsid w:val="009F3608"/>
    <w:rsid w:val="009F3C32"/>
    <w:rsid w:val="009F3F8D"/>
    <w:rsid w:val="009F471F"/>
    <w:rsid w:val="009F5CDE"/>
    <w:rsid w:val="009F5DF5"/>
    <w:rsid w:val="009F7AA4"/>
    <w:rsid w:val="009F7C70"/>
    <w:rsid w:val="00A0022F"/>
    <w:rsid w:val="00A0045A"/>
    <w:rsid w:val="00A03857"/>
    <w:rsid w:val="00A03A52"/>
    <w:rsid w:val="00A03E49"/>
    <w:rsid w:val="00A073F4"/>
    <w:rsid w:val="00A075F7"/>
    <w:rsid w:val="00A07C1F"/>
    <w:rsid w:val="00A10A51"/>
    <w:rsid w:val="00A10B44"/>
    <w:rsid w:val="00A1108A"/>
    <w:rsid w:val="00A11A60"/>
    <w:rsid w:val="00A13E0C"/>
    <w:rsid w:val="00A17028"/>
    <w:rsid w:val="00A203FB"/>
    <w:rsid w:val="00A20B3C"/>
    <w:rsid w:val="00A214E4"/>
    <w:rsid w:val="00A21D80"/>
    <w:rsid w:val="00A24F0B"/>
    <w:rsid w:val="00A258DB"/>
    <w:rsid w:val="00A26ABC"/>
    <w:rsid w:val="00A304AE"/>
    <w:rsid w:val="00A3134F"/>
    <w:rsid w:val="00A320C5"/>
    <w:rsid w:val="00A3411C"/>
    <w:rsid w:val="00A34CEC"/>
    <w:rsid w:val="00A354BF"/>
    <w:rsid w:val="00A35606"/>
    <w:rsid w:val="00A36084"/>
    <w:rsid w:val="00A42A77"/>
    <w:rsid w:val="00A435A7"/>
    <w:rsid w:val="00A43ADB"/>
    <w:rsid w:val="00A44164"/>
    <w:rsid w:val="00A44E77"/>
    <w:rsid w:val="00A45A54"/>
    <w:rsid w:val="00A51377"/>
    <w:rsid w:val="00A51CEC"/>
    <w:rsid w:val="00A535E9"/>
    <w:rsid w:val="00A54E6A"/>
    <w:rsid w:val="00A55345"/>
    <w:rsid w:val="00A578D7"/>
    <w:rsid w:val="00A57E6D"/>
    <w:rsid w:val="00A60171"/>
    <w:rsid w:val="00A60A10"/>
    <w:rsid w:val="00A61D04"/>
    <w:rsid w:val="00A65DB2"/>
    <w:rsid w:val="00A677EE"/>
    <w:rsid w:val="00A67D6F"/>
    <w:rsid w:val="00A704E0"/>
    <w:rsid w:val="00A714AA"/>
    <w:rsid w:val="00A72440"/>
    <w:rsid w:val="00A73453"/>
    <w:rsid w:val="00A73AE9"/>
    <w:rsid w:val="00A75B28"/>
    <w:rsid w:val="00A7788E"/>
    <w:rsid w:val="00A8048E"/>
    <w:rsid w:val="00A80683"/>
    <w:rsid w:val="00A8082C"/>
    <w:rsid w:val="00A83216"/>
    <w:rsid w:val="00A84C04"/>
    <w:rsid w:val="00A84D78"/>
    <w:rsid w:val="00A85046"/>
    <w:rsid w:val="00A86207"/>
    <w:rsid w:val="00A86774"/>
    <w:rsid w:val="00A86C47"/>
    <w:rsid w:val="00A920E0"/>
    <w:rsid w:val="00A921F7"/>
    <w:rsid w:val="00A93592"/>
    <w:rsid w:val="00A938F5"/>
    <w:rsid w:val="00A94044"/>
    <w:rsid w:val="00A941B1"/>
    <w:rsid w:val="00A95B4E"/>
    <w:rsid w:val="00A97D17"/>
    <w:rsid w:val="00A97DE2"/>
    <w:rsid w:val="00AA07A7"/>
    <w:rsid w:val="00AA08A9"/>
    <w:rsid w:val="00AA6C84"/>
    <w:rsid w:val="00AA7595"/>
    <w:rsid w:val="00AB0BA8"/>
    <w:rsid w:val="00AB1276"/>
    <w:rsid w:val="00AB14BB"/>
    <w:rsid w:val="00AB22E0"/>
    <w:rsid w:val="00AB313A"/>
    <w:rsid w:val="00AB3A97"/>
    <w:rsid w:val="00AB430F"/>
    <w:rsid w:val="00AB5869"/>
    <w:rsid w:val="00AB5F20"/>
    <w:rsid w:val="00AB63BE"/>
    <w:rsid w:val="00AC0876"/>
    <w:rsid w:val="00AC1B25"/>
    <w:rsid w:val="00AC4480"/>
    <w:rsid w:val="00AC57E0"/>
    <w:rsid w:val="00AC6674"/>
    <w:rsid w:val="00AC66C2"/>
    <w:rsid w:val="00AC6AEB"/>
    <w:rsid w:val="00AC732F"/>
    <w:rsid w:val="00AD16F0"/>
    <w:rsid w:val="00AD1A47"/>
    <w:rsid w:val="00AD2EED"/>
    <w:rsid w:val="00AD64B2"/>
    <w:rsid w:val="00AD788C"/>
    <w:rsid w:val="00AD793E"/>
    <w:rsid w:val="00AE1232"/>
    <w:rsid w:val="00AE12C2"/>
    <w:rsid w:val="00AE19B9"/>
    <w:rsid w:val="00AE205D"/>
    <w:rsid w:val="00AE544E"/>
    <w:rsid w:val="00AE770E"/>
    <w:rsid w:val="00AE7BBB"/>
    <w:rsid w:val="00AF38AB"/>
    <w:rsid w:val="00AF40F1"/>
    <w:rsid w:val="00AF73DB"/>
    <w:rsid w:val="00B00341"/>
    <w:rsid w:val="00B01D08"/>
    <w:rsid w:val="00B05BEF"/>
    <w:rsid w:val="00B06F9F"/>
    <w:rsid w:val="00B102D8"/>
    <w:rsid w:val="00B1262B"/>
    <w:rsid w:val="00B129CD"/>
    <w:rsid w:val="00B133F6"/>
    <w:rsid w:val="00B13D6A"/>
    <w:rsid w:val="00B14826"/>
    <w:rsid w:val="00B15479"/>
    <w:rsid w:val="00B16AAB"/>
    <w:rsid w:val="00B20AA4"/>
    <w:rsid w:val="00B21419"/>
    <w:rsid w:val="00B21A37"/>
    <w:rsid w:val="00B22831"/>
    <w:rsid w:val="00B25240"/>
    <w:rsid w:val="00B25AE8"/>
    <w:rsid w:val="00B272BC"/>
    <w:rsid w:val="00B30C66"/>
    <w:rsid w:val="00B311D6"/>
    <w:rsid w:val="00B312F0"/>
    <w:rsid w:val="00B32230"/>
    <w:rsid w:val="00B32234"/>
    <w:rsid w:val="00B339A2"/>
    <w:rsid w:val="00B368F7"/>
    <w:rsid w:val="00B37FC6"/>
    <w:rsid w:val="00B4260E"/>
    <w:rsid w:val="00B42BAA"/>
    <w:rsid w:val="00B43A26"/>
    <w:rsid w:val="00B44084"/>
    <w:rsid w:val="00B44DF2"/>
    <w:rsid w:val="00B45C24"/>
    <w:rsid w:val="00B464EA"/>
    <w:rsid w:val="00B46A2B"/>
    <w:rsid w:val="00B46B6E"/>
    <w:rsid w:val="00B47180"/>
    <w:rsid w:val="00B51C4E"/>
    <w:rsid w:val="00B529B9"/>
    <w:rsid w:val="00B53C4E"/>
    <w:rsid w:val="00B53F33"/>
    <w:rsid w:val="00B54360"/>
    <w:rsid w:val="00B547E8"/>
    <w:rsid w:val="00B54E6A"/>
    <w:rsid w:val="00B554AA"/>
    <w:rsid w:val="00B56726"/>
    <w:rsid w:val="00B60E76"/>
    <w:rsid w:val="00B60FB8"/>
    <w:rsid w:val="00B61ECB"/>
    <w:rsid w:val="00B6554A"/>
    <w:rsid w:val="00B66B71"/>
    <w:rsid w:val="00B66B87"/>
    <w:rsid w:val="00B66BD1"/>
    <w:rsid w:val="00B75B8C"/>
    <w:rsid w:val="00B763F5"/>
    <w:rsid w:val="00B76FEF"/>
    <w:rsid w:val="00B7737D"/>
    <w:rsid w:val="00B810DD"/>
    <w:rsid w:val="00B83BFE"/>
    <w:rsid w:val="00B846A4"/>
    <w:rsid w:val="00B86971"/>
    <w:rsid w:val="00B92162"/>
    <w:rsid w:val="00B92717"/>
    <w:rsid w:val="00B92D51"/>
    <w:rsid w:val="00B953E0"/>
    <w:rsid w:val="00B95582"/>
    <w:rsid w:val="00B95D24"/>
    <w:rsid w:val="00B966EE"/>
    <w:rsid w:val="00B967BB"/>
    <w:rsid w:val="00B96B4C"/>
    <w:rsid w:val="00BA2193"/>
    <w:rsid w:val="00BA385B"/>
    <w:rsid w:val="00BA3F27"/>
    <w:rsid w:val="00BA7925"/>
    <w:rsid w:val="00BB2C45"/>
    <w:rsid w:val="00BB2EF4"/>
    <w:rsid w:val="00BB4FA4"/>
    <w:rsid w:val="00BB5509"/>
    <w:rsid w:val="00BC0FE4"/>
    <w:rsid w:val="00BC1DFF"/>
    <w:rsid w:val="00BC2157"/>
    <w:rsid w:val="00BC292E"/>
    <w:rsid w:val="00BC2E5F"/>
    <w:rsid w:val="00BC3A0B"/>
    <w:rsid w:val="00BC50D6"/>
    <w:rsid w:val="00BC529F"/>
    <w:rsid w:val="00BC555B"/>
    <w:rsid w:val="00BC6DB2"/>
    <w:rsid w:val="00BC7E12"/>
    <w:rsid w:val="00BD262C"/>
    <w:rsid w:val="00BD400D"/>
    <w:rsid w:val="00BD4741"/>
    <w:rsid w:val="00BD4C44"/>
    <w:rsid w:val="00BD517E"/>
    <w:rsid w:val="00BD588B"/>
    <w:rsid w:val="00BD7994"/>
    <w:rsid w:val="00BE21CC"/>
    <w:rsid w:val="00BE299F"/>
    <w:rsid w:val="00BE346E"/>
    <w:rsid w:val="00BE39F0"/>
    <w:rsid w:val="00BF0B81"/>
    <w:rsid w:val="00BF0D16"/>
    <w:rsid w:val="00BF13B5"/>
    <w:rsid w:val="00BF15EF"/>
    <w:rsid w:val="00BF1C31"/>
    <w:rsid w:val="00BF5214"/>
    <w:rsid w:val="00BF58D5"/>
    <w:rsid w:val="00BF593F"/>
    <w:rsid w:val="00BF6D46"/>
    <w:rsid w:val="00BF7741"/>
    <w:rsid w:val="00C01D5A"/>
    <w:rsid w:val="00C01DA7"/>
    <w:rsid w:val="00C02D61"/>
    <w:rsid w:val="00C03580"/>
    <w:rsid w:val="00C0374F"/>
    <w:rsid w:val="00C03D04"/>
    <w:rsid w:val="00C052C7"/>
    <w:rsid w:val="00C05635"/>
    <w:rsid w:val="00C0740F"/>
    <w:rsid w:val="00C10F37"/>
    <w:rsid w:val="00C11201"/>
    <w:rsid w:val="00C132F4"/>
    <w:rsid w:val="00C1548A"/>
    <w:rsid w:val="00C15F14"/>
    <w:rsid w:val="00C16AC2"/>
    <w:rsid w:val="00C177D4"/>
    <w:rsid w:val="00C17F44"/>
    <w:rsid w:val="00C23A7A"/>
    <w:rsid w:val="00C253F8"/>
    <w:rsid w:val="00C32EE9"/>
    <w:rsid w:val="00C335EE"/>
    <w:rsid w:val="00C33E62"/>
    <w:rsid w:val="00C366DF"/>
    <w:rsid w:val="00C36757"/>
    <w:rsid w:val="00C36AD5"/>
    <w:rsid w:val="00C4053A"/>
    <w:rsid w:val="00C41AE9"/>
    <w:rsid w:val="00C41DE6"/>
    <w:rsid w:val="00C42858"/>
    <w:rsid w:val="00C46FAB"/>
    <w:rsid w:val="00C55743"/>
    <w:rsid w:val="00C568A0"/>
    <w:rsid w:val="00C62586"/>
    <w:rsid w:val="00C637C0"/>
    <w:rsid w:val="00C64647"/>
    <w:rsid w:val="00C72ABD"/>
    <w:rsid w:val="00C72BB2"/>
    <w:rsid w:val="00C7446E"/>
    <w:rsid w:val="00C75560"/>
    <w:rsid w:val="00C76D17"/>
    <w:rsid w:val="00C76D43"/>
    <w:rsid w:val="00C8000A"/>
    <w:rsid w:val="00C820A2"/>
    <w:rsid w:val="00C825E6"/>
    <w:rsid w:val="00C843C4"/>
    <w:rsid w:val="00C8463B"/>
    <w:rsid w:val="00C84A23"/>
    <w:rsid w:val="00C85372"/>
    <w:rsid w:val="00C8734C"/>
    <w:rsid w:val="00C91084"/>
    <w:rsid w:val="00C91FDE"/>
    <w:rsid w:val="00C949FB"/>
    <w:rsid w:val="00C94AB7"/>
    <w:rsid w:val="00C953DA"/>
    <w:rsid w:val="00C95667"/>
    <w:rsid w:val="00C97188"/>
    <w:rsid w:val="00CA03DF"/>
    <w:rsid w:val="00CA10BA"/>
    <w:rsid w:val="00CA39EC"/>
    <w:rsid w:val="00CA3C22"/>
    <w:rsid w:val="00CA4688"/>
    <w:rsid w:val="00CA4DAD"/>
    <w:rsid w:val="00CA5BF5"/>
    <w:rsid w:val="00CA651A"/>
    <w:rsid w:val="00CA79A3"/>
    <w:rsid w:val="00CB16E6"/>
    <w:rsid w:val="00CB2831"/>
    <w:rsid w:val="00CB70BE"/>
    <w:rsid w:val="00CB78BB"/>
    <w:rsid w:val="00CC07C4"/>
    <w:rsid w:val="00CC1F2A"/>
    <w:rsid w:val="00CC2203"/>
    <w:rsid w:val="00CC2A64"/>
    <w:rsid w:val="00CC2FAC"/>
    <w:rsid w:val="00CC58D1"/>
    <w:rsid w:val="00CC5DC1"/>
    <w:rsid w:val="00CC7576"/>
    <w:rsid w:val="00CD036F"/>
    <w:rsid w:val="00CD2317"/>
    <w:rsid w:val="00CD24B9"/>
    <w:rsid w:val="00CD29B4"/>
    <w:rsid w:val="00CE0421"/>
    <w:rsid w:val="00CE0BA1"/>
    <w:rsid w:val="00CE23E3"/>
    <w:rsid w:val="00CE2B23"/>
    <w:rsid w:val="00CE32A1"/>
    <w:rsid w:val="00CE3C46"/>
    <w:rsid w:val="00CE3CB4"/>
    <w:rsid w:val="00CE3F0B"/>
    <w:rsid w:val="00CE4C4E"/>
    <w:rsid w:val="00CE5727"/>
    <w:rsid w:val="00CE5F0E"/>
    <w:rsid w:val="00CE7052"/>
    <w:rsid w:val="00CE7161"/>
    <w:rsid w:val="00CE7A45"/>
    <w:rsid w:val="00CF09D3"/>
    <w:rsid w:val="00CF4021"/>
    <w:rsid w:val="00CF47D1"/>
    <w:rsid w:val="00CF6CD8"/>
    <w:rsid w:val="00CF7758"/>
    <w:rsid w:val="00D00687"/>
    <w:rsid w:val="00D00BEA"/>
    <w:rsid w:val="00D02BF7"/>
    <w:rsid w:val="00D03411"/>
    <w:rsid w:val="00D0690F"/>
    <w:rsid w:val="00D102B9"/>
    <w:rsid w:val="00D12F8A"/>
    <w:rsid w:val="00D13AF5"/>
    <w:rsid w:val="00D1411E"/>
    <w:rsid w:val="00D14183"/>
    <w:rsid w:val="00D2036D"/>
    <w:rsid w:val="00D24DCF"/>
    <w:rsid w:val="00D24F26"/>
    <w:rsid w:val="00D253A0"/>
    <w:rsid w:val="00D2582D"/>
    <w:rsid w:val="00D26E82"/>
    <w:rsid w:val="00D27875"/>
    <w:rsid w:val="00D30148"/>
    <w:rsid w:val="00D31FE6"/>
    <w:rsid w:val="00D32382"/>
    <w:rsid w:val="00D32A55"/>
    <w:rsid w:val="00D333AD"/>
    <w:rsid w:val="00D36089"/>
    <w:rsid w:val="00D40CB4"/>
    <w:rsid w:val="00D44E5A"/>
    <w:rsid w:val="00D45298"/>
    <w:rsid w:val="00D467D5"/>
    <w:rsid w:val="00D46BB2"/>
    <w:rsid w:val="00D47344"/>
    <w:rsid w:val="00D4744E"/>
    <w:rsid w:val="00D504A9"/>
    <w:rsid w:val="00D51337"/>
    <w:rsid w:val="00D540BD"/>
    <w:rsid w:val="00D557DB"/>
    <w:rsid w:val="00D626AA"/>
    <w:rsid w:val="00D62FE5"/>
    <w:rsid w:val="00D640AD"/>
    <w:rsid w:val="00D64A6C"/>
    <w:rsid w:val="00D6572D"/>
    <w:rsid w:val="00D66A28"/>
    <w:rsid w:val="00D67CF9"/>
    <w:rsid w:val="00D67DAC"/>
    <w:rsid w:val="00D71544"/>
    <w:rsid w:val="00D736C6"/>
    <w:rsid w:val="00D74CD1"/>
    <w:rsid w:val="00D757E8"/>
    <w:rsid w:val="00D757FC"/>
    <w:rsid w:val="00D76083"/>
    <w:rsid w:val="00D76BFC"/>
    <w:rsid w:val="00D77169"/>
    <w:rsid w:val="00D7726A"/>
    <w:rsid w:val="00D80F33"/>
    <w:rsid w:val="00D817B0"/>
    <w:rsid w:val="00D81ECE"/>
    <w:rsid w:val="00D82BC5"/>
    <w:rsid w:val="00D82E26"/>
    <w:rsid w:val="00D836D0"/>
    <w:rsid w:val="00D862D1"/>
    <w:rsid w:val="00D864A2"/>
    <w:rsid w:val="00D8721C"/>
    <w:rsid w:val="00D87E23"/>
    <w:rsid w:val="00D906DF"/>
    <w:rsid w:val="00D91A18"/>
    <w:rsid w:val="00D91A28"/>
    <w:rsid w:val="00D9232B"/>
    <w:rsid w:val="00D94F0A"/>
    <w:rsid w:val="00D95727"/>
    <w:rsid w:val="00D95CAF"/>
    <w:rsid w:val="00D95E3A"/>
    <w:rsid w:val="00D97F1D"/>
    <w:rsid w:val="00DA1424"/>
    <w:rsid w:val="00DA410F"/>
    <w:rsid w:val="00DA414F"/>
    <w:rsid w:val="00DA50C8"/>
    <w:rsid w:val="00DB588D"/>
    <w:rsid w:val="00DB58AB"/>
    <w:rsid w:val="00DB7DD4"/>
    <w:rsid w:val="00DC15F5"/>
    <w:rsid w:val="00DC1901"/>
    <w:rsid w:val="00DC2C49"/>
    <w:rsid w:val="00DC34DC"/>
    <w:rsid w:val="00DC4EF6"/>
    <w:rsid w:val="00DC5129"/>
    <w:rsid w:val="00DD0451"/>
    <w:rsid w:val="00DD058D"/>
    <w:rsid w:val="00DD234A"/>
    <w:rsid w:val="00DD30A5"/>
    <w:rsid w:val="00DD4073"/>
    <w:rsid w:val="00DD6BA3"/>
    <w:rsid w:val="00DD79C5"/>
    <w:rsid w:val="00DE15A2"/>
    <w:rsid w:val="00DE3F82"/>
    <w:rsid w:val="00DE4100"/>
    <w:rsid w:val="00DE475B"/>
    <w:rsid w:val="00DE6604"/>
    <w:rsid w:val="00DE77D8"/>
    <w:rsid w:val="00DF18D8"/>
    <w:rsid w:val="00DF1919"/>
    <w:rsid w:val="00DF1D55"/>
    <w:rsid w:val="00DF2A64"/>
    <w:rsid w:val="00DF4E3C"/>
    <w:rsid w:val="00DF50FC"/>
    <w:rsid w:val="00DF5FBF"/>
    <w:rsid w:val="00DF6D3F"/>
    <w:rsid w:val="00E01433"/>
    <w:rsid w:val="00E016B0"/>
    <w:rsid w:val="00E0384B"/>
    <w:rsid w:val="00E06363"/>
    <w:rsid w:val="00E1049F"/>
    <w:rsid w:val="00E1087B"/>
    <w:rsid w:val="00E10F69"/>
    <w:rsid w:val="00E111A8"/>
    <w:rsid w:val="00E113B5"/>
    <w:rsid w:val="00E13403"/>
    <w:rsid w:val="00E14505"/>
    <w:rsid w:val="00E153F4"/>
    <w:rsid w:val="00E1544E"/>
    <w:rsid w:val="00E163FD"/>
    <w:rsid w:val="00E1646C"/>
    <w:rsid w:val="00E20C88"/>
    <w:rsid w:val="00E22351"/>
    <w:rsid w:val="00E2262B"/>
    <w:rsid w:val="00E22B69"/>
    <w:rsid w:val="00E22E85"/>
    <w:rsid w:val="00E2358E"/>
    <w:rsid w:val="00E30B2B"/>
    <w:rsid w:val="00E31732"/>
    <w:rsid w:val="00E32583"/>
    <w:rsid w:val="00E33174"/>
    <w:rsid w:val="00E33C1E"/>
    <w:rsid w:val="00E35985"/>
    <w:rsid w:val="00E3607F"/>
    <w:rsid w:val="00E36C18"/>
    <w:rsid w:val="00E37505"/>
    <w:rsid w:val="00E375DD"/>
    <w:rsid w:val="00E41ABA"/>
    <w:rsid w:val="00E46CE4"/>
    <w:rsid w:val="00E46D38"/>
    <w:rsid w:val="00E478CE"/>
    <w:rsid w:val="00E50C5D"/>
    <w:rsid w:val="00E53251"/>
    <w:rsid w:val="00E54019"/>
    <w:rsid w:val="00E54111"/>
    <w:rsid w:val="00E54210"/>
    <w:rsid w:val="00E54927"/>
    <w:rsid w:val="00E553C1"/>
    <w:rsid w:val="00E554B6"/>
    <w:rsid w:val="00E55CA5"/>
    <w:rsid w:val="00E56689"/>
    <w:rsid w:val="00E57334"/>
    <w:rsid w:val="00E57B73"/>
    <w:rsid w:val="00E601F4"/>
    <w:rsid w:val="00E60A28"/>
    <w:rsid w:val="00E60F2A"/>
    <w:rsid w:val="00E60FA2"/>
    <w:rsid w:val="00E6123A"/>
    <w:rsid w:val="00E61FA5"/>
    <w:rsid w:val="00E637B5"/>
    <w:rsid w:val="00E63B45"/>
    <w:rsid w:val="00E65577"/>
    <w:rsid w:val="00E67446"/>
    <w:rsid w:val="00E67599"/>
    <w:rsid w:val="00E71307"/>
    <w:rsid w:val="00E7746C"/>
    <w:rsid w:val="00E8231C"/>
    <w:rsid w:val="00E834C0"/>
    <w:rsid w:val="00E8400A"/>
    <w:rsid w:val="00E847E0"/>
    <w:rsid w:val="00E85581"/>
    <w:rsid w:val="00E85F6F"/>
    <w:rsid w:val="00E868D4"/>
    <w:rsid w:val="00E86BF9"/>
    <w:rsid w:val="00E875ED"/>
    <w:rsid w:val="00E87638"/>
    <w:rsid w:val="00E87A83"/>
    <w:rsid w:val="00E87C7E"/>
    <w:rsid w:val="00E87DDB"/>
    <w:rsid w:val="00E91EB7"/>
    <w:rsid w:val="00E9391E"/>
    <w:rsid w:val="00E94804"/>
    <w:rsid w:val="00E94823"/>
    <w:rsid w:val="00E95840"/>
    <w:rsid w:val="00E95E4A"/>
    <w:rsid w:val="00E9744B"/>
    <w:rsid w:val="00EA021F"/>
    <w:rsid w:val="00EA1821"/>
    <w:rsid w:val="00EA3872"/>
    <w:rsid w:val="00EA398C"/>
    <w:rsid w:val="00EA50C0"/>
    <w:rsid w:val="00EA5515"/>
    <w:rsid w:val="00EA5F7B"/>
    <w:rsid w:val="00EA7237"/>
    <w:rsid w:val="00EA795B"/>
    <w:rsid w:val="00EB08A9"/>
    <w:rsid w:val="00EB14C4"/>
    <w:rsid w:val="00EC1413"/>
    <w:rsid w:val="00EC152E"/>
    <w:rsid w:val="00EC205B"/>
    <w:rsid w:val="00EC24C2"/>
    <w:rsid w:val="00EC29B8"/>
    <w:rsid w:val="00EC39DC"/>
    <w:rsid w:val="00EC524A"/>
    <w:rsid w:val="00EC56A3"/>
    <w:rsid w:val="00ED02E6"/>
    <w:rsid w:val="00ED0CF5"/>
    <w:rsid w:val="00ED1130"/>
    <w:rsid w:val="00ED1EB0"/>
    <w:rsid w:val="00ED2B9F"/>
    <w:rsid w:val="00ED2CC1"/>
    <w:rsid w:val="00ED2FE5"/>
    <w:rsid w:val="00ED3DEB"/>
    <w:rsid w:val="00ED61C6"/>
    <w:rsid w:val="00ED6638"/>
    <w:rsid w:val="00ED71CD"/>
    <w:rsid w:val="00EE2616"/>
    <w:rsid w:val="00EE2FFC"/>
    <w:rsid w:val="00EE3A42"/>
    <w:rsid w:val="00EE3B85"/>
    <w:rsid w:val="00EE52FD"/>
    <w:rsid w:val="00EE5485"/>
    <w:rsid w:val="00EE5DF7"/>
    <w:rsid w:val="00EE625B"/>
    <w:rsid w:val="00EF0534"/>
    <w:rsid w:val="00EF0F30"/>
    <w:rsid w:val="00EF30E9"/>
    <w:rsid w:val="00EF337A"/>
    <w:rsid w:val="00EF4290"/>
    <w:rsid w:val="00EF4BC3"/>
    <w:rsid w:val="00EF5663"/>
    <w:rsid w:val="00EF5F5F"/>
    <w:rsid w:val="00EF70CC"/>
    <w:rsid w:val="00EF71ED"/>
    <w:rsid w:val="00F0219B"/>
    <w:rsid w:val="00F04937"/>
    <w:rsid w:val="00F056B5"/>
    <w:rsid w:val="00F06110"/>
    <w:rsid w:val="00F065FD"/>
    <w:rsid w:val="00F06FD1"/>
    <w:rsid w:val="00F073BE"/>
    <w:rsid w:val="00F07B07"/>
    <w:rsid w:val="00F104AC"/>
    <w:rsid w:val="00F108CE"/>
    <w:rsid w:val="00F13924"/>
    <w:rsid w:val="00F13A4F"/>
    <w:rsid w:val="00F14EEC"/>
    <w:rsid w:val="00F1629D"/>
    <w:rsid w:val="00F200AD"/>
    <w:rsid w:val="00F21080"/>
    <w:rsid w:val="00F21851"/>
    <w:rsid w:val="00F21F0F"/>
    <w:rsid w:val="00F221E0"/>
    <w:rsid w:val="00F22DE9"/>
    <w:rsid w:val="00F2310F"/>
    <w:rsid w:val="00F248D5"/>
    <w:rsid w:val="00F26471"/>
    <w:rsid w:val="00F30BF3"/>
    <w:rsid w:val="00F32B29"/>
    <w:rsid w:val="00F34C67"/>
    <w:rsid w:val="00F3640D"/>
    <w:rsid w:val="00F37A01"/>
    <w:rsid w:val="00F37E33"/>
    <w:rsid w:val="00F41035"/>
    <w:rsid w:val="00F41300"/>
    <w:rsid w:val="00F41C75"/>
    <w:rsid w:val="00F428C8"/>
    <w:rsid w:val="00F4493C"/>
    <w:rsid w:val="00F45A04"/>
    <w:rsid w:val="00F4644F"/>
    <w:rsid w:val="00F535F3"/>
    <w:rsid w:val="00F53A05"/>
    <w:rsid w:val="00F53B08"/>
    <w:rsid w:val="00F53EF8"/>
    <w:rsid w:val="00F55B80"/>
    <w:rsid w:val="00F606ED"/>
    <w:rsid w:val="00F62098"/>
    <w:rsid w:val="00F6235A"/>
    <w:rsid w:val="00F67331"/>
    <w:rsid w:val="00F67731"/>
    <w:rsid w:val="00F71361"/>
    <w:rsid w:val="00F72E98"/>
    <w:rsid w:val="00F73FFB"/>
    <w:rsid w:val="00F744D1"/>
    <w:rsid w:val="00F750CA"/>
    <w:rsid w:val="00F8217F"/>
    <w:rsid w:val="00F83A4F"/>
    <w:rsid w:val="00F83E3E"/>
    <w:rsid w:val="00F85920"/>
    <w:rsid w:val="00F86D8C"/>
    <w:rsid w:val="00F8750E"/>
    <w:rsid w:val="00F87A25"/>
    <w:rsid w:val="00F9027C"/>
    <w:rsid w:val="00F91BD6"/>
    <w:rsid w:val="00F9497C"/>
    <w:rsid w:val="00F94FC8"/>
    <w:rsid w:val="00F9550A"/>
    <w:rsid w:val="00F95727"/>
    <w:rsid w:val="00F96440"/>
    <w:rsid w:val="00F9673D"/>
    <w:rsid w:val="00F96786"/>
    <w:rsid w:val="00F97C30"/>
    <w:rsid w:val="00FA0037"/>
    <w:rsid w:val="00FA2EC9"/>
    <w:rsid w:val="00FA319B"/>
    <w:rsid w:val="00FA5AEA"/>
    <w:rsid w:val="00FA78A5"/>
    <w:rsid w:val="00FA7F75"/>
    <w:rsid w:val="00FB0BEB"/>
    <w:rsid w:val="00FB1DDC"/>
    <w:rsid w:val="00FB348B"/>
    <w:rsid w:val="00FB3B8A"/>
    <w:rsid w:val="00FB3E2D"/>
    <w:rsid w:val="00FB406E"/>
    <w:rsid w:val="00FB52F4"/>
    <w:rsid w:val="00FB5441"/>
    <w:rsid w:val="00FB557C"/>
    <w:rsid w:val="00FB5CC9"/>
    <w:rsid w:val="00FB5CDE"/>
    <w:rsid w:val="00FB7CAA"/>
    <w:rsid w:val="00FC113F"/>
    <w:rsid w:val="00FC30EB"/>
    <w:rsid w:val="00FC4F2F"/>
    <w:rsid w:val="00FC5752"/>
    <w:rsid w:val="00FC5A16"/>
    <w:rsid w:val="00FC60C5"/>
    <w:rsid w:val="00FC6FC4"/>
    <w:rsid w:val="00FC75EC"/>
    <w:rsid w:val="00FC761B"/>
    <w:rsid w:val="00FD1224"/>
    <w:rsid w:val="00FD1DED"/>
    <w:rsid w:val="00FD32E8"/>
    <w:rsid w:val="00FD477C"/>
    <w:rsid w:val="00FD5445"/>
    <w:rsid w:val="00FD7A68"/>
    <w:rsid w:val="00FD7A6C"/>
    <w:rsid w:val="00FE1033"/>
    <w:rsid w:val="00FE1513"/>
    <w:rsid w:val="00FE2D8D"/>
    <w:rsid w:val="00FE31F3"/>
    <w:rsid w:val="00FE4339"/>
    <w:rsid w:val="00FE47A1"/>
    <w:rsid w:val="00FE4916"/>
    <w:rsid w:val="00FE581B"/>
    <w:rsid w:val="00FE6034"/>
    <w:rsid w:val="00FF04BD"/>
    <w:rsid w:val="00FF158F"/>
    <w:rsid w:val="00FF2811"/>
    <w:rsid w:val="00FF34AC"/>
    <w:rsid w:val="00FF5FA4"/>
    <w:rsid w:val="00FF6409"/>
    <w:rsid w:val="00FF78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CCCA2"/>
  <w15:chartTrackingRefBased/>
  <w15:docId w15:val="{674285A7-72BA-411E-9B91-62DEBF8A6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224"/>
  </w:style>
  <w:style w:type="paragraph" w:styleId="Heading1">
    <w:name w:val="heading 1"/>
    <w:basedOn w:val="Normal"/>
    <w:next w:val="Normal"/>
    <w:link w:val="Heading1Char"/>
    <w:uiPriority w:val="9"/>
    <w:qFormat/>
    <w:rsid w:val="008505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4C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Scriptoria bullet points,Абзац списка1,strikethrough,standaard met opsomming,Bullets,References,Liste 1,List Paragraph nowy,Numbered List Paragraph,List Paragraph (numbered (a)),Medium Grid 1 - Accent 21,Dot pt,Stil3"/>
    <w:basedOn w:val="Normal"/>
    <w:link w:val="ListParagraphChar"/>
    <w:uiPriority w:val="34"/>
    <w:qFormat/>
    <w:rsid w:val="00136C14"/>
    <w:pPr>
      <w:ind w:left="720"/>
      <w:contextualSpacing/>
    </w:pPr>
  </w:style>
  <w:style w:type="table" w:styleId="TableGrid">
    <w:name w:val="Table Grid"/>
    <w:basedOn w:val="TableNormal"/>
    <w:uiPriority w:val="39"/>
    <w:qFormat/>
    <w:rsid w:val="0085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0555"/>
    <w:rPr>
      <w:color w:val="0563C1" w:themeColor="hyperlink"/>
      <w:u w:val="single"/>
    </w:rPr>
  </w:style>
  <w:style w:type="character" w:customStyle="1" w:styleId="Heading1Char">
    <w:name w:val="Heading 1 Char"/>
    <w:basedOn w:val="DefaultParagraphFont"/>
    <w:link w:val="Heading1"/>
    <w:uiPriority w:val="9"/>
    <w:rsid w:val="0085055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50555"/>
    <w:pPr>
      <w:outlineLvl w:val="9"/>
    </w:pPr>
  </w:style>
  <w:style w:type="paragraph" w:styleId="TOC1">
    <w:name w:val="toc 1"/>
    <w:basedOn w:val="Normal"/>
    <w:next w:val="Normal"/>
    <w:autoRedefine/>
    <w:uiPriority w:val="39"/>
    <w:unhideWhenUsed/>
    <w:rsid w:val="0052780F"/>
    <w:pPr>
      <w:tabs>
        <w:tab w:val="left" w:pos="440"/>
        <w:tab w:val="right" w:leader="dot" w:pos="9347"/>
      </w:tabs>
      <w:spacing w:after="0" w:line="240" w:lineRule="auto"/>
    </w:pPr>
    <w:rPr>
      <w:rFonts w:asciiTheme="majorHAnsi" w:eastAsiaTheme="majorEastAsia" w:hAnsiTheme="majorHAnsi" w:cstheme="majorHAnsi"/>
      <w:b/>
      <w:noProof/>
      <w:sz w:val="24"/>
      <w:szCs w:val="24"/>
      <w:shd w:val="clear" w:color="auto" w:fill="FFFFFF"/>
      <w:lang w:val="ro-MD"/>
    </w:rPr>
  </w:style>
  <w:style w:type="paragraph" w:styleId="TOC2">
    <w:name w:val="toc 2"/>
    <w:basedOn w:val="Normal"/>
    <w:next w:val="Normal"/>
    <w:autoRedefine/>
    <w:uiPriority w:val="39"/>
    <w:unhideWhenUsed/>
    <w:rsid w:val="0052780F"/>
    <w:pPr>
      <w:tabs>
        <w:tab w:val="left" w:pos="880"/>
        <w:tab w:val="right" w:leader="dot" w:pos="9347"/>
      </w:tabs>
      <w:spacing w:after="100"/>
      <w:ind w:left="220"/>
    </w:pPr>
    <w:rPr>
      <w:rFonts w:asciiTheme="majorHAnsi" w:hAnsiTheme="majorHAnsi" w:cstheme="majorHAnsi"/>
      <w:b/>
      <w:bCs/>
      <w:iCs/>
      <w:noProof/>
      <w:lang w:val="ro-MD"/>
    </w:rPr>
  </w:style>
  <w:style w:type="paragraph" w:styleId="Footer">
    <w:name w:val="footer"/>
    <w:basedOn w:val="Normal"/>
    <w:link w:val="FooterChar"/>
    <w:uiPriority w:val="99"/>
    <w:unhideWhenUsed/>
    <w:rsid w:val="00850555"/>
    <w:pPr>
      <w:tabs>
        <w:tab w:val="center" w:pos="4844"/>
        <w:tab w:val="right" w:pos="9689"/>
      </w:tabs>
      <w:spacing w:after="0" w:line="240" w:lineRule="auto"/>
    </w:pPr>
  </w:style>
  <w:style w:type="character" w:customStyle="1" w:styleId="FooterChar">
    <w:name w:val="Footer Char"/>
    <w:basedOn w:val="DefaultParagraphFont"/>
    <w:link w:val="Footer"/>
    <w:uiPriority w:val="99"/>
    <w:rsid w:val="00850555"/>
  </w:style>
  <w:style w:type="character" w:styleId="Emphasis">
    <w:name w:val="Emphasis"/>
    <w:basedOn w:val="DefaultParagraphFont"/>
    <w:uiPriority w:val="20"/>
    <w:qFormat/>
    <w:rsid w:val="00850555"/>
    <w:rPr>
      <w:i/>
      <w:iCs/>
    </w:rPr>
  </w:style>
  <w:style w:type="paragraph" w:styleId="FootnoteText">
    <w:name w:val="footnote text"/>
    <w:aliases w:val="Char,Знак,Знак1, Знак, Char,Fußnote Char Char,A, Знак1,Footnote Text Char2 Char,Footnote Text Char1 Char Char,Footnote Text Char2 Char Char Char,Footnote Text Char1 Char Char Char Char,ft,Fußnote Char,Fußnote Char Car Char Char, Cha,Çíàê1"/>
    <w:basedOn w:val="Normal"/>
    <w:link w:val="FootnoteTextChar"/>
    <w:uiPriority w:val="99"/>
    <w:unhideWhenUsed/>
    <w:qFormat/>
    <w:rsid w:val="00850555"/>
    <w:pPr>
      <w:spacing w:after="0" w:line="240" w:lineRule="auto"/>
    </w:pPr>
    <w:rPr>
      <w:sz w:val="20"/>
      <w:szCs w:val="20"/>
    </w:rPr>
  </w:style>
  <w:style w:type="character" w:customStyle="1" w:styleId="FootnoteTextChar">
    <w:name w:val="Footnote Text Char"/>
    <w:aliases w:val="Char Char,Знак Char,Знак1 Char, Знак Char, Char Char,Fußnote Char Char Char,A Char, Знак1 Char,Footnote Text Char2 Char Char,Footnote Text Char1 Char Char Char,Footnote Text Char2 Char Char Char Char,ft Char,Fußnote Char Char1"/>
    <w:basedOn w:val="DefaultParagraphFont"/>
    <w:link w:val="FootnoteText"/>
    <w:uiPriority w:val="99"/>
    <w:rsid w:val="00850555"/>
    <w:rPr>
      <w:sz w:val="20"/>
      <w:szCs w:val="20"/>
    </w:rPr>
  </w:style>
  <w:style w:type="character" w:styleId="FootnoteReference">
    <w:name w:val="footnote reference"/>
    <w:aliases w:val="ftref,Times 10 Point,Exposant 3 Point,Footnote symbol,Footnote reference number,EN Footnote Reference,note TESI,16 Point,Superscript 6 Point,BVI fnr,Footnote Text Char2,FOOTNOTES Char1,fn Char1,single space Char1,ft Char1,Ref,fr,FR,F"/>
    <w:basedOn w:val="DefaultParagraphFont"/>
    <w:link w:val="FNRefeCharChar"/>
    <w:uiPriority w:val="99"/>
    <w:unhideWhenUsed/>
    <w:rsid w:val="00850555"/>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qFormat/>
    <w:rsid w:val="00850555"/>
    <w:pPr>
      <w:spacing w:line="240" w:lineRule="exact"/>
    </w:pPr>
    <w:rPr>
      <w:vertAlign w:val="superscript"/>
    </w:rPr>
  </w:style>
  <w:style w:type="character" w:customStyle="1" w:styleId="ListParagraphChar">
    <w:name w:val="List Paragraph Char"/>
    <w:aliases w:val="List Paragraph 1 Char,Scriptoria bullet points Char,Абзац списка1 Char,strikethrough Char,standaard met opsomming Char,Bullets Char,References Char,Liste 1 Char,List Paragraph nowy Char,Numbered List Paragraph Char,Dot pt Char"/>
    <w:link w:val="ListParagraph"/>
    <w:uiPriority w:val="34"/>
    <w:qFormat/>
    <w:rsid w:val="00850555"/>
  </w:style>
  <w:style w:type="paragraph" w:customStyle="1" w:styleId="1">
    <w:name w:val="Стиль1"/>
    <w:basedOn w:val="NormalWeb"/>
    <w:link w:val="10"/>
    <w:autoRedefine/>
    <w:qFormat/>
    <w:rsid w:val="003A26F4"/>
    <w:pPr>
      <w:spacing w:after="0" w:line="240" w:lineRule="auto"/>
      <w:ind w:right="-1"/>
      <w:jc w:val="both"/>
    </w:pPr>
    <w:rPr>
      <w:rFonts w:ascii="Calibri Light" w:eastAsia="Times New Roman" w:hAnsi="Calibri Light"/>
      <w:sz w:val="16"/>
      <w:szCs w:val="16"/>
    </w:rPr>
  </w:style>
  <w:style w:type="character" w:customStyle="1" w:styleId="10">
    <w:name w:val="Стиль1 Знак"/>
    <w:basedOn w:val="DefaultParagraphFont"/>
    <w:link w:val="1"/>
    <w:rsid w:val="003A26F4"/>
    <w:rPr>
      <w:rFonts w:ascii="Calibri Light" w:eastAsia="Times New Roman" w:hAnsi="Calibri Light" w:cs="Times New Roman"/>
      <w:sz w:val="16"/>
      <w:szCs w:val="16"/>
    </w:r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Char1,A Знак Знак,Текст сноски2,footnote text"/>
    <w:basedOn w:val="Normal"/>
    <w:link w:val="NormalWebChar"/>
    <w:uiPriority w:val="99"/>
    <w:unhideWhenUsed/>
    <w:qFormat/>
    <w:rsid w:val="00850555"/>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8B4C47"/>
    <w:rPr>
      <w:sz w:val="16"/>
      <w:szCs w:val="16"/>
    </w:rPr>
  </w:style>
  <w:style w:type="paragraph" w:styleId="CommentText">
    <w:name w:val="annotation text"/>
    <w:basedOn w:val="Normal"/>
    <w:link w:val="CommentTextChar"/>
    <w:uiPriority w:val="99"/>
    <w:unhideWhenUsed/>
    <w:rsid w:val="008B4C47"/>
    <w:pPr>
      <w:spacing w:line="240" w:lineRule="auto"/>
    </w:pPr>
    <w:rPr>
      <w:sz w:val="20"/>
      <w:szCs w:val="20"/>
    </w:rPr>
  </w:style>
  <w:style w:type="character" w:customStyle="1" w:styleId="CommentTextChar">
    <w:name w:val="Comment Text Char"/>
    <w:basedOn w:val="DefaultParagraphFont"/>
    <w:link w:val="CommentText"/>
    <w:uiPriority w:val="99"/>
    <w:rsid w:val="008B4C47"/>
    <w:rPr>
      <w:sz w:val="20"/>
      <w:szCs w:val="20"/>
    </w:rPr>
  </w:style>
  <w:style w:type="paragraph" w:styleId="BalloonText">
    <w:name w:val="Balloon Text"/>
    <w:basedOn w:val="Normal"/>
    <w:link w:val="BalloonTextChar"/>
    <w:uiPriority w:val="99"/>
    <w:semiHidden/>
    <w:unhideWhenUsed/>
    <w:rsid w:val="008B4C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C47"/>
    <w:rPr>
      <w:rFonts w:ascii="Segoe UI" w:hAnsi="Segoe UI" w:cs="Segoe UI"/>
      <w:sz w:val="18"/>
      <w:szCs w:val="18"/>
    </w:rPr>
  </w:style>
  <w:style w:type="table" w:customStyle="1" w:styleId="TableGrid1">
    <w:name w:val="Table Grid1"/>
    <w:basedOn w:val="TableNormal"/>
    <w:next w:val="TableGrid"/>
    <w:uiPriority w:val="39"/>
    <w:rsid w:val="001F0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1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870C6"/>
    <w:rPr>
      <w:b/>
      <w:bCs/>
    </w:rPr>
  </w:style>
  <w:style w:type="character" w:customStyle="1" w:styleId="CommentSubjectChar">
    <w:name w:val="Comment Subject Char"/>
    <w:basedOn w:val="CommentTextChar"/>
    <w:link w:val="CommentSubject"/>
    <w:uiPriority w:val="99"/>
    <w:semiHidden/>
    <w:rsid w:val="009870C6"/>
    <w:rPr>
      <w:b/>
      <w:bCs/>
      <w:sz w:val="20"/>
      <w:szCs w:val="20"/>
    </w:rPr>
  </w:style>
  <w:style w:type="character" w:customStyle="1" w:styleId="2">
    <w:name w:val="Основной текст (2)_"/>
    <w:basedOn w:val="DefaultParagraphFont"/>
    <w:link w:val="20"/>
    <w:rsid w:val="00D91A18"/>
    <w:rPr>
      <w:rFonts w:ascii="Times New Roman" w:eastAsia="Times New Roman" w:hAnsi="Times New Roman" w:cs="Times New Roman"/>
      <w:shd w:val="clear" w:color="auto" w:fill="FFFFFF"/>
    </w:rPr>
  </w:style>
  <w:style w:type="paragraph" w:customStyle="1" w:styleId="20">
    <w:name w:val="Основной текст (2)"/>
    <w:basedOn w:val="Normal"/>
    <w:link w:val="2"/>
    <w:rsid w:val="00D91A18"/>
    <w:pPr>
      <w:widowControl w:val="0"/>
      <w:shd w:val="clear" w:color="auto" w:fill="FFFFFF"/>
      <w:spacing w:after="120" w:line="244" w:lineRule="exact"/>
      <w:jc w:val="both"/>
    </w:pPr>
    <w:rPr>
      <w:rFonts w:ascii="Times New Roman" w:eastAsia="Times New Roman" w:hAnsi="Times New Roman" w:cs="Times New Roman"/>
    </w:rPr>
  </w:style>
  <w:style w:type="paragraph" w:customStyle="1" w:styleId="21">
    <w:name w:val="Стиль2"/>
    <w:basedOn w:val="Normal"/>
    <w:link w:val="22"/>
    <w:qFormat/>
    <w:rsid w:val="00D91A18"/>
    <w:pPr>
      <w:spacing w:after="0" w:line="240" w:lineRule="auto"/>
      <w:jc w:val="both"/>
    </w:pPr>
    <w:rPr>
      <w:rFonts w:ascii="Times New Roman" w:eastAsia="Calibri" w:hAnsi="Times New Roman" w:cs="Times New Roman"/>
      <w:sz w:val="18"/>
      <w:szCs w:val="18"/>
      <w:lang w:val="ro-RO"/>
    </w:rPr>
  </w:style>
  <w:style w:type="character" w:customStyle="1" w:styleId="22">
    <w:name w:val="Стиль2 Знак"/>
    <w:basedOn w:val="DefaultParagraphFont"/>
    <w:link w:val="21"/>
    <w:rsid w:val="00D91A18"/>
    <w:rPr>
      <w:rFonts w:ascii="Times New Roman" w:eastAsia="Calibri" w:hAnsi="Times New Roman" w:cs="Times New Roman"/>
      <w:sz w:val="18"/>
      <w:szCs w:val="18"/>
      <w:lang w:val="ro-RO"/>
    </w:rPr>
  </w:style>
  <w:style w:type="paragraph" w:customStyle="1" w:styleId="Heading11">
    <w:name w:val="Heading 11"/>
    <w:basedOn w:val="Normal"/>
    <w:next w:val="Normal"/>
    <w:uiPriority w:val="9"/>
    <w:qFormat/>
    <w:rsid w:val="00D82E26"/>
    <w:pPr>
      <w:keepNext/>
      <w:keepLines/>
      <w:spacing w:after="0"/>
      <w:jc w:val="both"/>
      <w:outlineLvl w:val="0"/>
    </w:pPr>
    <w:rPr>
      <w:rFonts w:ascii="Times New Roman" w:eastAsia="Times New Roman" w:hAnsi="Times New Roman" w:cs="Times New Roman"/>
      <w:b/>
      <w:i/>
      <w:sz w:val="28"/>
      <w:szCs w:val="32"/>
    </w:rPr>
  </w:style>
  <w:style w:type="numbering" w:customStyle="1" w:styleId="NoList1">
    <w:name w:val="No List1"/>
    <w:next w:val="NoList"/>
    <w:uiPriority w:val="99"/>
    <w:semiHidden/>
    <w:unhideWhenUsed/>
    <w:rsid w:val="00D82E26"/>
  </w:style>
  <w:style w:type="paragraph" w:styleId="Header">
    <w:name w:val="header"/>
    <w:basedOn w:val="Normal"/>
    <w:link w:val="HeaderChar"/>
    <w:uiPriority w:val="99"/>
    <w:unhideWhenUsed/>
    <w:rsid w:val="00D82E26"/>
    <w:pPr>
      <w:tabs>
        <w:tab w:val="center" w:pos="4844"/>
        <w:tab w:val="right" w:pos="9689"/>
      </w:tabs>
      <w:spacing w:after="0" w:line="240" w:lineRule="auto"/>
    </w:pPr>
  </w:style>
  <w:style w:type="character" w:customStyle="1" w:styleId="HeaderChar">
    <w:name w:val="Header Char"/>
    <w:basedOn w:val="DefaultParagraphFont"/>
    <w:link w:val="Header"/>
    <w:uiPriority w:val="99"/>
    <w:rsid w:val="00D82E26"/>
  </w:style>
  <w:style w:type="character" w:customStyle="1" w:styleId="Heading1Char1">
    <w:name w:val="Heading 1 Char1"/>
    <w:basedOn w:val="DefaultParagraphFont"/>
    <w:uiPriority w:val="9"/>
    <w:rsid w:val="00D82E26"/>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D82E26"/>
    <w:rPr>
      <w:color w:val="954F72"/>
      <w:u w:val="single"/>
    </w:rPr>
  </w:style>
  <w:style w:type="paragraph" w:customStyle="1" w:styleId="msonormal0">
    <w:name w:val="msonormal"/>
    <w:basedOn w:val="Normal"/>
    <w:rsid w:val="00D82E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D82E26"/>
    <w:pPr>
      <w:spacing w:before="100" w:beforeAutospacing="1" w:after="100" w:afterAutospacing="1" w:line="240" w:lineRule="auto"/>
    </w:pPr>
    <w:rPr>
      <w:rFonts w:ascii="Calibri Light" w:eastAsia="Times New Roman" w:hAnsi="Calibri Light" w:cs="Calibri Light"/>
      <w:i/>
      <w:iCs/>
      <w:color w:val="000000"/>
      <w:sz w:val="18"/>
      <w:szCs w:val="18"/>
    </w:rPr>
  </w:style>
  <w:style w:type="paragraph" w:customStyle="1" w:styleId="font6">
    <w:name w:val="font6"/>
    <w:basedOn w:val="Normal"/>
    <w:rsid w:val="00D82E26"/>
    <w:pPr>
      <w:spacing w:before="100" w:beforeAutospacing="1" w:after="100" w:afterAutospacing="1" w:line="240" w:lineRule="auto"/>
    </w:pPr>
    <w:rPr>
      <w:rFonts w:ascii="Calibri Light" w:eastAsia="Times New Roman" w:hAnsi="Calibri Light" w:cs="Calibri Light"/>
      <w:b/>
      <w:bCs/>
      <w:i/>
      <w:iCs/>
      <w:color w:val="000000"/>
      <w:sz w:val="18"/>
      <w:szCs w:val="18"/>
    </w:rPr>
  </w:style>
  <w:style w:type="paragraph" w:customStyle="1" w:styleId="xl65">
    <w:name w:val="xl65"/>
    <w:basedOn w:val="Normal"/>
    <w:rsid w:val="00D82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b/>
      <w:bCs/>
      <w:sz w:val="18"/>
      <w:szCs w:val="18"/>
    </w:rPr>
  </w:style>
  <w:style w:type="paragraph" w:customStyle="1" w:styleId="xl66">
    <w:name w:val="xl66"/>
    <w:basedOn w:val="Normal"/>
    <w:rsid w:val="00D82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sz w:val="20"/>
      <w:szCs w:val="20"/>
    </w:rPr>
  </w:style>
  <w:style w:type="paragraph" w:customStyle="1" w:styleId="xl67">
    <w:name w:val="xl67"/>
    <w:basedOn w:val="Normal"/>
    <w:rsid w:val="00D82E26"/>
    <w:pPr>
      <w:spacing w:before="100" w:beforeAutospacing="1" w:after="100" w:afterAutospacing="1" w:line="240" w:lineRule="auto"/>
    </w:pPr>
    <w:rPr>
      <w:rFonts w:ascii="Calibri Light" w:eastAsia="Times New Roman" w:hAnsi="Calibri Light" w:cs="Calibri Light"/>
      <w:sz w:val="20"/>
      <w:szCs w:val="20"/>
    </w:rPr>
  </w:style>
  <w:style w:type="paragraph" w:customStyle="1" w:styleId="xl68">
    <w:name w:val="xl68"/>
    <w:basedOn w:val="Normal"/>
    <w:rsid w:val="00D82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16"/>
      <w:szCs w:val="16"/>
    </w:rPr>
  </w:style>
  <w:style w:type="paragraph" w:customStyle="1" w:styleId="xl69">
    <w:name w:val="xl69"/>
    <w:basedOn w:val="Normal"/>
    <w:rsid w:val="00D82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b/>
      <w:bCs/>
      <w:sz w:val="20"/>
      <w:szCs w:val="20"/>
    </w:rPr>
  </w:style>
  <w:style w:type="paragraph" w:customStyle="1" w:styleId="xl70">
    <w:name w:val="xl70"/>
    <w:basedOn w:val="Normal"/>
    <w:rsid w:val="00D82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b/>
      <w:bCs/>
      <w:i/>
      <w:iCs/>
      <w:sz w:val="20"/>
      <w:szCs w:val="20"/>
    </w:rPr>
  </w:style>
  <w:style w:type="paragraph" w:customStyle="1" w:styleId="xl71">
    <w:name w:val="xl71"/>
    <w:basedOn w:val="Normal"/>
    <w:rsid w:val="00D82E2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Calibri Light" w:eastAsia="Times New Roman" w:hAnsi="Calibri Light" w:cs="Calibri Light"/>
      <w:b/>
      <w:bCs/>
      <w:sz w:val="20"/>
      <w:szCs w:val="20"/>
    </w:rPr>
  </w:style>
  <w:style w:type="paragraph" w:customStyle="1" w:styleId="xl72">
    <w:name w:val="xl72"/>
    <w:basedOn w:val="Normal"/>
    <w:rsid w:val="00D82E2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Calibri Light" w:eastAsia="Times New Roman" w:hAnsi="Calibri Light" w:cs="Calibri Light"/>
      <w:sz w:val="20"/>
      <w:szCs w:val="20"/>
    </w:rPr>
  </w:style>
  <w:style w:type="paragraph" w:customStyle="1" w:styleId="xl73">
    <w:name w:val="xl73"/>
    <w:basedOn w:val="Normal"/>
    <w:rsid w:val="00D82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rPr>
  </w:style>
  <w:style w:type="paragraph" w:customStyle="1" w:styleId="xl74">
    <w:name w:val="xl74"/>
    <w:basedOn w:val="Normal"/>
    <w:rsid w:val="00D82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Light" w:eastAsia="Times New Roman" w:hAnsi="Calibri Light" w:cs="Calibri Light"/>
      <w:sz w:val="16"/>
      <w:szCs w:val="16"/>
    </w:rPr>
  </w:style>
  <w:style w:type="paragraph" w:customStyle="1" w:styleId="xl75">
    <w:name w:val="xl75"/>
    <w:basedOn w:val="Normal"/>
    <w:rsid w:val="00D82E26"/>
    <w:pPr>
      <w:spacing w:before="100" w:beforeAutospacing="1" w:after="100" w:afterAutospacing="1" w:line="240" w:lineRule="auto"/>
    </w:pPr>
    <w:rPr>
      <w:rFonts w:ascii="Calibri Light" w:eastAsia="Times New Roman" w:hAnsi="Calibri Light" w:cs="Calibri Light"/>
      <w:b/>
      <w:bCs/>
      <w:sz w:val="20"/>
      <w:szCs w:val="20"/>
    </w:rPr>
  </w:style>
  <w:style w:type="paragraph" w:customStyle="1" w:styleId="xl76">
    <w:name w:val="xl76"/>
    <w:basedOn w:val="Normal"/>
    <w:rsid w:val="00D82E26"/>
    <w:pPr>
      <w:spacing w:before="100" w:beforeAutospacing="1" w:after="100" w:afterAutospacing="1" w:line="240" w:lineRule="auto"/>
    </w:pPr>
    <w:rPr>
      <w:rFonts w:ascii="Calibri Light" w:eastAsia="Times New Roman" w:hAnsi="Calibri Light" w:cs="Calibri Light"/>
      <w:sz w:val="18"/>
      <w:szCs w:val="18"/>
    </w:rPr>
  </w:style>
  <w:style w:type="paragraph" w:customStyle="1" w:styleId="xl77">
    <w:name w:val="xl77"/>
    <w:basedOn w:val="Normal"/>
    <w:rsid w:val="00D82E26"/>
    <w:pPr>
      <w:spacing w:before="100" w:beforeAutospacing="1" w:after="100" w:afterAutospacing="1" w:line="240" w:lineRule="auto"/>
    </w:pPr>
    <w:rPr>
      <w:rFonts w:ascii="Calibri Light" w:eastAsia="Times New Roman" w:hAnsi="Calibri Light" w:cs="Calibri Light"/>
      <w:i/>
      <w:iCs/>
      <w:sz w:val="18"/>
      <w:szCs w:val="18"/>
    </w:rPr>
  </w:style>
  <w:style w:type="paragraph" w:customStyle="1" w:styleId="xl78">
    <w:name w:val="xl78"/>
    <w:basedOn w:val="Normal"/>
    <w:rsid w:val="00D82E2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79">
    <w:name w:val="xl79"/>
    <w:basedOn w:val="Normal"/>
    <w:rsid w:val="00D82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80">
    <w:name w:val="xl80"/>
    <w:basedOn w:val="Normal"/>
    <w:rsid w:val="00D82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b/>
      <w:bCs/>
      <w:sz w:val="20"/>
      <w:szCs w:val="20"/>
    </w:rPr>
  </w:style>
  <w:style w:type="paragraph" w:customStyle="1" w:styleId="xl81">
    <w:name w:val="xl81"/>
    <w:basedOn w:val="Normal"/>
    <w:rsid w:val="00D82E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rPr>
  </w:style>
  <w:style w:type="paragraph" w:customStyle="1" w:styleId="xl82">
    <w:name w:val="xl82"/>
    <w:basedOn w:val="Normal"/>
    <w:rsid w:val="00D82E26"/>
    <w:pPr>
      <w:spacing w:before="100" w:beforeAutospacing="1" w:after="100" w:afterAutospacing="1" w:line="240" w:lineRule="auto"/>
      <w:jc w:val="center"/>
      <w:textAlignment w:val="top"/>
    </w:pPr>
    <w:rPr>
      <w:rFonts w:ascii="Calibri Light" w:eastAsia="Times New Roman" w:hAnsi="Calibri Light" w:cs="Calibri Light"/>
      <w:b/>
      <w:bCs/>
      <w:sz w:val="24"/>
      <w:szCs w:val="24"/>
    </w:rPr>
  </w:style>
  <w:style w:type="paragraph" w:customStyle="1" w:styleId="xl83">
    <w:name w:val="xl83"/>
    <w:basedOn w:val="Normal"/>
    <w:rsid w:val="00D82E26"/>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Light" w:eastAsia="Times New Roman" w:hAnsi="Calibri Light" w:cs="Calibri Light"/>
      <w:b/>
      <w:bCs/>
      <w:sz w:val="20"/>
      <w:szCs w:val="20"/>
    </w:rPr>
  </w:style>
  <w:style w:type="paragraph" w:customStyle="1" w:styleId="xl84">
    <w:name w:val="xl84"/>
    <w:basedOn w:val="Normal"/>
    <w:rsid w:val="00D82E26"/>
    <w:pPr>
      <w:pBdr>
        <w:top w:val="single" w:sz="4" w:space="0" w:color="auto"/>
        <w:bottom w:val="single" w:sz="4" w:space="0" w:color="auto"/>
      </w:pBdr>
      <w:spacing w:before="100" w:beforeAutospacing="1" w:after="100" w:afterAutospacing="1" w:line="240" w:lineRule="auto"/>
      <w:jc w:val="center"/>
    </w:pPr>
    <w:rPr>
      <w:rFonts w:ascii="Calibri Light" w:eastAsia="Times New Roman" w:hAnsi="Calibri Light" w:cs="Calibri Light"/>
      <w:b/>
      <w:bCs/>
      <w:sz w:val="20"/>
      <w:szCs w:val="20"/>
    </w:rPr>
  </w:style>
  <w:style w:type="paragraph" w:customStyle="1" w:styleId="xl85">
    <w:name w:val="xl85"/>
    <w:basedOn w:val="Normal"/>
    <w:rsid w:val="00D82E26"/>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Light" w:eastAsia="Times New Roman" w:hAnsi="Calibri Light" w:cs="Calibri Light"/>
      <w:b/>
      <w:bCs/>
      <w:sz w:val="20"/>
      <w:szCs w:val="20"/>
    </w:rPr>
  </w:style>
  <w:style w:type="paragraph" w:customStyle="1" w:styleId="xl86">
    <w:name w:val="xl86"/>
    <w:basedOn w:val="Normal"/>
    <w:rsid w:val="00D82E2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87">
    <w:name w:val="xl87"/>
    <w:basedOn w:val="Normal"/>
    <w:rsid w:val="00D82E26"/>
    <w:pPr>
      <w:pBdr>
        <w:top w:val="single" w:sz="4" w:space="0" w:color="auto"/>
        <w:bottom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88">
    <w:name w:val="xl88"/>
    <w:basedOn w:val="Normal"/>
    <w:rsid w:val="00D82E2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89">
    <w:name w:val="xl89"/>
    <w:basedOn w:val="Normal"/>
    <w:rsid w:val="00D82E2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90">
    <w:name w:val="xl90"/>
    <w:basedOn w:val="Normal"/>
    <w:rsid w:val="00D82E26"/>
    <w:pPr>
      <w:pBdr>
        <w:left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91">
    <w:name w:val="xl91"/>
    <w:basedOn w:val="Normal"/>
    <w:rsid w:val="00D82E2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92">
    <w:name w:val="xl92"/>
    <w:basedOn w:val="Normal"/>
    <w:rsid w:val="00D82E2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93">
    <w:name w:val="xl93"/>
    <w:basedOn w:val="Normal"/>
    <w:rsid w:val="00D82E26"/>
    <w:pPr>
      <w:pBdr>
        <w:left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94">
    <w:name w:val="xl94"/>
    <w:basedOn w:val="Normal"/>
    <w:rsid w:val="00D82E2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95">
    <w:name w:val="xl95"/>
    <w:basedOn w:val="Normal"/>
    <w:rsid w:val="00D82E26"/>
    <w:pPr>
      <w:pBdr>
        <w:top w:val="single" w:sz="4" w:space="0" w:color="auto"/>
        <w:lef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96">
    <w:name w:val="xl96"/>
    <w:basedOn w:val="Normal"/>
    <w:rsid w:val="00D82E26"/>
    <w:pPr>
      <w:pBdr>
        <w:top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97">
    <w:name w:val="xl97"/>
    <w:basedOn w:val="Normal"/>
    <w:rsid w:val="00D82E26"/>
    <w:pPr>
      <w:pBdr>
        <w:top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98">
    <w:name w:val="xl98"/>
    <w:basedOn w:val="Normal"/>
    <w:rsid w:val="00D82E26"/>
    <w:pPr>
      <w:pBdr>
        <w:lef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99">
    <w:name w:val="xl99"/>
    <w:basedOn w:val="Normal"/>
    <w:rsid w:val="00D82E26"/>
    <w:pP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100">
    <w:name w:val="xl100"/>
    <w:basedOn w:val="Normal"/>
    <w:rsid w:val="00D82E26"/>
    <w:pPr>
      <w:pBdr>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101">
    <w:name w:val="xl101"/>
    <w:basedOn w:val="Normal"/>
    <w:rsid w:val="00D82E26"/>
    <w:pPr>
      <w:pBdr>
        <w:left w:val="single" w:sz="4" w:space="0" w:color="auto"/>
        <w:bottom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102">
    <w:name w:val="xl102"/>
    <w:basedOn w:val="Normal"/>
    <w:rsid w:val="00D82E26"/>
    <w:pPr>
      <w:pBdr>
        <w:bottom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103">
    <w:name w:val="xl103"/>
    <w:basedOn w:val="Normal"/>
    <w:rsid w:val="00D82E26"/>
    <w:pPr>
      <w:pBdr>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104">
    <w:name w:val="xl104"/>
    <w:basedOn w:val="Normal"/>
    <w:rsid w:val="00D82E26"/>
    <w:pPr>
      <w:pBdr>
        <w:top w:val="single" w:sz="4" w:space="0" w:color="auto"/>
        <w:left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105">
    <w:name w:val="xl105"/>
    <w:basedOn w:val="Normal"/>
    <w:rsid w:val="00D82E26"/>
    <w:pPr>
      <w:pBdr>
        <w:top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106">
    <w:name w:val="xl106"/>
    <w:basedOn w:val="Normal"/>
    <w:rsid w:val="00D82E26"/>
    <w:pPr>
      <w:pBdr>
        <w:top w:val="single" w:sz="4" w:space="0" w:color="auto"/>
        <w:right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107">
    <w:name w:val="xl107"/>
    <w:basedOn w:val="Normal"/>
    <w:rsid w:val="00D82E26"/>
    <w:pPr>
      <w:pBdr>
        <w:left w:val="single" w:sz="4" w:space="0" w:color="auto"/>
        <w:bottom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108">
    <w:name w:val="xl108"/>
    <w:basedOn w:val="Normal"/>
    <w:rsid w:val="00D82E26"/>
    <w:pPr>
      <w:pBdr>
        <w:bottom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109">
    <w:name w:val="xl109"/>
    <w:basedOn w:val="Normal"/>
    <w:rsid w:val="00D82E26"/>
    <w:pPr>
      <w:pBdr>
        <w:bottom w:val="single" w:sz="4" w:space="0" w:color="auto"/>
        <w:right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110">
    <w:name w:val="xl110"/>
    <w:basedOn w:val="Normal"/>
    <w:rsid w:val="00D82E2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11">
    <w:name w:val="xl111"/>
    <w:basedOn w:val="Normal"/>
    <w:rsid w:val="00D82E26"/>
    <w:pPr>
      <w:pBdr>
        <w:left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12">
    <w:name w:val="xl112"/>
    <w:basedOn w:val="Normal"/>
    <w:rsid w:val="00D82E2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character" w:customStyle="1" w:styleId="Heading2Char">
    <w:name w:val="Heading 2 Char"/>
    <w:basedOn w:val="DefaultParagraphFont"/>
    <w:link w:val="Heading2"/>
    <w:uiPriority w:val="9"/>
    <w:rsid w:val="009D4C1A"/>
    <w:rPr>
      <w:rFonts w:asciiTheme="majorHAnsi" w:eastAsiaTheme="majorEastAsia" w:hAnsiTheme="majorHAnsi" w:cstheme="majorBidi"/>
      <w:color w:val="2E74B5" w:themeColor="accent1" w:themeShade="BF"/>
      <w:sz w:val="26"/>
      <w:szCs w:val="26"/>
    </w:rPr>
  </w:style>
  <w:style w:type="character" w:customStyle="1" w:styleId="NormalWebChar">
    <w:name w:val="Normal (Web) Char"/>
    <w:aliases w:val="Обычный (веб) Знак2 Char,Обычный (веб) Знак1 Знак Char,Обычный (веб) Знак Знак Знак Char,Знак Знак Знак Знак Char,Знак Знак1 Знак Char,Обычный (веб) Знак Знак1 Char,Знак Знак2 Char,Текст сноски1 Char,Текст сноски11 Char,Char1 Char"/>
    <w:link w:val="NormalWeb"/>
    <w:uiPriority w:val="99"/>
    <w:locked/>
    <w:rsid w:val="004517D9"/>
    <w:rPr>
      <w:rFonts w:ascii="Times New Roman" w:hAnsi="Times New Roman" w:cs="Times New Roman"/>
      <w:sz w:val="24"/>
      <w:szCs w:val="24"/>
    </w:rPr>
  </w:style>
  <w:style w:type="character" w:styleId="Strong">
    <w:name w:val="Strong"/>
    <w:basedOn w:val="DefaultParagraphFont"/>
    <w:uiPriority w:val="22"/>
    <w:qFormat/>
    <w:rsid w:val="00BE299F"/>
    <w:rPr>
      <w:b/>
      <w:bCs/>
    </w:rPr>
  </w:style>
  <w:style w:type="table" w:customStyle="1" w:styleId="TableGrid3">
    <w:name w:val="Table Grid3"/>
    <w:basedOn w:val="TableNormal"/>
    <w:next w:val="TableGrid"/>
    <w:uiPriority w:val="59"/>
    <w:qFormat/>
    <w:rsid w:val="00E35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860FA"/>
  </w:style>
  <w:style w:type="table" w:customStyle="1" w:styleId="TableGrid4">
    <w:name w:val="Table Grid4"/>
    <w:basedOn w:val="TableNormal"/>
    <w:next w:val="TableGrid"/>
    <w:uiPriority w:val="59"/>
    <w:qFormat/>
    <w:rsid w:val="00986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86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86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860FA"/>
  </w:style>
  <w:style w:type="table" w:customStyle="1" w:styleId="TableGrid5">
    <w:name w:val="Table Grid5"/>
    <w:basedOn w:val="TableNormal"/>
    <w:next w:val="TableGrid"/>
    <w:uiPriority w:val="59"/>
    <w:qFormat/>
    <w:rsid w:val="00992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775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4704">
      <w:bodyDiv w:val="1"/>
      <w:marLeft w:val="0"/>
      <w:marRight w:val="0"/>
      <w:marTop w:val="0"/>
      <w:marBottom w:val="0"/>
      <w:divBdr>
        <w:top w:val="none" w:sz="0" w:space="0" w:color="auto"/>
        <w:left w:val="none" w:sz="0" w:space="0" w:color="auto"/>
        <w:bottom w:val="none" w:sz="0" w:space="0" w:color="auto"/>
        <w:right w:val="none" w:sz="0" w:space="0" w:color="auto"/>
      </w:divBdr>
    </w:div>
    <w:div w:id="18169366">
      <w:bodyDiv w:val="1"/>
      <w:marLeft w:val="0"/>
      <w:marRight w:val="0"/>
      <w:marTop w:val="0"/>
      <w:marBottom w:val="0"/>
      <w:divBdr>
        <w:top w:val="none" w:sz="0" w:space="0" w:color="auto"/>
        <w:left w:val="none" w:sz="0" w:space="0" w:color="auto"/>
        <w:bottom w:val="none" w:sz="0" w:space="0" w:color="auto"/>
        <w:right w:val="none" w:sz="0" w:space="0" w:color="auto"/>
      </w:divBdr>
    </w:div>
    <w:div w:id="98108774">
      <w:bodyDiv w:val="1"/>
      <w:marLeft w:val="0"/>
      <w:marRight w:val="0"/>
      <w:marTop w:val="0"/>
      <w:marBottom w:val="0"/>
      <w:divBdr>
        <w:top w:val="none" w:sz="0" w:space="0" w:color="auto"/>
        <w:left w:val="none" w:sz="0" w:space="0" w:color="auto"/>
        <w:bottom w:val="none" w:sz="0" w:space="0" w:color="auto"/>
        <w:right w:val="none" w:sz="0" w:space="0" w:color="auto"/>
      </w:divBdr>
    </w:div>
    <w:div w:id="117575034">
      <w:bodyDiv w:val="1"/>
      <w:marLeft w:val="0"/>
      <w:marRight w:val="0"/>
      <w:marTop w:val="0"/>
      <w:marBottom w:val="0"/>
      <w:divBdr>
        <w:top w:val="none" w:sz="0" w:space="0" w:color="auto"/>
        <w:left w:val="none" w:sz="0" w:space="0" w:color="auto"/>
        <w:bottom w:val="none" w:sz="0" w:space="0" w:color="auto"/>
        <w:right w:val="none" w:sz="0" w:space="0" w:color="auto"/>
      </w:divBdr>
    </w:div>
    <w:div w:id="166409715">
      <w:bodyDiv w:val="1"/>
      <w:marLeft w:val="0"/>
      <w:marRight w:val="0"/>
      <w:marTop w:val="0"/>
      <w:marBottom w:val="0"/>
      <w:divBdr>
        <w:top w:val="none" w:sz="0" w:space="0" w:color="auto"/>
        <w:left w:val="none" w:sz="0" w:space="0" w:color="auto"/>
        <w:bottom w:val="none" w:sz="0" w:space="0" w:color="auto"/>
        <w:right w:val="none" w:sz="0" w:space="0" w:color="auto"/>
      </w:divBdr>
    </w:div>
    <w:div w:id="335497696">
      <w:bodyDiv w:val="1"/>
      <w:marLeft w:val="0"/>
      <w:marRight w:val="0"/>
      <w:marTop w:val="0"/>
      <w:marBottom w:val="0"/>
      <w:divBdr>
        <w:top w:val="none" w:sz="0" w:space="0" w:color="auto"/>
        <w:left w:val="none" w:sz="0" w:space="0" w:color="auto"/>
        <w:bottom w:val="none" w:sz="0" w:space="0" w:color="auto"/>
        <w:right w:val="none" w:sz="0" w:space="0" w:color="auto"/>
      </w:divBdr>
    </w:div>
    <w:div w:id="348799044">
      <w:bodyDiv w:val="1"/>
      <w:marLeft w:val="0"/>
      <w:marRight w:val="0"/>
      <w:marTop w:val="0"/>
      <w:marBottom w:val="0"/>
      <w:divBdr>
        <w:top w:val="none" w:sz="0" w:space="0" w:color="auto"/>
        <w:left w:val="none" w:sz="0" w:space="0" w:color="auto"/>
        <w:bottom w:val="none" w:sz="0" w:space="0" w:color="auto"/>
        <w:right w:val="none" w:sz="0" w:space="0" w:color="auto"/>
      </w:divBdr>
    </w:div>
    <w:div w:id="585962046">
      <w:bodyDiv w:val="1"/>
      <w:marLeft w:val="0"/>
      <w:marRight w:val="0"/>
      <w:marTop w:val="0"/>
      <w:marBottom w:val="0"/>
      <w:divBdr>
        <w:top w:val="none" w:sz="0" w:space="0" w:color="auto"/>
        <w:left w:val="none" w:sz="0" w:space="0" w:color="auto"/>
        <w:bottom w:val="none" w:sz="0" w:space="0" w:color="auto"/>
        <w:right w:val="none" w:sz="0" w:space="0" w:color="auto"/>
      </w:divBdr>
    </w:div>
    <w:div w:id="635110276">
      <w:bodyDiv w:val="1"/>
      <w:marLeft w:val="0"/>
      <w:marRight w:val="0"/>
      <w:marTop w:val="0"/>
      <w:marBottom w:val="0"/>
      <w:divBdr>
        <w:top w:val="none" w:sz="0" w:space="0" w:color="auto"/>
        <w:left w:val="none" w:sz="0" w:space="0" w:color="auto"/>
        <w:bottom w:val="none" w:sz="0" w:space="0" w:color="auto"/>
        <w:right w:val="none" w:sz="0" w:space="0" w:color="auto"/>
      </w:divBdr>
    </w:div>
    <w:div w:id="652639850">
      <w:bodyDiv w:val="1"/>
      <w:marLeft w:val="0"/>
      <w:marRight w:val="0"/>
      <w:marTop w:val="0"/>
      <w:marBottom w:val="0"/>
      <w:divBdr>
        <w:top w:val="none" w:sz="0" w:space="0" w:color="auto"/>
        <w:left w:val="none" w:sz="0" w:space="0" w:color="auto"/>
        <w:bottom w:val="none" w:sz="0" w:space="0" w:color="auto"/>
        <w:right w:val="none" w:sz="0" w:space="0" w:color="auto"/>
      </w:divBdr>
    </w:div>
    <w:div w:id="738090458">
      <w:bodyDiv w:val="1"/>
      <w:marLeft w:val="0"/>
      <w:marRight w:val="0"/>
      <w:marTop w:val="0"/>
      <w:marBottom w:val="0"/>
      <w:divBdr>
        <w:top w:val="none" w:sz="0" w:space="0" w:color="auto"/>
        <w:left w:val="none" w:sz="0" w:space="0" w:color="auto"/>
        <w:bottom w:val="none" w:sz="0" w:space="0" w:color="auto"/>
        <w:right w:val="none" w:sz="0" w:space="0" w:color="auto"/>
      </w:divBdr>
    </w:div>
    <w:div w:id="741756296">
      <w:bodyDiv w:val="1"/>
      <w:marLeft w:val="0"/>
      <w:marRight w:val="0"/>
      <w:marTop w:val="0"/>
      <w:marBottom w:val="0"/>
      <w:divBdr>
        <w:top w:val="none" w:sz="0" w:space="0" w:color="auto"/>
        <w:left w:val="none" w:sz="0" w:space="0" w:color="auto"/>
        <w:bottom w:val="none" w:sz="0" w:space="0" w:color="auto"/>
        <w:right w:val="none" w:sz="0" w:space="0" w:color="auto"/>
      </w:divBdr>
    </w:div>
    <w:div w:id="761338364">
      <w:bodyDiv w:val="1"/>
      <w:marLeft w:val="0"/>
      <w:marRight w:val="0"/>
      <w:marTop w:val="0"/>
      <w:marBottom w:val="0"/>
      <w:divBdr>
        <w:top w:val="none" w:sz="0" w:space="0" w:color="auto"/>
        <w:left w:val="none" w:sz="0" w:space="0" w:color="auto"/>
        <w:bottom w:val="none" w:sz="0" w:space="0" w:color="auto"/>
        <w:right w:val="none" w:sz="0" w:space="0" w:color="auto"/>
      </w:divBdr>
    </w:div>
    <w:div w:id="781461400">
      <w:bodyDiv w:val="1"/>
      <w:marLeft w:val="0"/>
      <w:marRight w:val="0"/>
      <w:marTop w:val="0"/>
      <w:marBottom w:val="0"/>
      <w:divBdr>
        <w:top w:val="none" w:sz="0" w:space="0" w:color="auto"/>
        <w:left w:val="none" w:sz="0" w:space="0" w:color="auto"/>
        <w:bottom w:val="none" w:sz="0" w:space="0" w:color="auto"/>
        <w:right w:val="none" w:sz="0" w:space="0" w:color="auto"/>
      </w:divBdr>
    </w:div>
    <w:div w:id="788623633">
      <w:bodyDiv w:val="1"/>
      <w:marLeft w:val="0"/>
      <w:marRight w:val="0"/>
      <w:marTop w:val="0"/>
      <w:marBottom w:val="0"/>
      <w:divBdr>
        <w:top w:val="none" w:sz="0" w:space="0" w:color="auto"/>
        <w:left w:val="none" w:sz="0" w:space="0" w:color="auto"/>
        <w:bottom w:val="none" w:sz="0" w:space="0" w:color="auto"/>
        <w:right w:val="none" w:sz="0" w:space="0" w:color="auto"/>
      </w:divBdr>
    </w:div>
    <w:div w:id="861088996">
      <w:bodyDiv w:val="1"/>
      <w:marLeft w:val="0"/>
      <w:marRight w:val="0"/>
      <w:marTop w:val="0"/>
      <w:marBottom w:val="0"/>
      <w:divBdr>
        <w:top w:val="none" w:sz="0" w:space="0" w:color="auto"/>
        <w:left w:val="none" w:sz="0" w:space="0" w:color="auto"/>
        <w:bottom w:val="none" w:sz="0" w:space="0" w:color="auto"/>
        <w:right w:val="none" w:sz="0" w:space="0" w:color="auto"/>
      </w:divBdr>
    </w:div>
    <w:div w:id="861553790">
      <w:bodyDiv w:val="1"/>
      <w:marLeft w:val="0"/>
      <w:marRight w:val="0"/>
      <w:marTop w:val="0"/>
      <w:marBottom w:val="0"/>
      <w:divBdr>
        <w:top w:val="none" w:sz="0" w:space="0" w:color="auto"/>
        <w:left w:val="none" w:sz="0" w:space="0" w:color="auto"/>
        <w:bottom w:val="none" w:sz="0" w:space="0" w:color="auto"/>
        <w:right w:val="none" w:sz="0" w:space="0" w:color="auto"/>
      </w:divBdr>
    </w:div>
    <w:div w:id="905799045">
      <w:bodyDiv w:val="1"/>
      <w:marLeft w:val="0"/>
      <w:marRight w:val="0"/>
      <w:marTop w:val="0"/>
      <w:marBottom w:val="0"/>
      <w:divBdr>
        <w:top w:val="none" w:sz="0" w:space="0" w:color="auto"/>
        <w:left w:val="none" w:sz="0" w:space="0" w:color="auto"/>
        <w:bottom w:val="none" w:sz="0" w:space="0" w:color="auto"/>
        <w:right w:val="none" w:sz="0" w:space="0" w:color="auto"/>
      </w:divBdr>
    </w:div>
    <w:div w:id="910240078">
      <w:bodyDiv w:val="1"/>
      <w:marLeft w:val="0"/>
      <w:marRight w:val="0"/>
      <w:marTop w:val="0"/>
      <w:marBottom w:val="0"/>
      <w:divBdr>
        <w:top w:val="none" w:sz="0" w:space="0" w:color="auto"/>
        <w:left w:val="none" w:sz="0" w:space="0" w:color="auto"/>
        <w:bottom w:val="none" w:sz="0" w:space="0" w:color="auto"/>
        <w:right w:val="none" w:sz="0" w:space="0" w:color="auto"/>
      </w:divBdr>
    </w:div>
    <w:div w:id="911961844">
      <w:bodyDiv w:val="1"/>
      <w:marLeft w:val="0"/>
      <w:marRight w:val="0"/>
      <w:marTop w:val="0"/>
      <w:marBottom w:val="0"/>
      <w:divBdr>
        <w:top w:val="none" w:sz="0" w:space="0" w:color="auto"/>
        <w:left w:val="none" w:sz="0" w:space="0" w:color="auto"/>
        <w:bottom w:val="none" w:sz="0" w:space="0" w:color="auto"/>
        <w:right w:val="none" w:sz="0" w:space="0" w:color="auto"/>
      </w:divBdr>
    </w:div>
    <w:div w:id="1039161357">
      <w:bodyDiv w:val="1"/>
      <w:marLeft w:val="0"/>
      <w:marRight w:val="0"/>
      <w:marTop w:val="0"/>
      <w:marBottom w:val="0"/>
      <w:divBdr>
        <w:top w:val="none" w:sz="0" w:space="0" w:color="auto"/>
        <w:left w:val="none" w:sz="0" w:space="0" w:color="auto"/>
        <w:bottom w:val="none" w:sz="0" w:space="0" w:color="auto"/>
        <w:right w:val="none" w:sz="0" w:space="0" w:color="auto"/>
      </w:divBdr>
    </w:div>
    <w:div w:id="1214199798">
      <w:bodyDiv w:val="1"/>
      <w:marLeft w:val="0"/>
      <w:marRight w:val="0"/>
      <w:marTop w:val="0"/>
      <w:marBottom w:val="0"/>
      <w:divBdr>
        <w:top w:val="none" w:sz="0" w:space="0" w:color="auto"/>
        <w:left w:val="none" w:sz="0" w:space="0" w:color="auto"/>
        <w:bottom w:val="none" w:sz="0" w:space="0" w:color="auto"/>
        <w:right w:val="none" w:sz="0" w:space="0" w:color="auto"/>
      </w:divBdr>
    </w:div>
    <w:div w:id="1277758465">
      <w:bodyDiv w:val="1"/>
      <w:marLeft w:val="0"/>
      <w:marRight w:val="0"/>
      <w:marTop w:val="0"/>
      <w:marBottom w:val="0"/>
      <w:divBdr>
        <w:top w:val="none" w:sz="0" w:space="0" w:color="auto"/>
        <w:left w:val="none" w:sz="0" w:space="0" w:color="auto"/>
        <w:bottom w:val="none" w:sz="0" w:space="0" w:color="auto"/>
        <w:right w:val="none" w:sz="0" w:space="0" w:color="auto"/>
      </w:divBdr>
    </w:div>
    <w:div w:id="1294213265">
      <w:bodyDiv w:val="1"/>
      <w:marLeft w:val="0"/>
      <w:marRight w:val="0"/>
      <w:marTop w:val="0"/>
      <w:marBottom w:val="0"/>
      <w:divBdr>
        <w:top w:val="none" w:sz="0" w:space="0" w:color="auto"/>
        <w:left w:val="none" w:sz="0" w:space="0" w:color="auto"/>
        <w:bottom w:val="none" w:sz="0" w:space="0" w:color="auto"/>
        <w:right w:val="none" w:sz="0" w:space="0" w:color="auto"/>
      </w:divBdr>
    </w:div>
    <w:div w:id="1297179525">
      <w:bodyDiv w:val="1"/>
      <w:marLeft w:val="0"/>
      <w:marRight w:val="0"/>
      <w:marTop w:val="0"/>
      <w:marBottom w:val="0"/>
      <w:divBdr>
        <w:top w:val="none" w:sz="0" w:space="0" w:color="auto"/>
        <w:left w:val="none" w:sz="0" w:space="0" w:color="auto"/>
        <w:bottom w:val="none" w:sz="0" w:space="0" w:color="auto"/>
        <w:right w:val="none" w:sz="0" w:space="0" w:color="auto"/>
      </w:divBdr>
    </w:div>
    <w:div w:id="1320618574">
      <w:bodyDiv w:val="1"/>
      <w:marLeft w:val="0"/>
      <w:marRight w:val="0"/>
      <w:marTop w:val="0"/>
      <w:marBottom w:val="0"/>
      <w:divBdr>
        <w:top w:val="none" w:sz="0" w:space="0" w:color="auto"/>
        <w:left w:val="none" w:sz="0" w:space="0" w:color="auto"/>
        <w:bottom w:val="none" w:sz="0" w:space="0" w:color="auto"/>
        <w:right w:val="none" w:sz="0" w:space="0" w:color="auto"/>
      </w:divBdr>
    </w:div>
    <w:div w:id="1353916593">
      <w:bodyDiv w:val="1"/>
      <w:marLeft w:val="0"/>
      <w:marRight w:val="0"/>
      <w:marTop w:val="0"/>
      <w:marBottom w:val="0"/>
      <w:divBdr>
        <w:top w:val="none" w:sz="0" w:space="0" w:color="auto"/>
        <w:left w:val="none" w:sz="0" w:space="0" w:color="auto"/>
        <w:bottom w:val="none" w:sz="0" w:space="0" w:color="auto"/>
        <w:right w:val="none" w:sz="0" w:space="0" w:color="auto"/>
      </w:divBdr>
    </w:div>
    <w:div w:id="1374034887">
      <w:bodyDiv w:val="1"/>
      <w:marLeft w:val="0"/>
      <w:marRight w:val="0"/>
      <w:marTop w:val="0"/>
      <w:marBottom w:val="0"/>
      <w:divBdr>
        <w:top w:val="none" w:sz="0" w:space="0" w:color="auto"/>
        <w:left w:val="none" w:sz="0" w:space="0" w:color="auto"/>
        <w:bottom w:val="none" w:sz="0" w:space="0" w:color="auto"/>
        <w:right w:val="none" w:sz="0" w:space="0" w:color="auto"/>
      </w:divBdr>
    </w:div>
    <w:div w:id="1415275193">
      <w:bodyDiv w:val="1"/>
      <w:marLeft w:val="0"/>
      <w:marRight w:val="0"/>
      <w:marTop w:val="0"/>
      <w:marBottom w:val="0"/>
      <w:divBdr>
        <w:top w:val="none" w:sz="0" w:space="0" w:color="auto"/>
        <w:left w:val="none" w:sz="0" w:space="0" w:color="auto"/>
        <w:bottom w:val="none" w:sz="0" w:space="0" w:color="auto"/>
        <w:right w:val="none" w:sz="0" w:space="0" w:color="auto"/>
      </w:divBdr>
    </w:div>
    <w:div w:id="1561751394">
      <w:bodyDiv w:val="1"/>
      <w:marLeft w:val="0"/>
      <w:marRight w:val="0"/>
      <w:marTop w:val="0"/>
      <w:marBottom w:val="0"/>
      <w:divBdr>
        <w:top w:val="none" w:sz="0" w:space="0" w:color="auto"/>
        <w:left w:val="none" w:sz="0" w:space="0" w:color="auto"/>
        <w:bottom w:val="none" w:sz="0" w:space="0" w:color="auto"/>
        <w:right w:val="none" w:sz="0" w:space="0" w:color="auto"/>
      </w:divBdr>
    </w:div>
    <w:div w:id="1689527381">
      <w:bodyDiv w:val="1"/>
      <w:marLeft w:val="0"/>
      <w:marRight w:val="0"/>
      <w:marTop w:val="0"/>
      <w:marBottom w:val="0"/>
      <w:divBdr>
        <w:top w:val="none" w:sz="0" w:space="0" w:color="auto"/>
        <w:left w:val="none" w:sz="0" w:space="0" w:color="auto"/>
        <w:bottom w:val="none" w:sz="0" w:space="0" w:color="auto"/>
        <w:right w:val="none" w:sz="0" w:space="0" w:color="auto"/>
      </w:divBdr>
    </w:div>
    <w:div w:id="1829200722">
      <w:bodyDiv w:val="1"/>
      <w:marLeft w:val="0"/>
      <w:marRight w:val="0"/>
      <w:marTop w:val="0"/>
      <w:marBottom w:val="0"/>
      <w:divBdr>
        <w:top w:val="none" w:sz="0" w:space="0" w:color="auto"/>
        <w:left w:val="none" w:sz="0" w:space="0" w:color="auto"/>
        <w:bottom w:val="none" w:sz="0" w:space="0" w:color="auto"/>
        <w:right w:val="none" w:sz="0" w:space="0" w:color="auto"/>
      </w:divBdr>
    </w:div>
    <w:div w:id="1848863803">
      <w:bodyDiv w:val="1"/>
      <w:marLeft w:val="0"/>
      <w:marRight w:val="0"/>
      <w:marTop w:val="0"/>
      <w:marBottom w:val="0"/>
      <w:divBdr>
        <w:top w:val="none" w:sz="0" w:space="0" w:color="auto"/>
        <w:left w:val="none" w:sz="0" w:space="0" w:color="auto"/>
        <w:bottom w:val="none" w:sz="0" w:space="0" w:color="auto"/>
        <w:right w:val="none" w:sz="0" w:space="0" w:color="auto"/>
      </w:divBdr>
    </w:div>
    <w:div w:id="1956402866">
      <w:bodyDiv w:val="1"/>
      <w:marLeft w:val="0"/>
      <w:marRight w:val="0"/>
      <w:marTop w:val="0"/>
      <w:marBottom w:val="0"/>
      <w:divBdr>
        <w:top w:val="none" w:sz="0" w:space="0" w:color="auto"/>
        <w:left w:val="none" w:sz="0" w:space="0" w:color="auto"/>
        <w:bottom w:val="none" w:sz="0" w:space="0" w:color="auto"/>
        <w:right w:val="none" w:sz="0" w:space="0" w:color="auto"/>
      </w:divBdr>
    </w:div>
    <w:div w:id="1994554345">
      <w:bodyDiv w:val="1"/>
      <w:marLeft w:val="0"/>
      <w:marRight w:val="0"/>
      <w:marTop w:val="0"/>
      <w:marBottom w:val="0"/>
      <w:divBdr>
        <w:top w:val="none" w:sz="0" w:space="0" w:color="auto"/>
        <w:left w:val="none" w:sz="0" w:space="0" w:color="auto"/>
        <w:bottom w:val="none" w:sz="0" w:space="0" w:color="auto"/>
        <w:right w:val="none" w:sz="0" w:space="0" w:color="auto"/>
      </w:divBdr>
    </w:div>
    <w:div w:id="212889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hyperlink" Target="https://www.chisinau.md/pageview.php?l=ro&amp;idc=475&amp;t=/Primaria/Intreprinderi-municipale/Intreprinderea-Municipala-Asociatia-de-gospodarire-a-spatiilor-verzi" TargetMode="External"/><Relationship Id="rId3" Type="http://schemas.openxmlformats.org/officeDocument/2006/relationships/styles" Target="styles.xml"/><Relationship Id="rId21" Type="http://schemas.openxmlformats.org/officeDocument/2006/relationships/hyperlink" Target="https://www.chisinau.md/pageview.php?l=ro&amp;idc=476&amp;t=/Primaria/Intreprinderi-municipale/Intreprinderea-Municipala-Specializata-LIFTSERVIC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yperlink" Target="https://www.chisinau.md/pageview.php?l=ro&amp;idc=1043&amp;t=/Primaria/Intreprinderi-municipale/IM-Parcul-Dendrari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chisinau.md/pageview.php?l=ro&amp;idc=471&amp;t=/Primaria/Intreprinderi-municipale/Intreprinderea-Municipala-Lumteh"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hisinau.md/pageview.php?l=ro&amp;idc=1042&amp;t=/Primaria/Intreprinderi-municipale/IM-Primtran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chisinau.md/pageview.php?l=ro&amp;idc=1039&amp;t=/Primaria/Intreprinderi-municipale/IM-AP-Dieta-Vitas" TargetMode="External"/><Relationship Id="rId28" Type="http://schemas.openxmlformats.org/officeDocument/2006/relationships/hyperlink" Target="https://www.chisinau.md/pageview.php?l=ro&amp;idc=1041&amp;t=/Primaria/Intreprinderi-municipale/IM-Infocom" TargetMode="External"/><Relationship Id="rId10" Type="http://schemas.openxmlformats.org/officeDocument/2006/relationships/hyperlink" Target="mailto:ccrm@ccrm.md" TargetMode="External"/><Relationship Id="rId19" Type="http://schemas.openxmlformats.org/officeDocument/2006/relationships/image" Target="media/image9.gi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4.jpeg"/><Relationship Id="rId22" Type="http://schemas.openxmlformats.org/officeDocument/2006/relationships/hyperlink" Target="https://www.chisinau.md/pageview.php?l=ro&amp;idc=1040&amp;t=/Primaria/Intreprinderi-municipale/IM-Directia-parcurilor-cultura-i-odihna" TargetMode="External"/><Relationship Id="rId27" Type="http://schemas.openxmlformats.org/officeDocument/2006/relationships/hyperlink" Target="https://www.chisinau.md/pageview.php?l=ro&amp;idc=484&amp;t=/Primaria/Intreprinderi-municipale/Institutul-Chisinauproiect" TargetMode="External"/><Relationship Id="rId30" Type="http://schemas.openxmlformats.org/officeDocument/2006/relationships/footer" Target="footer3.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laetaj.md/blocuri/circului/" TargetMode="External"/><Relationship Id="rId2" Type="http://schemas.openxmlformats.org/officeDocument/2006/relationships/hyperlink" Target="https://topimobiliare.md/complex-rezidential-nou-circului/" TargetMode="External"/><Relationship Id="rId1" Type="http://schemas.openxmlformats.org/officeDocument/2006/relationships/hyperlink" Target="https://chisinau.md/public/files/anul_2022/sedinte/12.05.22/9._PPP_pasaj_&#536;tefan_cel_Mar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67423-BC9F-411B-AA94-3EB3F57AF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58507</Words>
  <Characters>333492</Characters>
  <Application>Microsoft Office Word</Application>
  <DocSecurity>0</DocSecurity>
  <Lines>2779</Lines>
  <Paragraphs>782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391217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Usatîi Aurelia</dc:creator>
  <cp:keywords/>
  <dc:description/>
  <cp:lastModifiedBy>Paiu Eugenia</cp:lastModifiedBy>
  <cp:revision>2</cp:revision>
  <cp:lastPrinted>2022-10-13T08:05:00Z</cp:lastPrinted>
  <dcterms:created xsi:type="dcterms:W3CDTF">2022-10-13T09:55:00Z</dcterms:created>
  <dcterms:modified xsi:type="dcterms:W3CDTF">2022-10-13T09:55:00Z</dcterms:modified>
</cp:coreProperties>
</file>