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18A" w:rsidRDefault="005A018A" w:rsidP="004A30E6">
      <w:pPr>
        <w:pStyle w:val="cn"/>
        <w:spacing w:line="276" w:lineRule="auto"/>
        <w:rPr>
          <w:lang w:val="ro-MD"/>
        </w:rPr>
      </w:pPr>
      <w:r>
        <w:rPr>
          <w:noProof/>
          <w:sz w:val="26"/>
          <w:szCs w:val="26"/>
          <w:lang w:val="ru-RU" w:eastAsia="ru-RU"/>
        </w:rPr>
        <w:drawing>
          <wp:inline distT="0" distB="0" distL="0" distR="0">
            <wp:extent cx="632460" cy="708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460" cy="708660"/>
                    </a:xfrm>
                    <a:prstGeom prst="rect">
                      <a:avLst/>
                    </a:prstGeom>
                    <a:noFill/>
                    <a:ln>
                      <a:noFill/>
                    </a:ln>
                  </pic:spPr>
                </pic:pic>
              </a:graphicData>
            </a:graphic>
          </wp:inline>
        </w:drawing>
      </w:r>
    </w:p>
    <w:p w:rsidR="005A018A" w:rsidRDefault="005A018A" w:rsidP="004A30E6">
      <w:pPr>
        <w:spacing w:after="0" w:line="276" w:lineRule="auto"/>
        <w:jc w:val="center"/>
        <w:rPr>
          <w:rFonts w:ascii="Calibri Light" w:eastAsia="Times New Roman" w:hAnsi="Calibri Light" w:cs="Calibri Light"/>
          <w:bCs/>
          <w:sz w:val="24"/>
          <w:szCs w:val="24"/>
          <w:lang w:val="ro-MD"/>
        </w:rPr>
      </w:pPr>
      <w:r>
        <w:rPr>
          <w:rFonts w:ascii="Calibri Light" w:eastAsia="Times New Roman" w:hAnsi="Calibri Light" w:cs="Calibri Light"/>
          <w:bCs/>
          <w:sz w:val="24"/>
          <w:szCs w:val="24"/>
          <w:lang w:val="ro-MD"/>
        </w:rPr>
        <w:t>CURTEA DE CONTURI A REPUBLICII MOLDOVA</w:t>
      </w:r>
    </w:p>
    <w:p w:rsidR="005A018A" w:rsidRDefault="005A018A" w:rsidP="004A30E6">
      <w:pPr>
        <w:spacing w:after="0" w:line="276" w:lineRule="auto"/>
        <w:jc w:val="center"/>
        <w:rPr>
          <w:rFonts w:ascii="Calibri Light" w:eastAsia="Times New Roman" w:hAnsi="Calibri Light" w:cs="Calibri Light"/>
          <w:bCs/>
          <w:sz w:val="28"/>
          <w:szCs w:val="28"/>
          <w:lang w:val="ro-MD"/>
        </w:rPr>
      </w:pPr>
    </w:p>
    <w:p w:rsidR="005A018A" w:rsidRDefault="005A018A" w:rsidP="004A30E6">
      <w:pPr>
        <w:spacing w:after="0" w:line="276" w:lineRule="auto"/>
        <w:jc w:val="center"/>
        <w:rPr>
          <w:rFonts w:ascii="Calibri Light" w:eastAsia="Times New Roman" w:hAnsi="Calibri Light" w:cs="Calibri Light"/>
          <w:b/>
          <w:bCs/>
          <w:sz w:val="24"/>
          <w:szCs w:val="24"/>
          <w:lang w:val="ro-MD"/>
        </w:rPr>
      </w:pPr>
      <w:bookmarkStart w:id="0" w:name="_Toc450123757"/>
      <w:r>
        <w:rPr>
          <w:rFonts w:ascii="Calibri Light" w:eastAsia="Times New Roman" w:hAnsi="Calibri Light" w:cs="Calibri Light"/>
          <w:b/>
          <w:bCs/>
          <w:sz w:val="24"/>
          <w:szCs w:val="24"/>
          <w:lang w:val="ro-MD"/>
        </w:rPr>
        <w:t>H O T Ă R Â R E A nr.</w:t>
      </w:r>
      <w:bookmarkEnd w:id="0"/>
      <w:r w:rsidR="00545C0D">
        <w:rPr>
          <w:rFonts w:ascii="Calibri Light" w:eastAsia="Times New Roman" w:hAnsi="Calibri Light" w:cs="Calibri Light"/>
          <w:b/>
          <w:bCs/>
          <w:sz w:val="24"/>
          <w:szCs w:val="24"/>
          <w:lang w:val="ro-MD"/>
        </w:rPr>
        <w:t xml:space="preserve"> 8</w:t>
      </w:r>
      <w:r w:rsidR="00912E35">
        <w:rPr>
          <w:rFonts w:ascii="Calibri Light" w:eastAsia="Times New Roman" w:hAnsi="Calibri Light" w:cs="Calibri Light"/>
          <w:b/>
          <w:bCs/>
          <w:sz w:val="24"/>
          <w:szCs w:val="24"/>
          <w:lang w:val="ro-MD"/>
        </w:rPr>
        <w:t xml:space="preserve"> </w:t>
      </w:r>
    </w:p>
    <w:p w:rsidR="005A018A" w:rsidRDefault="00C00E33" w:rsidP="004A30E6">
      <w:pPr>
        <w:spacing w:after="0" w:line="276" w:lineRule="auto"/>
        <w:jc w:val="center"/>
        <w:rPr>
          <w:rFonts w:ascii="Calibri Light" w:eastAsia="Times New Roman" w:hAnsi="Calibri Light" w:cs="Calibri Light"/>
          <w:b/>
          <w:bCs/>
          <w:sz w:val="24"/>
          <w:szCs w:val="24"/>
          <w:lang w:val="ro-MD"/>
        </w:rPr>
      </w:pPr>
      <w:r>
        <w:rPr>
          <w:rFonts w:ascii="Calibri Light" w:eastAsia="Times New Roman" w:hAnsi="Calibri Light" w:cs="Calibri Light"/>
          <w:b/>
          <w:bCs/>
          <w:sz w:val="24"/>
          <w:szCs w:val="24"/>
          <w:lang w:val="ro-MD"/>
        </w:rPr>
        <w:t xml:space="preserve">din </w:t>
      </w:r>
      <w:r w:rsidR="00912E35">
        <w:rPr>
          <w:rFonts w:ascii="Calibri Light" w:eastAsia="Times New Roman" w:hAnsi="Calibri Light" w:cs="Calibri Light"/>
          <w:b/>
          <w:bCs/>
          <w:sz w:val="24"/>
          <w:szCs w:val="24"/>
          <w:lang w:val="ro-MD"/>
        </w:rPr>
        <w:t>2</w:t>
      </w:r>
      <w:r w:rsidR="00144F27">
        <w:rPr>
          <w:rFonts w:ascii="Calibri Light" w:eastAsia="Times New Roman" w:hAnsi="Calibri Light" w:cs="Calibri Light"/>
          <w:b/>
          <w:bCs/>
          <w:sz w:val="24"/>
          <w:szCs w:val="24"/>
          <w:lang w:val="ro-MD"/>
        </w:rPr>
        <w:t>8</w:t>
      </w:r>
      <w:r>
        <w:rPr>
          <w:rFonts w:ascii="Calibri Light" w:eastAsia="Times New Roman" w:hAnsi="Calibri Light" w:cs="Calibri Light"/>
          <w:b/>
          <w:bCs/>
          <w:sz w:val="24"/>
          <w:szCs w:val="24"/>
          <w:lang w:val="ro-MD"/>
        </w:rPr>
        <w:t xml:space="preserve"> </w:t>
      </w:r>
      <w:r w:rsidR="00912E35">
        <w:rPr>
          <w:rFonts w:ascii="Calibri Light" w:eastAsia="Times New Roman" w:hAnsi="Calibri Light" w:cs="Calibri Light"/>
          <w:b/>
          <w:bCs/>
          <w:sz w:val="24"/>
          <w:szCs w:val="24"/>
          <w:lang w:val="ro-MD"/>
        </w:rPr>
        <w:t>februarie</w:t>
      </w:r>
      <w:r>
        <w:rPr>
          <w:rFonts w:ascii="Calibri Light" w:eastAsia="Times New Roman" w:hAnsi="Calibri Light" w:cs="Calibri Light"/>
          <w:b/>
          <w:bCs/>
          <w:sz w:val="24"/>
          <w:szCs w:val="24"/>
          <w:lang w:val="ro-MD"/>
        </w:rPr>
        <w:t xml:space="preserve"> </w:t>
      </w:r>
      <w:r w:rsidR="00912E35">
        <w:rPr>
          <w:rFonts w:ascii="Calibri Light" w:eastAsia="Times New Roman" w:hAnsi="Calibri Light" w:cs="Calibri Light"/>
          <w:b/>
          <w:bCs/>
          <w:sz w:val="24"/>
          <w:szCs w:val="24"/>
          <w:lang w:val="ro-MD"/>
        </w:rPr>
        <w:t>2023</w:t>
      </w:r>
    </w:p>
    <w:p w:rsidR="00983819" w:rsidRDefault="00983819" w:rsidP="004A30E6">
      <w:pPr>
        <w:spacing w:after="0" w:line="276" w:lineRule="auto"/>
        <w:jc w:val="center"/>
        <w:rPr>
          <w:rFonts w:ascii="Calibri Light" w:eastAsia="Times New Roman" w:hAnsi="Calibri Light" w:cs="Calibri Light"/>
          <w:b/>
          <w:bCs/>
          <w:sz w:val="24"/>
          <w:szCs w:val="24"/>
          <w:lang w:val="ro-MD"/>
        </w:rPr>
      </w:pPr>
    </w:p>
    <w:p w:rsidR="005A018A" w:rsidRDefault="005A018A" w:rsidP="004A30E6">
      <w:pPr>
        <w:spacing w:after="0" w:line="276" w:lineRule="auto"/>
        <w:jc w:val="center"/>
        <w:rPr>
          <w:rFonts w:ascii="Calibri Light" w:eastAsia="Times New Roman" w:hAnsi="Calibri Light" w:cs="Calibri Light"/>
          <w:b/>
          <w:bCs/>
          <w:sz w:val="24"/>
          <w:szCs w:val="24"/>
          <w:lang w:val="ro-MD" w:eastAsia="ru-RU"/>
        </w:rPr>
      </w:pPr>
      <w:r>
        <w:rPr>
          <w:rFonts w:ascii="Calibri Light" w:eastAsia="Times New Roman" w:hAnsi="Calibri Light" w:cs="Calibri Light"/>
          <w:b/>
          <w:bCs/>
          <w:sz w:val="24"/>
          <w:szCs w:val="24"/>
          <w:lang w:val="ro-MD" w:eastAsia="ru-RU"/>
        </w:rPr>
        <w:t xml:space="preserve">cu privire la Raportul auditului </w:t>
      </w:r>
      <w:r w:rsidR="005E3B95" w:rsidRPr="005E3B95">
        <w:rPr>
          <w:rFonts w:ascii="Calibri Light" w:eastAsia="Times New Roman" w:hAnsi="Calibri Light" w:cs="Calibri Light"/>
          <w:b/>
          <w:bCs/>
          <w:sz w:val="24"/>
          <w:szCs w:val="24"/>
          <w:lang w:val="ro-MD" w:eastAsia="ru-RU"/>
        </w:rPr>
        <w:t>conformității asupra utilizării resurselor financiare publice alocate pentru administrarea sistemului de acordare a asistenței juridice garantate de stat în ani</w:t>
      </w:r>
      <w:r w:rsidR="009D6838">
        <w:rPr>
          <w:rFonts w:ascii="Calibri Light" w:eastAsia="Times New Roman" w:hAnsi="Calibri Light" w:cs="Calibri Light"/>
          <w:b/>
          <w:bCs/>
          <w:sz w:val="24"/>
          <w:szCs w:val="24"/>
          <w:lang w:val="ro-MD" w:eastAsia="ru-RU"/>
        </w:rPr>
        <w:t>i</w:t>
      </w:r>
      <w:r w:rsidR="005E3B95" w:rsidRPr="005E3B95">
        <w:rPr>
          <w:rFonts w:ascii="Calibri Light" w:eastAsia="Times New Roman" w:hAnsi="Calibri Light" w:cs="Calibri Light"/>
          <w:b/>
          <w:bCs/>
          <w:sz w:val="24"/>
          <w:szCs w:val="24"/>
          <w:lang w:val="ro-MD" w:eastAsia="ru-RU"/>
        </w:rPr>
        <w:t xml:space="preserve"> 2020-2022</w:t>
      </w:r>
    </w:p>
    <w:p w:rsidR="00DF7173" w:rsidRPr="00480B7E" w:rsidRDefault="00DF7173" w:rsidP="004A30E6">
      <w:pPr>
        <w:spacing w:after="0" w:line="276" w:lineRule="auto"/>
        <w:jc w:val="center"/>
        <w:rPr>
          <w:rFonts w:asciiTheme="majorHAnsi" w:eastAsia="Times New Roman" w:hAnsiTheme="majorHAnsi" w:cstheme="majorHAnsi"/>
          <w:sz w:val="24"/>
          <w:szCs w:val="24"/>
          <w:lang w:val="ro-MD"/>
        </w:rPr>
      </w:pPr>
    </w:p>
    <w:p w:rsidR="00337650" w:rsidRPr="00D67210" w:rsidRDefault="000E32DA" w:rsidP="00337650">
      <w:pPr>
        <w:spacing w:after="0" w:line="276" w:lineRule="auto"/>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            </w:t>
      </w:r>
      <w:r w:rsidR="00337650" w:rsidRPr="00480B7E">
        <w:rPr>
          <w:rFonts w:asciiTheme="majorHAnsi" w:hAnsiTheme="majorHAnsi" w:cstheme="majorHAnsi"/>
          <w:sz w:val="24"/>
          <w:szCs w:val="24"/>
          <w:lang w:val="ro-MD"/>
        </w:rPr>
        <w:t>C</w:t>
      </w:r>
      <w:r w:rsidR="00EC0EDB">
        <w:rPr>
          <w:rFonts w:asciiTheme="majorHAnsi" w:hAnsiTheme="majorHAnsi" w:cstheme="majorHAnsi"/>
          <w:sz w:val="24"/>
          <w:szCs w:val="24"/>
          <w:lang w:val="ro-MD"/>
        </w:rPr>
        <w:t xml:space="preserve">urtea de Conturi, în prezența dnei </w:t>
      </w:r>
      <w:r w:rsidR="00455485">
        <w:rPr>
          <w:rFonts w:asciiTheme="majorHAnsi" w:hAnsiTheme="majorHAnsi" w:cstheme="majorHAnsi"/>
          <w:sz w:val="24"/>
          <w:szCs w:val="24"/>
          <w:lang w:val="ro-MD"/>
        </w:rPr>
        <w:t>Nadejda Burciu</w:t>
      </w:r>
      <w:r w:rsidR="00337650" w:rsidRPr="00480B7E">
        <w:rPr>
          <w:rFonts w:asciiTheme="majorHAnsi" w:eastAsia="Times New Roman" w:hAnsiTheme="majorHAnsi" w:cstheme="majorHAnsi"/>
          <w:iCs/>
          <w:sz w:val="24"/>
          <w:szCs w:val="24"/>
          <w:lang w:val="ro-MD" w:eastAsia="ru-RU"/>
        </w:rPr>
        <w:t>,</w:t>
      </w:r>
      <w:r w:rsidR="00455485">
        <w:rPr>
          <w:rFonts w:asciiTheme="majorHAnsi" w:eastAsia="Times New Roman" w:hAnsiTheme="majorHAnsi" w:cstheme="majorHAnsi"/>
          <w:iCs/>
          <w:sz w:val="24"/>
          <w:szCs w:val="24"/>
          <w:lang w:val="ro-MD" w:eastAsia="ru-RU"/>
        </w:rPr>
        <w:t xml:space="preserve"> Secretar</w:t>
      </w:r>
      <w:r w:rsidR="00541D85">
        <w:rPr>
          <w:rFonts w:asciiTheme="majorHAnsi" w:eastAsia="Times New Roman" w:hAnsiTheme="majorHAnsi" w:cstheme="majorHAnsi"/>
          <w:iCs/>
          <w:sz w:val="24"/>
          <w:szCs w:val="24"/>
          <w:lang w:val="ro-MD" w:eastAsia="ru-RU"/>
        </w:rPr>
        <w:t>ă</w:t>
      </w:r>
      <w:r w:rsidR="00455485">
        <w:rPr>
          <w:rFonts w:asciiTheme="majorHAnsi" w:eastAsia="Times New Roman" w:hAnsiTheme="majorHAnsi" w:cstheme="majorHAnsi"/>
          <w:iCs/>
          <w:sz w:val="24"/>
          <w:szCs w:val="24"/>
          <w:lang w:val="ro-MD" w:eastAsia="ru-RU"/>
        </w:rPr>
        <w:t xml:space="preserve"> de stat </w:t>
      </w:r>
      <w:r w:rsidR="0043776D">
        <w:rPr>
          <w:rFonts w:asciiTheme="majorHAnsi" w:eastAsia="Times New Roman" w:hAnsiTheme="majorHAnsi" w:cstheme="majorHAnsi"/>
          <w:iCs/>
          <w:sz w:val="24"/>
          <w:szCs w:val="24"/>
          <w:lang w:val="ro-MD" w:eastAsia="ru-RU"/>
        </w:rPr>
        <w:t xml:space="preserve">a </w:t>
      </w:r>
      <w:r w:rsidR="00455485">
        <w:rPr>
          <w:rFonts w:asciiTheme="majorHAnsi" w:hAnsiTheme="majorHAnsi" w:cstheme="majorHAnsi"/>
          <w:sz w:val="24"/>
          <w:szCs w:val="24"/>
          <w:lang w:val="ro-MD"/>
        </w:rPr>
        <w:t>Ministerului</w:t>
      </w:r>
      <w:r w:rsidR="00337650" w:rsidRPr="003144FC">
        <w:rPr>
          <w:rFonts w:asciiTheme="majorHAnsi" w:hAnsiTheme="majorHAnsi" w:cstheme="majorHAnsi"/>
          <w:sz w:val="24"/>
          <w:szCs w:val="24"/>
          <w:lang w:val="ro-MD"/>
        </w:rPr>
        <w:t xml:space="preserve"> Justiției</w:t>
      </w:r>
      <w:r w:rsidR="00337650">
        <w:rPr>
          <w:rFonts w:asciiTheme="majorHAnsi" w:hAnsiTheme="majorHAnsi" w:cstheme="majorHAnsi"/>
          <w:sz w:val="24"/>
          <w:szCs w:val="24"/>
          <w:lang w:val="ro-MD"/>
        </w:rPr>
        <w:t>;</w:t>
      </w:r>
      <w:r w:rsidR="005A728B">
        <w:rPr>
          <w:rFonts w:asciiTheme="majorHAnsi" w:hAnsiTheme="majorHAnsi" w:cstheme="majorHAnsi"/>
          <w:sz w:val="24"/>
          <w:szCs w:val="24"/>
          <w:lang w:val="ro-MD"/>
        </w:rPr>
        <w:t xml:space="preserve"> dnei Cristina Melnic, șefa Direcției elaborare acte normative a Ministerului Justiției;</w:t>
      </w:r>
      <w:r w:rsidR="00337650">
        <w:rPr>
          <w:rFonts w:asciiTheme="majorHAnsi" w:hAnsiTheme="majorHAnsi" w:cstheme="majorHAnsi"/>
          <w:sz w:val="24"/>
          <w:szCs w:val="24"/>
          <w:lang w:val="ro-MD"/>
        </w:rPr>
        <w:t xml:space="preserve"> </w:t>
      </w:r>
      <w:r w:rsidR="00D74C4B">
        <w:rPr>
          <w:rFonts w:asciiTheme="majorHAnsi" w:hAnsiTheme="majorHAnsi" w:cstheme="majorHAnsi"/>
          <w:sz w:val="24"/>
          <w:szCs w:val="24"/>
          <w:lang w:val="ro-MD"/>
        </w:rPr>
        <w:t xml:space="preserve">dnei </w:t>
      </w:r>
      <w:r w:rsidR="00D74C4B" w:rsidRPr="00D74C4B">
        <w:rPr>
          <w:rFonts w:asciiTheme="majorHAnsi" w:hAnsiTheme="majorHAnsi" w:cstheme="majorHAnsi"/>
          <w:sz w:val="24"/>
          <w:szCs w:val="24"/>
          <w:lang w:val="ro-MD"/>
        </w:rPr>
        <w:t>Ș</w:t>
      </w:r>
      <w:r w:rsidR="008A43FF">
        <w:rPr>
          <w:rFonts w:asciiTheme="majorHAnsi" w:hAnsiTheme="majorHAnsi" w:cstheme="majorHAnsi"/>
          <w:sz w:val="24"/>
          <w:szCs w:val="24"/>
          <w:lang w:val="ro-MD"/>
        </w:rPr>
        <w:t>tefănița-Victoria Rotaru</w:t>
      </w:r>
      <w:r w:rsidR="00D74C4B">
        <w:rPr>
          <w:rFonts w:asciiTheme="majorHAnsi" w:hAnsiTheme="majorHAnsi" w:cstheme="majorHAnsi"/>
          <w:sz w:val="24"/>
          <w:szCs w:val="24"/>
          <w:lang w:val="ro-MD"/>
        </w:rPr>
        <w:t>, consultant</w:t>
      </w:r>
      <w:r w:rsidR="00541D85">
        <w:rPr>
          <w:rFonts w:asciiTheme="majorHAnsi" w:hAnsiTheme="majorHAnsi" w:cstheme="majorHAnsi"/>
          <w:sz w:val="24"/>
          <w:szCs w:val="24"/>
          <w:lang w:val="ro-MD"/>
        </w:rPr>
        <w:t>ă</w:t>
      </w:r>
      <w:r w:rsidR="00D74C4B" w:rsidRPr="00D74C4B">
        <w:rPr>
          <w:rFonts w:asciiTheme="majorHAnsi" w:hAnsiTheme="majorHAnsi" w:cstheme="majorHAnsi"/>
          <w:sz w:val="24"/>
          <w:szCs w:val="24"/>
          <w:lang w:val="ro-MD"/>
        </w:rPr>
        <w:t xml:space="preserve"> principal</w:t>
      </w:r>
      <w:r w:rsidR="00541D85">
        <w:rPr>
          <w:rFonts w:asciiTheme="majorHAnsi" w:hAnsiTheme="majorHAnsi" w:cstheme="majorHAnsi"/>
          <w:sz w:val="24"/>
          <w:szCs w:val="24"/>
          <w:lang w:val="ro-MD"/>
        </w:rPr>
        <w:t>ă</w:t>
      </w:r>
      <w:r w:rsidR="00D74C4B" w:rsidRPr="00D74C4B">
        <w:rPr>
          <w:rFonts w:asciiTheme="majorHAnsi" w:hAnsiTheme="majorHAnsi" w:cstheme="majorHAnsi"/>
          <w:sz w:val="24"/>
          <w:szCs w:val="24"/>
          <w:lang w:val="ro-MD"/>
        </w:rPr>
        <w:t xml:space="preserve"> </w:t>
      </w:r>
      <w:r w:rsidR="00541D85">
        <w:rPr>
          <w:rFonts w:asciiTheme="majorHAnsi" w:hAnsiTheme="majorHAnsi" w:cstheme="majorHAnsi"/>
          <w:sz w:val="24"/>
          <w:szCs w:val="24"/>
          <w:lang w:val="ro-MD"/>
        </w:rPr>
        <w:t>î</w:t>
      </w:r>
      <w:r w:rsidR="00D74C4B" w:rsidRPr="00D74C4B">
        <w:rPr>
          <w:rFonts w:asciiTheme="majorHAnsi" w:hAnsiTheme="majorHAnsi" w:cstheme="majorHAnsi"/>
          <w:sz w:val="24"/>
          <w:szCs w:val="24"/>
          <w:lang w:val="ro-MD"/>
        </w:rPr>
        <w:t>n cadrul Direcție</w:t>
      </w:r>
      <w:r w:rsidR="00D74C4B">
        <w:rPr>
          <w:rFonts w:asciiTheme="majorHAnsi" w:hAnsiTheme="majorHAnsi" w:cstheme="majorHAnsi"/>
          <w:sz w:val="24"/>
          <w:szCs w:val="24"/>
          <w:lang w:val="ro-MD"/>
        </w:rPr>
        <w:t xml:space="preserve">i politici bugetare sectoriale a Ministerului </w:t>
      </w:r>
      <w:r w:rsidR="00D74C4B" w:rsidRPr="00D74C4B">
        <w:rPr>
          <w:rFonts w:asciiTheme="majorHAnsi" w:hAnsiTheme="majorHAnsi" w:cstheme="majorHAnsi"/>
          <w:sz w:val="24"/>
          <w:szCs w:val="24"/>
          <w:lang w:val="ro-MD"/>
        </w:rPr>
        <w:t>F</w:t>
      </w:r>
      <w:r w:rsidR="00D74C4B">
        <w:rPr>
          <w:rFonts w:asciiTheme="majorHAnsi" w:hAnsiTheme="majorHAnsi" w:cstheme="majorHAnsi"/>
          <w:sz w:val="24"/>
          <w:szCs w:val="24"/>
          <w:lang w:val="ro-MD"/>
        </w:rPr>
        <w:t xml:space="preserve">inanțelor; </w:t>
      </w:r>
      <w:r w:rsidR="00337650">
        <w:rPr>
          <w:rFonts w:asciiTheme="majorHAnsi" w:hAnsiTheme="majorHAnsi" w:cstheme="majorHAnsi"/>
          <w:sz w:val="24"/>
          <w:szCs w:val="24"/>
          <w:lang w:val="ro-MD"/>
        </w:rPr>
        <w:t xml:space="preserve">dlui Victor Zaharia, președinte al Consiliului Național de Asistență Juridică </w:t>
      </w:r>
      <w:r w:rsidR="009D6838">
        <w:rPr>
          <w:rFonts w:asciiTheme="majorHAnsi" w:hAnsiTheme="majorHAnsi" w:cstheme="majorHAnsi"/>
          <w:sz w:val="24"/>
          <w:szCs w:val="24"/>
          <w:lang w:val="ro-MD"/>
        </w:rPr>
        <w:t xml:space="preserve">Garantată </w:t>
      </w:r>
      <w:r w:rsidR="00337650">
        <w:rPr>
          <w:rFonts w:asciiTheme="majorHAnsi" w:hAnsiTheme="majorHAnsi" w:cstheme="majorHAnsi"/>
          <w:sz w:val="24"/>
          <w:szCs w:val="24"/>
          <w:lang w:val="ro-MD"/>
        </w:rPr>
        <w:t xml:space="preserve">de Stat </w:t>
      </w:r>
      <w:r w:rsidR="00337650" w:rsidRPr="008C4A49">
        <w:rPr>
          <w:rFonts w:asciiTheme="majorHAnsi" w:hAnsiTheme="majorHAnsi" w:cstheme="majorHAnsi"/>
          <w:sz w:val="24"/>
          <w:szCs w:val="24"/>
          <w:lang w:val="ro-MD"/>
        </w:rPr>
        <w:t xml:space="preserve">(în continuare – CNAJGS); </w:t>
      </w:r>
      <w:r w:rsidR="00337650">
        <w:rPr>
          <w:rFonts w:asciiTheme="majorHAnsi" w:hAnsiTheme="majorHAnsi" w:cstheme="majorHAnsi"/>
          <w:sz w:val="24"/>
          <w:szCs w:val="24"/>
          <w:lang w:val="ro-MD"/>
        </w:rPr>
        <w:t xml:space="preserve">dlui </w:t>
      </w:r>
      <w:proofErr w:type="spellStart"/>
      <w:r w:rsidR="00337650">
        <w:rPr>
          <w:rFonts w:asciiTheme="majorHAnsi" w:hAnsiTheme="majorHAnsi" w:cstheme="majorHAnsi"/>
          <w:sz w:val="24"/>
          <w:szCs w:val="24"/>
          <w:lang w:val="ro-MD"/>
        </w:rPr>
        <w:t>Lilian</w:t>
      </w:r>
      <w:proofErr w:type="spellEnd"/>
      <w:r w:rsidR="00337650">
        <w:rPr>
          <w:rFonts w:asciiTheme="majorHAnsi" w:hAnsiTheme="majorHAnsi" w:cstheme="majorHAnsi"/>
          <w:sz w:val="24"/>
          <w:szCs w:val="24"/>
          <w:lang w:val="ro-MD"/>
        </w:rPr>
        <w:t xml:space="preserve"> Darii, director executiv al CNAJGS; dlui </w:t>
      </w:r>
      <w:r w:rsidR="00337650">
        <w:rPr>
          <w:rFonts w:asciiTheme="majorHAnsi" w:eastAsia="Times New Roman" w:hAnsiTheme="majorHAnsi" w:cstheme="majorHAnsi"/>
          <w:iCs/>
          <w:sz w:val="24"/>
          <w:szCs w:val="24"/>
          <w:lang w:val="ro-MD" w:eastAsia="ru-RU"/>
        </w:rPr>
        <w:t xml:space="preserve">Sergiu </w:t>
      </w:r>
      <w:proofErr w:type="spellStart"/>
      <w:r w:rsidR="00337650">
        <w:rPr>
          <w:rFonts w:asciiTheme="majorHAnsi" w:eastAsia="Times New Roman" w:hAnsiTheme="majorHAnsi" w:cstheme="majorHAnsi"/>
          <w:iCs/>
          <w:sz w:val="24"/>
          <w:szCs w:val="24"/>
          <w:lang w:val="ro-MD" w:eastAsia="ru-RU"/>
        </w:rPr>
        <w:t>Chiruța</w:t>
      </w:r>
      <w:proofErr w:type="spellEnd"/>
      <w:r w:rsidR="00337650" w:rsidRPr="00480B7E">
        <w:rPr>
          <w:rFonts w:asciiTheme="majorHAnsi" w:eastAsia="Times New Roman" w:hAnsiTheme="majorHAnsi" w:cstheme="majorHAnsi"/>
          <w:iCs/>
          <w:sz w:val="24"/>
          <w:szCs w:val="24"/>
          <w:lang w:val="ro-MD" w:eastAsia="ru-RU"/>
        </w:rPr>
        <w:t xml:space="preserve">, </w:t>
      </w:r>
      <w:r w:rsidR="00337650">
        <w:rPr>
          <w:rFonts w:asciiTheme="majorHAnsi" w:eastAsia="Times New Roman" w:hAnsiTheme="majorHAnsi" w:cstheme="majorHAnsi"/>
          <w:bCs/>
          <w:iCs/>
          <w:sz w:val="24"/>
          <w:szCs w:val="24"/>
          <w:lang w:val="ro-MD" w:eastAsia="ru-RU"/>
        </w:rPr>
        <w:t>coordonator al OT Chișinău al CNAJGS;</w:t>
      </w:r>
      <w:r w:rsidR="00337650" w:rsidRPr="00480B7E">
        <w:rPr>
          <w:rFonts w:asciiTheme="majorHAnsi" w:eastAsia="Times New Roman" w:hAnsiTheme="majorHAnsi" w:cstheme="majorHAnsi"/>
          <w:bCs/>
          <w:iCs/>
          <w:sz w:val="24"/>
          <w:szCs w:val="24"/>
          <w:lang w:val="ro-MD" w:eastAsia="ru-RU"/>
        </w:rPr>
        <w:t xml:space="preserve"> </w:t>
      </w:r>
      <w:r w:rsidR="00337650">
        <w:rPr>
          <w:rFonts w:asciiTheme="majorHAnsi" w:eastAsia="Times New Roman" w:hAnsiTheme="majorHAnsi" w:cstheme="majorHAnsi"/>
          <w:bCs/>
          <w:iCs/>
          <w:sz w:val="24"/>
          <w:szCs w:val="24"/>
          <w:lang w:val="ro-MD" w:eastAsia="ru-RU"/>
        </w:rPr>
        <w:t xml:space="preserve">dlui Victor </w:t>
      </w:r>
      <w:proofErr w:type="spellStart"/>
      <w:r w:rsidR="00337650">
        <w:rPr>
          <w:rFonts w:asciiTheme="majorHAnsi" w:eastAsia="Times New Roman" w:hAnsiTheme="majorHAnsi" w:cstheme="majorHAnsi"/>
          <w:bCs/>
          <w:iCs/>
          <w:sz w:val="24"/>
          <w:szCs w:val="24"/>
          <w:lang w:val="ro-MD" w:eastAsia="ru-RU"/>
        </w:rPr>
        <w:t>Grijuc</w:t>
      </w:r>
      <w:proofErr w:type="spellEnd"/>
      <w:r w:rsidR="00337650" w:rsidRPr="00351B3D">
        <w:rPr>
          <w:rFonts w:asciiTheme="majorHAnsi" w:eastAsia="Times New Roman" w:hAnsiTheme="majorHAnsi" w:cstheme="majorHAnsi"/>
          <w:iCs/>
          <w:sz w:val="24"/>
          <w:szCs w:val="24"/>
          <w:lang w:val="ro-MD" w:eastAsia="ru-RU"/>
        </w:rPr>
        <w:t>,</w:t>
      </w:r>
      <w:r w:rsidR="00337650">
        <w:rPr>
          <w:rFonts w:asciiTheme="majorHAnsi" w:eastAsia="Times New Roman" w:hAnsiTheme="majorHAnsi" w:cstheme="majorHAnsi"/>
          <w:iCs/>
          <w:sz w:val="24"/>
          <w:szCs w:val="24"/>
          <w:lang w:val="ro-MD" w:eastAsia="ru-RU"/>
        </w:rPr>
        <w:t xml:space="preserve"> </w:t>
      </w:r>
      <w:r w:rsidR="00337650">
        <w:rPr>
          <w:rFonts w:asciiTheme="majorHAnsi" w:eastAsia="Times New Roman" w:hAnsiTheme="majorHAnsi" w:cstheme="majorHAnsi"/>
          <w:bCs/>
          <w:iCs/>
          <w:sz w:val="24"/>
          <w:szCs w:val="24"/>
          <w:lang w:val="ro-MD" w:eastAsia="ru-RU"/>
        </w:rPr>
        <w:t xml:space="preserve">coordonator al OT Bălți al CNAJGS; dnei Svetlana Suruceanu, coordonatoare a OT Cahul al CNAJGS; dlui Vadim </w:t>
      </w:r>
      <w:proofErr w:type="spellStart"/>
      <w:r w:rsidR="00337650">
        <w:rPr>
          <w:rFonts w:asciiTheme="majorHAnsi" w:eastAsia="Times New Roman" w:hAnsiTheme="majorHAnsi" w:cstheme="majorHAnsi"/>
          <w:bCs/>
          <w:iCs/>
          <w:sz w:val="24"/>
          <w:szCs w:val="24"/>
          <w:lang w:val="ro-MD" w:eastAsia="ru-RU"/>
        </w:rPr>
        <w:t>Suhov</w:t>
      </w:r>
      <w:proofErr w:type="spellEnd"/>
      <w:r w:rsidR="00337650">
        <w:rPr>
          <w:rFonts w:asciiTheme="majorHAnsi" w:eastAsia="Times New Roman" w:hAnsiTheme="majorHAnsi" w:cstheme="majorHAnsi"/>
          <w:bCs/>
          <w:iCs/>
          <w:sz w:val="24"/>
          <w:szCs w:val="24"/>
          <w:lang w:val="ro-MD" w:eastAsia="ru-RU"/>
        </w:rPr>
        <w:t>, coordonator al OT Comrat al CNAJGS,</w:t>
      </w:r>
      <w:r w:rsidR="00337650" w:rsidRPr="00351B3D">
        <w:rPr>
          <w:rFonts w:asciiTheme="majorHAnsi" w:eastAsia="Times New Roman" w:hAnsiTheme="majorHAnsi" w:cstheme="majorHAnsi"/>
          <w:iCs/>
          <w:sz w:val="24"/>
          <w:szCs w:val="24"/>
          <w:lang w:val="ro-MD" w:eastAsia="ru-RU"/>
        </w:rPr>
        <w:t xml:space="preserve"> </w:t>
      </w:r>
      <w:r w:rsidR="00337650" w:rsidRPr="00351B3D">
        <w:rPr>
          <w:rFonts w:asciiTheme="majorHAnsi" w:hAnsiTheme="majorHAnsi" w:cstheme="majorHAnsi"/>
          <w:sz w:val="24"/>
          <w:szCs w:val="24"/>
          <w:lang w:val="ro-MD"/>
        </w:rPr>
        <w:t>precum și a altor persoane cu funcții de răspundere, în cadrul ședinței video, căl</w:t>
      </w:r>
      <w:r w:rsidR="00196F2A">
        <w:rPr>
          <w:rFonts w:asciiTheme="majorHAnsi" w:hAnsiTheme="majorHAnsi" w:cstheme="majorHAnsi"/>
          <w:sz w:val="24"/>
          <w:szCs w:val="24"/>
          <w:lang w:val="ro-MD"/>
        </w:rPr>
        <w:t xml:space="preserve">ăuzindu-se de art.3 alin.(1) </w:t>
      </w:r>
      <w:r w:rsidR="00337650" w:rsidRPr="00351B3D">
        <w:rPr>
          <w:rFonts w:asciiTheme="majorHAnsi" w:hAnsiTheme="majorHAnsi" w:cstheme="majorHAnsi"/>
          <w:sz w:val="24"/>
          <w:szCs w:val="24"/>
          <w:lang w:val="ro-MD"/>
        </w:rPr>
        <w:t>art.5 alin.(1) lit.</w:t>
      </w:r>
      <w:r w:rsidR="00337650">
        <w:rPr>
          <w:rFonts w:asciiTheme="majorHAnsi" w:hAnsiTheme="majorHAnsi" w:cstheme="majorHAnsi"/>
          <w:sz w:val="24"/>
          <w:szCs w:val="24"/>
          <w:lang w:val="ro-MD"/>
        </w:rPr>
        <w:t xml:space="preserve"> </w:t>
      </w:r>
      <w:r w:rsidR="00337650" w:rsidRPr="00351B3D">
        <w:rPr>
          <w:rFonts w:asciiTheme="majorHAnsi" w:hAnsiTheme="majorHAnsi" w:cstheme="majorHAnsi"/>
          <w:sz w:val="24"/>
          <w:szCs w:val="24"/>
          <w:lang w:val="ro-MD"/>
        </w:rPr>
        <w:t xml:space="preserve">a) </w:t>
      </w:r>
      <w:r w:rsidR="00196F2A" w:rsidRPr="00196F2A">
        <w:rPr>
          <w:rFonts w:asciiTheme="majorHAnsi" w:hAnsiTheme="majorHAnsi" w:cstheme="majorHAnsi"/>
          <w:sz w:val="24"/>
          <w:szCs w:val="24"/>
          <w:lang w:val="ro-MD"/>
        </w:rPr>
        <w:t>și art.31 alin.(1) lit. b)</w:t>
      </w:r>
      <w:r w:rsidR="00196F2A">
        <w:rPr>
          <w:rFonts w:asciiTheme="majorHAnsi" w:hAnsiTheme="majorHAnsi" w:cstheme="majorHAnsi"/>
          <w:sz w:val="24"/>
          <w:szCs w:val="24"/>
          <w:lang w:val="ro-MD"/>
        </w:rPr>
        <w:t xml:space="preserve"> </w:t>
      </w:r>
      <w:r w:rsidR="00337650" w:rsidRPr="00351B3D">
        <w:rPr>
          <w:rFonts w:asciiTheme="majorHAnsi" w:hAnsiTheme="majorHAnsi" w:cstheme="majorHAnsi"/>
          <w:sz w:val="24"/>
          <w:szCs w:val="24"/>
          <w:lang w:val="ro-MD"/>
        </w:rPr>
        <w:t>din Legea</w:t>
      </w:r>
      <w:r w:rsidR="00337650" w:rsidRPr="00D67210">
        <w:rPr>
          <w:rFonts w:asciiTheme="majorHAnsi" w:hAnsiTheme="majorHAnsi" w:cstheme="majorHAnsi"/>
          <w:sz w:val="24"/>
          <w:szCs w:val="24"/>
          <w:lang w:val="ro-MD"/>
        </w:rPr>
        <w:t xml:space="preserve"> privind organizarea și funcționarea Curții de Conturi</w:t>
      </w:r>
      <w:r w:rsidR="00337650" w:rsidRPr="00D67210">
        <w:rPr>
          <w:rFonts w:asciiTheme="majorHAnsi" w:hAnsiTheme="majorHAnsi" w:cstheme="majorHAnsi"/>
          <w:sz w:val="24"/>
          <w:szCs w:val="24"/>
          <w:shd w:val="clear" w:color="auto" w:fill="FFFFFF" w:themeFill="background1"/>
          <w:lang w:val="ro-MD"/>
        </w:rPr>
        <w:t xml:space="preserve"> a Republicii Moldova</w:t>
      </w:r>
      <w:r w:rsidR="00337650" w:rsidRPr="00D67210">
        <w:rPr>
          <w:rStyle w:val="a8"/>
          <w:rFonts w:asciiTheme="majorHAnsi" w:hAnsiTheme="majorHAnsi" w:cstheme="majorHAnsi"/>
          <w:sz w:val="24"/>
          <w:szCs w:val="24"/>
          <w:shd w:val="clear" w:color="auto" w:fill="FFFFFF" w:themeFill="background1"/>
          <w:lang w:val="ro-MD"/>
        </w:rPr>
        <w:footnoteReference w:id="1"/>
      </w:r>
      <w:r w:rsidR="00337650" w:rsidRPr="00D67210">
        <w:rPr>
          <w:rFonts w:asciiTheme="majorHAnsi" w:hAnsiTheme="majorHAnsi" w:cstheme="majorHAnsi"/>
          <w:sz w:val="24"/>
          <w:szCs w:val="24"/>
          <w:shd w:val="clear" w:color="auto" w:fill="FFFFFF" w:themeFill="background1"/>
          <w:lang w:val="ro-MD"/>
        </w:rPr>
        <w:t>,</w:t>
      </w:r>
      <w:r w:rsidR="00337650" w:rsidRPr="00D67210">
        <w:rPr>
          <w:rFonts w:asciiTheme="majorHAnsi" w:hAnsiTheme="majorHAnsi" w:cstheme="majorHAnsi"/>
          <w:sz w:val="24"/>
          <w:szCs w:val="24"/>
          <w:lang w:val="ro-MD"/>
        </w:rPr>
        <w:t xml:space="preserve"> a examinat Raportul </w:t>
      </w:r>
      <w:r w:rsidR="005E3B95" w:rsidRPr="005E3B95">
        <w:rPr>
          <w:rFonts w:asciiTheme="majorHAnsi" w:hAnsiTheme="majorHAnsi" w:cstheme="majorHAnsi"/>
          <w:sz w:val="24"/>
          <w:szCs w:val="24"/>
          <w:lang w:val="ro-MD"/>
        </w:rPr>
        <w:t>auditului conformității asupra utilizării resurselor financiare publice alocate pentru administrarea sistemului de acordare a asistenței juridice garantate de stat în ani</w:t>
      </w:r>
      <w:r w:rsidR="009D6838">
        <w:rPr>
          <w:rFonts w:asciiTheme="majorHAnsi" w:hAnsiTheme="majorHAnsi" w:cstheme="majorHAnsi"/>
          <w:sz w:val="24"/>
          <w:szCs w:val="24"/>
          <w:lang w:val="ro-MD"/>
        </w:rPr>
        <w:t>i</w:t>
      </w:r>
      <w:r w:rsidR="005E3B95" w:rsidRPr="005E3B95">
        <w:rPr>
          <w:rFonts w:asciiTheme="majorHAnsi" w:hAnsiTheme="majorHAnsi" w:cstheme="majorHAnsi"/>
          <w:sz w:val="24"/>
          <w:szCs w:val="24"/>
          <w:lang w:val="ro-MD"/>
        </w:rPr>
        <w:t xml:space="preserve"> 2020-2022</w:t>
      </w:r>
      <w:r w:rsidR="00337650" w:rsidRPr="00D67210">
        <w:rPr>
          <w:rFonts w:asciiTheme="majorHAnsi" w:hAnsiTheme="majorHAnsi" w:cstheme="majorHAnsi"/>
          <w:sz w:val="24"/>
          <w:szCs w:val="24"/>
          <w:lang w:val="ro-MD"/>
        </w:rPr>
        <w:t>.</w:t>
      </w:r>
    </w:p>
    <w:p w:rsidR="00337650" w:rsidRPr="008A3EDF" w:rsidRDefault="00337650" w:rsidP="00337650">
      <w:pPr>
        <w:shd w:val="clear" w:color="auto" w:fill="FFFFFF"/>
        <w:spacing w:after="0" w:line="276" w:lineRule="auto"/>
        <w:ind w:firstLine="709"/>
        <w:jc w:val="both"/>
        <w:rPr>
          <w:rFonts w:asciiTheme="majorHAnsi" w:eastAsia="Times New Roman" w:hAnsiTheme="majorHAnsi" w:cstheme="majorHAnsi"/>
          <w:sz w:val="24"/>
          <w:szCs w:val="24"/>
          <w:lang w:val="ro-MD"/>
        </w:rPr>
      </w:pPr>
      <w:r w:rsidRPr="00D67210">
        <w:rPr>
          <w:rFonts w:asciiTheme="majorHAnsi" w:eastAsia="Times New Roman" w:hAnsiTheme="majorHAnsi" w:cstheme="majorHAnsi"/>
          <w:sz w:val="24"/>
          <w:szCs w:val="24"/>
          <w:lang w:val="ro-MD"/>
        </w:rPr>
        <w:t>Misiunea de audit public extern a fo</w:t>
      </w:r>
      <w:r w:rsidR="005E3B95">
        <w:rPr>
          <w:rFonts w:asciiTheme="majorHAnsi" w:eastAsia="Times New Roman" w:hAnsiTheme="majorHAnsi" w:cstheme="majorHAnsi"/>
          <w:sz w:val="24"/>
          <w:szCs w:val="24"/>
          <w:lang w:val="ro-MD"/>
        </w:rPr>
        <w:t>st realizată conform Programelor</w:t>
      </w:r>
      <w:r w:rsidRPr="00D67210">
        <w:rPr>
          <w:rFonts w:asciiTheme="majorHAnsi" w:eastAsia="Times New Roman" w:hAnsiTheme="majorHAnsi" w:cstheme="majorHAnsi"/>
          <w:sz w:val="24"/>
          <w:szCs w:val="24"/>
          <w:lang w:val="ro-MD"/>
        </w:rPr>
        <w:t xml:space="preserve"> activității de audit a</w:t>
      </w:r>
      <w:r>
        <w:rPr>
          <w:rFonts w:asciiTheme="majorHAnsi" w:eastAsia="Times New Roman" w:hAnsiTheme="majorHAnsi" w:cstheme="majorHAnsi"/>
          <w:sz w:val="24"/>
          <w:szCs w:val="24"/>
          <w:lang w:val="ro-MD"/>
        </w:rPr>
        <w:t>l</w:t>
      </w:r>
      <w:r w:rsidR="009D6838">
        <w:rPr>
          <w:rFonts w:asciiTheme="majorHAnsi" w:eastAsia="Times New Roman" w:hAnsiTheme="majorHAnsi" w:cstheme="majorHAnsi"/>
          <w:sz w:val="24"/>
          <w:szCs w:val="24"/>
          <w:lang w:val="ro-MD"/>
        </w:rPr>
        <w:t>e</w:t>
      </w:r>
      <w:r w:rsidRPr="00D67210">
        <w:rPr>
          <w:rFonts w:asciiTheme="majorHAnsi" w:eastAsia="Times New Roman" w:hAnsiTheme="majorHAnsi" w:cstheme="majorHAnsi"/>
          <w:sz w:val="24"/>
          <w:szCs w:val="24"/>
          <w:lang w:val="ro-MD"/>
        </w:rPr>
        <w:t xml:space="preserve"> Curții de Conturi pe anul 2022</w:t>
      </w:r>
      <w:r w:rsidRPr="00D67210">
        <w:rPr>
          <w:rFonts w:asciiTheme="majorHAnsi" w:eastAsiaTheme="minorEastAsia" w:hAnsiTheme="majorHAnsi" w:cstheme="majorHAnsi"/>
          <w:sz w:val="24"/>
          <w:szCs w:val="24"/>
          <w:vertAlign w:val="superscript"/>
          <w:lang w:val="ro-MD" w:bidi="en-US"/>
        </w:rPr>
        <w:footnoteReference w:id="2"/>
      </w:r>
      <w:r w:rsidR="00132367">
        <w:rPr>
          <w:rFonts w:asciiTheme="majorHAnsi" w:eastAsia="Times New Roman" w:hAnsiTheme="majorHAnsi" w:cstheme="majorHAnsi"/>
          <w:sz w:val="24"/>
          <w:szCs w:val="24"/>
          <w:lang w:val="ro-MD"/>
        </w:rPr>
        <w:t xml:space="preserve"> și </w:t>
      </w:r>
      <w:r w:rsidR="005505C5">
        <w:rPr>
          <w:rFonts w:asciiTheme="majorHAnsi" w:eastAsia="Times New Roman" w:hAnsiTheme="majorHAnsi" w:cstheme="majorHAnsi"/>
          <w:sz w:val="24"/>
          <w:szCs w:val="24"/>
          <w:lang w:val="ro-MD"/>
        </w:rPr>
        <w:t xml:space="preserve">anul </w:t>
      </w:r>
      <w:r w:rsidR="00132367">
        <w:rPr>
          <w:rFonts w:asciiTheme="majorHAnsi" w:eastAsia="Times New Roman" w:hAnsiTheme="majorHAnsi" w:cstheme="majorHAnsi"/>
          <w:sz w:val="24"/>
          <w:szCs w:val="24"/>
          <w:lang w:val="ro-MD"/>
        </w:rPr>
        <w:t>2023</w:t>
      </w:r>
      <w:r w:rsidR="00132367">
        <w:rPr>
          <w:rStyle w:val="a8"/>
          <w:rFonts w:asciiTheme="majorHAnsi" w:eastAsia="Times New Roman" w:hAnsiTheme="majorHAnsi" w:cstheme="majorHAnsi"/>
          <w:sz w:val="24"/>
          <w:szCs w:val="24"/>
          <w:lang w:val="ro-MD"/>
        </w:rPr>
        <w:footnoteReference w:id="3"/>
      </w:r>
      <w:r w:rsidRPr="00D67210">
        <w:rPr>
          <w:rFonts w:asciiTheme="majorHAnsi" w:hAnsiTheme="majorHAnsi" w:cstheme="majorHAnsi"/>
          <w:sz w:val="24"/>
          <w:szCs w:val="24"/>
          <w:lang w:val="ro-MD"/>
        </w:rPr>
        <w:t xml:space="preserve">, </w:t>
      </w:r>
      <w:r w:rsidRPr="00D67210">
        <w:rPr>
          <w:rFonts w:asciiTheme="majorHAnsi" w:eastAsia="Times New Roman" w:hAnsiTheme="majorHAnsi" w:cstheme="majorHAnsi"/>
          <w:sz w:val="24"/>
          <w:szCs w:val="24"/>
          <w:lang w:val="ro-MD"/>
        </w:rPr>
        <w:t xml:space="preserve">având drept </w:t>
      </w:r>
      <w:r w:rsidRPr="00D67210">
        <w:rPr>
          <w:rFonts w:asciiTheme="majorHAnsi" w:hAnsiTheme="majorHAnsi" w:cstheme="majorHAnsi"/>
          <w:color w:val="000000"/>
          <w:sz w:val="24"/>
          <w:szCs w:val="24"/>
          <w:lang w:val="ro-MD"/>
        </w:rPr>
        <w:t xml:space="preserve">scop </w:t>
      </w:r>
      <w:r w:rsidRPr="00EE535C">
        <w:rPr>
          <w:rFonts w:asciiTheme="majorHAnsi" w:hAnsiTheme="majorHAnsi" w:cstheme="majorHAnsi"/>
          <w:color w:val="000000"/>
          <w:sz w:val="24"/>
          <w:szCs w:val="24"/>
          <w:lang w:val="ro-MD"/>
        </w:rPr>
        <w:t xml:space="preserve">evaluarea conformității gestionării mijloacelor financiare alocate pentru acordarea asistenței </w:t>
      </w:r>
      <w:r w:rsidRPr="00744C09">
        <w:rPr>
          <w:rFonts w:asciiTheme="majorHAnsi" w:hAnsiTheme="majorHAnsi" w:cstheme="majorHAnsi"/>
          <w:color w:val="000000"/>
          <w:sz w:val="24"/>
          <w:szCs w:val="24"/>
          <w:lang w:val="ro-MD"/>
        </w:rPr>
        <w:t>juridice garantate</w:t>
      </w:r>
      <w:r w:rsidRPr="00EE535C">
        <w:rPr>
          <w:rFonts w:asciiTheme="majorHAnsi" w:hAnsiTheme="majorHAnsi" w:cstheme="majorHAnsi"/>
          <w:color w:val="000000"/>
          <w:sz w:val="24"/>
          <w:szCs w:val="24"/>
          <w:lang w:val="ro-MD"/>
        </w:rPr>
        <w:t xml:space="preserve"> de stat în anii 2020-2022, în raport cu prevederile cadrului normativ aplicabil</w:t>
      </w:r>
      <w:r w:rsidRPr="008A3EDF">
        <w:rPr>
          <w:rFonts w:asciiTheme="majorHAnsi" w:hAnsiTheme="majorHAnsi" w:cstheme="majorHAnsi"/>
          <w:color w:val="000000"/>
          <w:sz w:val="24"/>
          <w:szCs w:val="24"/>
          <w:lang w:val="ro-MD"/>
        </w:rPr>
        <w:t>.</w:t>
      </w:r>
    </w:p>
    <w:p w:rsidR="00337650" w:rsidRPr="008A3EDF" w:rsidRDefault="00337650" w:rsidP="00337650">
      <w:pPr>
        <w:spacing w:after="0" w:line="276" w:lineRule="auto"/>
        <w:ind w:firstLine="709"/>
        <w:jc w:val="both"/>
        <w:rPr>
          <w:rFonts w:asciiTheme="majorHAnsi" w:eastAsia="Times New Roman" w:hAnsiTheme="majorHAnsi" w:cstheme="majorHAnsi"/>
          <w:sz w:val="24"/>
          <w:szCs w:val="24"/>
          <w:lang w:val="ro-MD"/>
        </w:rPr>
      </w:pPr>
      <w:r w:rsidRPr="008A3EDF">
        <w:rPr>
          <w:rFonts w:asciiTheme="majorHAnsi" w:eastAsia="Times New Roman" w:hAnsiTheme="majorHAnsi" w:cstheme="majorHAnsi"/>
          <w:sz w:val="24"/>
          <w:szCs w:val="24"/>
          <w:lang w:val="ro-MD"/>
        </w:rPr>
        <w:t>Auditul public extern s-a desfășurat în conformitate cu Standardele Internaționale ale Instituțiilor Supreme de Audit, puse în aplicare de Curtea de Conturi, în special ISSAI 100, ISSAI 400 și ISSAI 4000</w:t>
      </w:r>
      <w:r w:rsidRPr="008A3EDF">
        <w:rPr>
          <w:rStyle w:val="a8"/>
          <w:rFonts w:asciiTheme="majorHAnsi" w:eastAsia="Times New Roman" w:hAnsiTheme="majorHAnsi" w:cstheme="majorHAnsi"/>
          <w:sz w:val="24"/>
          <w:szCs w:val="24"/>
          <w:lang w:val="ro-MD"/>
        </w:rPr>
        <w:footnoteReference w:id="4"/>
      </w:r>
      <w:r w:rsidRPr="008A3EDF">
        <w:rPr>
          <w:rFonts w:asciiTheme="majorHAnsi" w:eastAsia="Times New Roman" w:hAnsiTheme="majorHAnsi" w:cstheme="majorHAnsi"/>
          <w:sz w:val="24"/>
          <w:szCs w:val="24"/>
          <w:lang w:val="ro-MD"/>
        </w:rPr>
        <w:t xml:space="preserve">. </w:t>
      </w:r>
    </w:p>
    <w:p w:rsidR="00337650" w:rsidRPr="008A3EDF" w:rsidRDefault="00337650" w:rsidP="00337650">
      <w:pPr>
        <w:spacing w:after="0" w:line="276" w:lineRule="auto"/>
        <w:ind w:firstLine="709"/>
        <w:jc w:val="both"/>
        <w:rPr>
          <w:rFonts w:asciiTheme="majorHAnsi" w:eastAsia="Times New Roman" w:hAnsiTheme="majorHAnsi" w:cstheme="majorHAnsi"/>
          <w:sz w:val="24"/>
          <w:szCs w:val="24"/>
          <w:lang w:val="ro-MD"/>
        </w:rPr>
      </w:pPr>
      <w:r w:rsidRPr="008A3EDF">
        <w:rPr>
          <w:rFonts w:asciiTheme="majorHAnsi" w:eastAsia="Times New Roman" w:hAnsiTheme="majorHAnsi" w:cstheme="majorHAnsi"/>
          <w:sz w:val="24"/>
          <w:szCs w:val="24"/>
          <w:lang w:val="ro-MD"/>
        </w:rPr>
        <w:t xml:space="preserve">Examinând Raportul de audit, Curtea de Conturi </w:t>
      </w:r>
    </w:p>
    <w:p w:rsidR="00337650" w:rsidRPr="008A3EDF" w:rsidRDefault="00337650" w:rsidP="00337650">
      <w:pPr>
        <w:spacing w:after="0" w:line="276" w:lineRule="auto"/>
        <w:ind w:firstLine="709"/>
        <w:jc w:val="both"/>
        <w:rPr>
          <w:rFonts w:asciiTheme="majorHAnsi" w:eastAsia="Times New Roman" w:hAnsiTheme="majorHAnsi" w:cstheme="majorHAnsi"/>
          <w:sz w:val="24"/>
          <w:szCs w:val="24"/>
          <w:lang w:val="ro-MD"/>
        </w:rPr>
      </w:pPr>
    </w:p>
    <w:p w:rsidR="00337650" w:rsidRPr="008A3EDF" w:rsidRDefault="00337650" w:rsidP="00337650">
      <w:pPr>
        <w:tabs>
          <w:tab w:val="left" w:pos="5310"/>
        </w:tabs>
        <w:spacing w:after="120" w:line="276" w:lineRule="auto"/>
        <w:jc w:val="center"/>
        <w:rPr>
          <w:rFonts w:asciiTheme="majorHAnsi" w:eastAsia="Times New Roman" w:hAnsiTheme="majorHAnsi" w:cstheme="majorHAnsi"/>
          <w:b/>
          <w:bCs/>
          <w:sz w:val="24"/>
          <w:szCs w:val="24"/>
          <w:lang w:val="ro-MD"/>
        </w:rPr>
      </w:pPr>
      <w:r w:rsidRPr="008A3EDF">
        <w:rPr>
          <w:rFonts w:asciiTheme="majorHAnsi" w:eastAsia="Times New Roman" w:hAnsiTheme="majorHAnsi" w:cstheme="majorHAnsi"/>
          <w:b/>
          <w:bCs/>
          <w:sz w:val="24"/>
          <w:szCs w:val="24"/>
          <w:lang w:val="ro-MD"/>
        </w:rPr>
        <w:t>A CONSTATAT:</w:t>
      </w:r>
    </w:p>
    <w:p w:rsidR="00337650" w:rsidRPr="005E38CE" w:rsidRDefault="00337650" w:rsidP="00337650">
      <w:pPr>
        <w:spacing w:after="120" w:line="276" w:lineRule="auto"/>
        <w:ind w:firstLine="706"/>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în pofida faptului că în administrarea sistemului de asistență juridică garantată de stat </w:t>
      </w:r>
      <w:r w:rsidRPr="005536D4">
        <w:rPr>
          <w:rFonts w:asciiTheme="majorHAnsi" w:hAnsiTheme="majorHAnsi" w:cstheme="majorHAnsi"/>
          <w:sz w:val="24"/>
          <w:szCs w:val="24"/>
          <w:lang w:val="ro-MD"/>
        </w:rPr>
        <w:t>entitățile responsabile</w:t>
      </w:r>
      <w:r>
        <w:rPr>
          <w:rFonts w:asciiTheme="majorHAnsi" w:hAnsiTheme="majorHAnsi" w:cstheme="majorHAnsi"/>
          <w:sz w:val="24"/>
          <w:szCs w:val="24"/>
          <w:lang w:val="ro-MD"/>
        </w:rPr>
        <w:t xml:space="preserve">, în mare parte, au asigurat conformitatea procesului de valorificare a resurselor alocate în aceste scopuri, totuși se conchide că sistemul este influențat de un șir de viduri și </w:t>
      </w:r>
      <w:r>
        <w:rPr>
          <w:rFonts w:asciiTheme="majorHAnsi" w:hAnsiTheme="majorHAnsi" w:cstheme="majorHAnsi"/>
          <w:sz w:val="24"/>
          <w:szCs w:val="24"/>
          <w:lang w:val="ro-MD"/>
        </w:rPr>
        <w:lastRenderedPageBreak/>
        <w:t xml:space="preserve">neconcordanțe legislative, carențe și neconformități atât în direcționarea asistenței juridice garantate de stat beneficiarilor eligibili, </w:t>
      </w:r>
      <w:r w:rsidR="00B21D0D">
        <w:rPr>
          <w:rFonts w:asciiTheme="majorHAnsi" w:hAnsiTheme="majorHAnsi" w:cstheme="majorHAnsi"/>
          <w:sz w:val="24"/>
          <w:szCs w:val="24"/>
          <w:lang w:val="ro-MD"/>
        </w:rPr>
        <w:t>cât</w:t>
      </w:r>
      <w:r>
        <w:rPr>
          <w:rFonts w:asciiTheme="majorHAnsi" w:hAnsiTheme="majorHAnsi" w:cstheme="majorHAnsi"/>
          <w:sz w:val="24"/>
          <w:szCs w:val="24"/>
          <w:lang w:val="ro-MD"/>
        </w:rPr>
        <w:t xml:space="preserve"> și în remunerarea avocaților contractați de stat. </w:t>
      </w:r>
      <w:r w:rsidRPr="005E38CE">
        <w:rPr>
          <w:rFonts w:asciiTheme="majorHAnsi" w:hAnsiTheme="majorHAnsi" w:cstheme="majorHAnsi"/>
          <w:sz w:val="24"/>
          <w:szCs w:val="24"/>
          <w:lang w:val="ro-MD"/>
        </w:rPr>
        <w:t xml:space="preserve">Cele menționate se bazează pe următoarele observații de audit: </w:t>
      </w:r>
    </w:p>
    <w:p w:rsidR="00337650" w:rsidRPr="005E38CE" w:rsidRDefault="00337650" w:rsidP="00337650">
      <w:pPr>
        <w:pStyle w:val="ad"/>
        <w:numPr>
          <w:ilvl w:val="0"/>
          <w:numId w:val="3"/>
        </w:numPr>
        <w:shd w:val="clear" w:color="auto" w:fill="FFFFFF"/>
        <w:spacing w:after="120" w:line="276" w:lineRule="auto"/>
        <w:ind w:left="360" w:firstLine="0"/>
        <w:contextualSpacing w:val="0"/>
        <w:jc w:val="both"/>
        <w:rPr>
          <w:rFonts w:asciiTheme="majorHAnsi" w:hAnsiTheme="majorHAnsi" w:cstheme="majorHAnsi"/>
          <w:sz w:val="24"/>
          <w:szCs w:val="24"/>
          <w:lang w:val="ro-MD"/>
        </w:rPr>
      </w:pPr>
      <w:r w:rsidRPr="005E38CE">
        <w:rPr>
          <w:rFonts w:asciiTheme="majorHAnsi" w:hAnsiTheme="majorHAnsi" w:cstheme="majorHAnsi"/>
          <w:sz w:val="24"/>
          <w:szCs w:val="24"/>
          <w:lang w:val="ro-MD"/>
        </w:rPr>
        <w:t xml:space="preserve">autoritățile statului nu s-au preocupat </w:t>
      </w:r>
      <w:r w:rsidR="005E0088">
        <w:rPr>
          <w:rFonts w:asciiTheme="majorHAnsi" w:hAnsiTheme="majorHAnsi" w:cstheme="majorHAnsi"/>
          <w:sz w:val="24"/>
          <w:szCs w:val="24"/>
          <w:lang w:val="ro-MD"/>
        </w:rPr>
        <w:t>suficient</w:t>
      </w:r>
      <w:r w:rsidRPr="005E38CE">
        <w:rPr>
          <w:rFonts w:asciiTheme="majorHAnsi" w:hAnsiTheme="majorHAnsi" w:cstheme="majorHAnsi"/>
          <w:sz w:val="24"/>
          <w:szCs w:val="24"/>
          <w:lang w:val="ro-MD"/>
        </w:rPr>
        <w:t xml:space="preserve"> de îmbunătățirea și modernizarea cadrului normativ aferent administrării sistemului de asistență juridică garantată de stat, </w:t>
      </w:r>
      <w:r>
        <w:rPr>
          <w:rFonts w:asciiTheme="majorHAnsi" w:hAnsiTheme="majorHAnsi" w:cstheme="majorHAnsi"/>
          <w:sz w:val="24"/>
          <w:szCs w:val="24"/>
          <w:lang w:val="ro-MD"/>
        </w:rPr>
        <w:t>astfel nefiind</w:t>
      </w:r>
      <w:r w:rsidRPr="005E38CE">
        <w:rPr>
          <w:rFonts w:asciiTheme="majorHAnsi" w:hAnsiTheme="majorHAnsi" w:cstheme="majorHAnsi"/>
          <w:sz w:val="24"/>
          <w:szCs w:val="24"/>
          <w:lang w:val="ro-MD"/>
        </w:rPr>
        <w:t xml:space="preserve"> realizate obiectivele și acțiunile prestabilite, activitățile </w:t>
      </w:r>
      <w:r>
        <w:rPr>
          <w:rFonts w:asciiTheme="majorHAnsi" w:hAnsiTheme="majorHAnsi" w:cstheme="majorHAnsi"/>
          <w:sz w:val="24"/>
          <w:szCs w:val="24"/>
          <w:lang w:val="ro-MD"/>
        </w:rPr>
        <w:t>de promovare</w:t>
      </w:r>
      <w:r w:rsidRPr="005E38CE">
        <w:rPr>
          <w:rFonts w:asciiTheme="majorHAnsi" w:hAnsiTheme="majorHAnsi" w:cstheme="majorHAnsi"/>
          <w:sz w:val="24"/>
          <w:szCs w:val="24"/>
          <w:lang w:val="ro-MD"/>
        </w:rPr>
        <w:t xml:space="preserve"> revigorându-se în</w:t>
      </w:r>
      <w:r>
        <w:rPr>
          <w:rFonts w:asciiTheme="majorHAnsi" w:hAnsiTheme="majorHAnsi" w:cstheme="majorHAnsi"/>
          <w:sz w:val="24"/>
          <w:szCs w:val="24"/>
          <w:lang w:val="ro-MD"/>
        </w:rPr>
        <w:t xml:space="preserve"> </w:t>
      </w:r>
      <w:r w:rsidR="00704419">
        <w:rPr>
          <w:rFonts w:asciiTheme="majorHAnsi" w:hAnsiTheme="majorHAnsi" w:cstheme="majorHAnsi"/>
          <w:sz w:val="24"/>
          <w:szCs w:val="24"/>
          <w:lang w:val="ro-MD"/>
        </w:rPr>
        <w:t>anul</w:t>
      </w:r>
      <w:r>
        <w:rPr>
          <w:rFonts w:asciiTheme="majorHAnsi" w:hAnsiTheme="majorHAnsi" w:cstheme="majorHAnsi"/>
          <w:sz w:val="24"/>
          <w:szCs w:val="24"/>
          <w:lang w:val="ro-MD"/>
        </w:rPr>
        <w:t xml:space="preserve"> 2022;</w:t>
      </w:r>
    </w:p>
    <w:p w:rsidR="00337650" w:rsidRPr="005505C5" w:rsidRDefault="00337650" w:rsidP="005C13CC">
      <w:pPr>
        <w:pStyle w:val="ad"/>
        <w:numPr>
          <w:ilvl w:val="0"/>
          <w:numId w:val="3"/>
        </w:numPr>
        <w:shd w:val="clear" w:color="auto" w:fill="FFFFFF"/>
        <w:spacing w:after="120" w:line="276" w:lineRule="auto"/>
        <w:ind w:left="360" w:firstLine="0"/>
        <w:contextualSpacing w:val="0"/>
        <w:jc w:val="both"/>
        <w:rPr>
          <w:rFonts w:asciiTheme="majorHAnsi" w:hAnsiTheme="majorHAnsi" w:cstheme="majorHAnsi"/>
          <w:sz w:val="24"/>
          <w:szCs w:val="24"/>
          <w:lang w:val="ro-MD"/>
        </w:rPr>
      </w:pPr>
      <w:r w:rsidRPr="005505C5">
        <w:rPr>
          <w:rFonts w:asciiTheme="majorHAnsi" w:hAnsiTheme="majorHAnsi" w:cstheme="majorHAnsi"/>
          <w:sz w:val="24"/>
          <w:szCs w:val="24"/>
          <w:lang w:val="ro-MD"/>
        </w:rPr>
        <w:t xml:space="preserve">diversitatea și complexitatea actelor normative de reglementare a sistemului </w:t>
      </w:r>
      <w:r w:rsidR="005C13CC">
        <w:rPr>
          <w:rFonts w:asciiTheme="majorHAnsi" w:hAnsiTheme="majorHAnsi" w:cstheme="majorHAnsi"/>
          <w:sz w:val="24"/>
          <w:szCs w:val="24"/>
          <w:lang w:val="ro-MD"/>
        </w:rPr>
        <w:t>auditat</w:t>
      </w:r>
      <w:r w:rsidRPr="005505C5">
        <w:rPr>
          <w:rFonts w:asciiTheme="majorHAnsi" w:hAnsiTheme="majorHAnsi" w:cstheme="majorHAnsi"/>
          <w:sz w:val="24"/>
          <w:szCs w:val="24"/>
          <w:lang w:val="ro-MD"/>
        </w:rPr>
        <w:t>, care pe alocuri conțin viduri legislative, iar în alte cazuri fac obiectul unor interpretări ambigue, creează premise pentru solicitarea în exces a AJGS</w:t>
      </w:r>
      <w:r w:rsidR="005505C5">
        <w:rPr>
          <w:rFonts w:asciiTheme="majorHAnsi" w:hAnsiTheme="majorHAnsi" w:cstheme="majorHAnsi"/>
          <w:sz w:val="24"/>
          <w:szCs w:val="24"/>
          <w:lang w:val="ro-MD"/>
        </w:rPr>
        <w:t xml:space="preserve">. Astfel, pentru a </w:t>
      </w:r>
      <w:r w:rsidR="00AC7D68">
        <w:rPr>
          <w:rFonts w:asciiTheme="majorHAnsi" w:hAnsiTheme="majorHAnsi" w:cstheme="majorHAnsi"/>
          <w:sz w:val="24"/>
          <w:szCs w:val="24"/>
          <w:lang w:val="ro-MD"/>
        </w:rPr>
        <w:t xml:space="preserve">beneficia de servicii juridice gratuite </w:t>
      </w:r>
      <w:r w:rsidR="005505C5">
        <w:rPr>
          <w:rFonts w:asciiTheme="majorHAnsi" w:hAnsiTheme="majorHAnsi" w:cstheme="majorHAnsi"/>
          <w:sz w:val="24"/>
          <w:szCs w:val="24"/>
          <w:lang w:val="ro-MD"/>
        </w:rPr>
        <w:t xml:space="preserve">în </w:t>
      </w:r>
      <w:r w:rsidR="005C13CC">
        <w:rPr>
          <w:rFonts w:asciiTheme="majorHAnsi" w:hAnsiTheme="majorHAnsi" w:cstheme="majorHAnsi"/>
          <w:sz w:val="24"/>
          <w:szCs w:val="24"/>
          <w:lang w:val="ro-MD"/>
        </w:rPr>
        <w:t>urma</w:t>
      </w:r>
      <w:r w:rsidR="005505C5">
        <w:rPr>
          <w:rFonts w:asciiTheme="majorHAnsi" w:hAnsiTheme="majorHAnsi" w:cstheme="majorHAnsi"/>
          <w:sz w:val="24"/>
          <w:szCs w:val="24"/>
          <w:lang w:val="ro-MD"/>
        </w:rPr>
        <w:t xml:space="preserve"> </w:t>
      </w:r>
      <w:r w:rsidR="00AC7D68">
        <w:rPr>
          <w:rFonts w:asciiTheme="majorHAnsi" w:hAnsiTheme="majorHAnsi" w:cstheme="majorHAnsi"/>
          <w:sz w:val="24"/>
          <w:szCs w:val="24"/>
          <w:lang w:val="ro-MD"/>
        </w:rPr>
        <w:t xml:space="preserve">săvârșirii de către beneficiari a unor </w:t>
      </w:r>
      <w:r w:rsidR="005505C5" w:rsidRPr="005505C5">
        <w:rPr>
          <w:rFonts w:asciiTheme="majorHAnsi" w:hAnsiTheme="majorHAnsi" w:cstheme="majorHAnsi"/>
          <w:sz w:val="24"/>
          <w:szCs w:val="24"/>
          <w:lang w:val="ro-MD"/>
        </w:rPr>
        <w:t>infracțiuni „</w:t>
      </w:r>
      <w:r w:rsidR="00AC7D68">
        <w:rPr>
          <w:rFonts w:asciiTheme="majorHAnsi" w:hAnsiTheme="majorHAnsi" w:cstheme="majorHAnsi"/>
          <w:sz w:val="24"/>
          <w:szCs w:val="24"/>
          <w:lang w:val="ro-MD"/>
        </w:rPr>
        <w:t xml:space="preserve">ușoare” sau mai </w:t>
      </w:r>
      <w:r w:rsidR="009D6838">
        <w:rPr>
          <w:rFonts w:asciiTheme="majorHAnsi" w:hAnsiTheme="majorHAnsi" w:cstheme="majorHAnsi"/>
          <w:sz w:val="24"/>
          <w:szCs w:val="24"/>
          <w:lang w:val="ro-MD"/>
        </w:rPr>
        <w:t>„</w:t>
      </w:r>
      <w:r w:rsidR="00AC7D68">
        <w:rPr>
          <w:rFonts w:asciiTheme="majorHAnsi" w:hAnsiTheme="majorHAnsi" w:cstheme="majorHAnsi"/>
          <w:sz w:val="24"/>
          <w:szCs w:val="24"/>
          <w:lang w:val="ro-MD"/>
        </w:rPr>
        <w:t xml:space="preserve">puțin grave”, cazuri care nu se încadrează în condiționalitatea beneficierii de AJGS, </w:t>
      </w:r>
      <w:r w:rsidR="00EC0EDB">
        <w:rPr>
          <w:rFonts w:asciiTheme="majorHAnsi" w:hAnsiTheme="majorHAnsi" w:cstheme="majorHAnsi"/>
          <w:sz w:val="24"/>
          <w:szCs w:val="24"/>
          <w:lang w:val="ro-MD"/>
        </w:rPr>
        <w:t xml:space="preserve">organele de </w:t>
      </w:r>
      <w:r w:rsidR="009D6838">
        <w:rPr>
          <w:rFonts w:asciiTheme="majorHAnsi" w:hAnsiTheme="majorHAnsi" w:cstheme="majorHAnsi"/>
          <w:sz w:val="24"/>
          <w:szCs w:val="24"/>
          <w:lang w:val="ro-MD"/>
        </w:rPr>
        <w:t>d</w:t>
      </w:r>
      <w:r w:rsidR="00EC0EDB">
        <w:rPr>
          <w:rFonts w:asciiTheme="majorHAnsi" w:hAnsiTheme="majorHAnsi" w:cstheme="majorHAnsi"/>
          <w:sz w:val="24"/>
          <w:szCs w:val="24"/>
          <w:lang w:val="ro-MD"/>
        </w:rPr>
        <w:t>rept</w:t>
      </w:r>
      <w:r w:rsidR="00AC7D68">
        <w:rPr>
          <w:rFonts w:asciiTheme="majorHAnsi" w:hAnsiTheme="majorHAnsi" w:cstheme="majorHAnsi"/>
          <w:sz w:val="24"/>
          <w:szCs w:val="24"/>
          <w:lang w:val="ro-MD"/>
        </w:rPr>
        <w:t xml:space="preserve"> au invocat </w:t>
      </w:r>
      <w:r w:rsidR="005C13CC">
        <w:rPr>
          <w:rFonts w:asciiTheme="majorHAnsi" w:hAnsiTheme="majorHAnsi" w:cstheme="majorHAnsi"/>
          <w:sz w:val="24"/>
          <w:szCs w:val="24"/>
          <w:lang w:val="ro-MD"/>
        </w:rPr>
        <w:t xml:space="preserve">ca temei </w:t>
      </w:r>
      <w:r w:rsidR="00D84947">
        <w:rPr>
          <w:rFonts w:asciiTheme="majorHAnsi" w:hAnsiTheme="majorHAnsi" w:cstheme="majorHAnsi"/>
          <w:sz w:val="24"/>
          <w:szCs w:val="24"/>
          <w:lang w:val="ro-MD"/>
        </w:rPr>
        <w:t xml:space="preserve">faptul </w:t>
      </w:r>
      <w:r w:rsidR="00AC7D68">
        <w:rPr>
          <w:rFonts w:asciiTheme="majorHAnsi" w:hAnsiTheme="majorHAnsi" w:cstheme="majorHAnsi"/>
          <w:sz w:val="24"/>
          <w:szCs w:val="24"/>
          <w:lang w:val="ro-MD"/>
        </w:rPr>
        <w:t xml:space="preserve">că </w:t>
      </w:r>
      <w:r w:rsidR="005505C5" w:rsidRPr="005505C5">
        <w:rPr>
          <w:rFonts w:asciiTheme="majorHAnsi" w:hAnsiTheme="majorHAnsi" w:cstheme="majorHAnsi"/>
          <w:sz w:val="24"/>
          <w:szCs w:val="24"/>
          <w:lang w:val="ro-MD"/>
        </w:rPr>
        <w:t>bănuitul, învinuitul, inculpatul nu posedă sau posedă în măsură insuficientă limba în care se desfășoară procesul penal.</w:t>
      </w:r>
      <w:r w:rsidR="005C13CC">
        <w:rPr>
          <w:rFonts w:asciiTheme="majorHAnsi" w:hAnsiTheme="majorHAnsi" w:cstheme="majorHAnsi"/>
          <w:sz w:val="24"/>
          <w:szCs w:val="24"/>
          <w:lang w:val="ro-MD"/>
        </w:rPr>
        <w:t xml:space="preserve"> În aceste condiții incerte</w:t>
      </w:r>
      <w:r w:rsidR="009D6838">
        <w:rPr>
          <w:rFonts w:asciiTheme="majorHAnsi" w:hAnsiTheme="majorHAnsi" w:cstheme="majorHAnsi"/>
          <w:sz w:val="24"/>
          <w:szCs w:val="24"/>
          <w:lang w:val="ro-MD"/>
        </w:rPr>
        <w:t>,</w:t>
      </w:r>
      <w:r w:rsidR="005C13CC">
        <w:rPr>
          <w:rFonts w:asciiTheme="majorHAnsi" w:hAnsiTheme="majorHAnsi" w:cstheme="majorHAnsi"/>
          <w:sz w:val="24"/>
          <w:szCs w:val="24"/>
          <w:lang w:val="ro-MD"/>
        </w:rPr>
        <w:t xml:space="preserve"> din contul bugetului de stat au fost</w:t>
      </w:r>
      <w:r w:rsidR="00D50CCF">
        <w:rPr>
          <w:rFonts w:asciiTheme="majorHAnsi" w:hAnsiTheme="majorHAnsi" w:cstheme="majorHAnsi"/>
          <w:sz w:val="24"/>
          <w:szCs w:val="24"/>
          <w:lang w:val="ro-MD"/>
        </w:rPr>
        <w:t xml:space="preserve"> suportate</w:t>
      </w:r>
      <w:r w:rsidRPr="005505C5">
        <w:rPr>
          <w:rFonts w:asciiTheme="majorHAnsi" w:hAnsiTheme="majorHAnsi" w:cstheme="majorHAnsi"/>
          <w:sz w:val="24"/>
          <w:szCs w:val="24"/>
          <w:lang w:val="ro-MD"/>
        </w:rPr>
        <w:t xml:space="preserve"> cheltuieli </w:t>
      </w:r>
      <w:r w:rsidR="00D50CCF">
        <w:rPr>
          <w:rFonts w:asciiTheme="majorHAnsi" w:hAnsiTheme="majorHAnsi" w:cstheme="majorHAnsi"/>
          <w:sz w:val="24"/>
          <w:szCs w:val="24"/>
          <w:lang w:val="ro-MD"/>
        </w:rPr>
        <w:t xml:space="preserve">publice </w:t>
      </w:r>
      <w:r w:rsidR="00DB50D9">
        <w:rPr>
          <w:rFonts w:asciiTheme="majorHAnsi" w:hAnsiTheme="majorHAnsi" w:cstheme="majorHAnsi"/>
          <w:sz w:val="24"/>
          <w:szCs w:val="24"/>
          <w:lang w:val="ro-MD"/>
        </w:rPr>
        <w:t xml:space="preserve">în </w:t>
      </w:r>
      <w:r w:rsidRPr="005505C5">
        <w:rPr>
          <w:rFonts w:asciiTheme="majorHAnsi" w:hAnsiTheme="majorHAnsi" w:cstheme="majorHAnsi"/>
          <w:sz w:val="24"/>
          <w:szCs w:val="24"/>
          <w:lang w:val="ro-MD"/>
        </w:rPr>
        <w:t xml:space="preserve">valoare </w:t>
      </w:r>
      <w:r w:rsidR="00DB50D9">
        <w:rPr>
          <w:rFonts w:asciiTheme="majorHAnsi" w:hAnsiTheme="majorHAnsi" w:cstheme="majorHAnsi"/>
          <w:sz w:val="24"/>
          <w:szCs w:val="24"/>
          <w:lang w:val="ro-MD"/>
        </w:rPr>
        <w:t>de</w:t>
      </w:r>
      <w:r w:rsidRPr="005505C5">
        <w:rPr>
          <w:rFonts w:asciiTheme="majorHAnsi" w:hAnsiTheme="majorHAnsi" w:cstheme="majorHAnsi"/>
          <w:sz w:val="24"/>
          <w:szCs w:val="24"/>
          <w:lang w:val="ro-MD"/>
        </w:rPr>
        <w:t xml:space="preserve"> 14,9 mil. lei. Mai mult decât atât, norma legală prevede că atunci când participanții la proces nu înțeleg sau nu vorbesc limba în care se desfășoară procesul penal, ei au dreptul de a apela la serviciile unui interpret, la fel oferit gratis de către instituțiile statului;</w:t>
      </w:r>
    </w:p>
    <w:p w:rsidR="00337650" w:rsidRPr="00A86049" w:rsidRDefault="00337650" w:rsidP="00337650">
      <w:pPr>
        <w:pStyle w:val="ad"/>
        <w:numPr>
          <w:ilvl w:val="0"/>
          <w:numId w:val="3"/>
        </w:numPr>
        <w:shd w:val="clear" w:color="auto" w:fill="FFFFFF"/>
        <w:spacing w:after="120" w:line="276" w:lineRule="auto"/>
        <w:ind w:left="360" w:firstLine="0"/>
        <w:contextualSpacing w:val="0"/>
        <w:jc w:val="both"/>
        <w:rPr>
          <w:rFonts w:asciiTheme="majorHAnsi" w:hAnsiTheme="majorHAnsi" w:cstheme="majorHAnsi"/>
          <w:sz w:val="24"/>
          <w:szCs w:val="24"/>
          <w:lang w:val="ro-MD"/>
        </w:rPr>
      </w:pPr>
      <w:r>
        <w:rPr>
          <w:rFonts w:asciiTheme="majorHAnsi" w:hAnsiTheme="majorHAnsi" w:cstheme="majorHAnsi"/>
          <w:sz w:val="24"/>
          <w:szCs w:val="24"/>
          <w:lang w:val="ro-MD"/>
        </w:rPr>
        <w:t>s</w:t>
      </w:r>
      <w:r w:rsidRPr="00A86049">
        <w:rPr>
          <w:rFonts w:asciiTheme="majorHAnsi" w:hAnsiTheme="majorHAnsi" w:cstheme="majorHAnsi"/>
          <w:sz w:val="24"/>
          <w:szCs w:val="24"/>
          <w:lang w:val="ro-MD"/>
        </w:rPr>
        <w:t xml:space="preserve">e atestă cazuri de solicitare și acordare a AJGS în condiții neconforme, </w:t>
      </w:r>
      <w:r>
        <w:rPr>
          <w:rFonts w:asciiTheme="majorHAnsi" w:hAnsiTheme="majorHAnsi" w:cstheme="majorHAnsi"/>
          <w:sz w:val="24"/>
          <w:szCs w:val="24"/>
          <w:lang w:val="ro-MD"/>
        </w:rPr>
        <w:t>având în vedere</w:t>
      </w:r>
      <w:r w:rsidRPr="00A86049">
        <w:rPr>
          <w:rFonts w:asciiTheme="majorHAnsi" w:hAnsiTheme="majorHAnsi" w:cstheme="majorHAnsi"/>
          <w:sz w:val="24"/>
          <w:szCs w:val="24"/>
          <w:lang w:val="ro-MD"/>
        </w:rPr>
        <w:t xml:space="preserve"> că interesele justiției cer participarea apărătorului de stat la ședința de judecată. Cheltuielile  suportate din bugetul de stat în scopul remunerării muncii avocaților care au gestionat aceste cazuri constituie suma de 233,1 mii lei. Astfel, </w:t>
      </w:r>
      <w:r>
        <w:rPr>
          <w:rFonts w:asciiTheme="majorHAnsi" w:hAnsiTheme="majorHAnsi" w:cstheme="majorHAnsi"/>
          <w:sz w:val="24"/>
          <w:szCs w:val="24"/>
          <w:lang w:val="ro-MD"/>
        </w:rPr>
        <w:t>oficiile teritoriale</w:t>
      </w:r>
      <w:r w:rsidRPr="00A86049">
        <w:rPr>
          <w:rFonts w:asciiTheme="majorHAnsi" w:hAnsiTheme="majorHAnsi" w:cstheme="majorHAnsi"/>
          <w:sz w:val="24"/>
          <w:szCs w:val="24"/>
          <w:lang w:val="ro-MD"/>
        </w:rPr>
        <w:t xml:space="preserve"> </w:t>
      </w:r>
      <w:r>
        <w:rPr>
          <w:rFonts w:asciiTheme="majorHAnsi" w:hAnsiTheme="majorHAnsi" w:cstheme="majorHAnsi"/>
          <w:sz w:val="24"/>
          <w:szCs w:val="24"/>
          <w:lang w:val="ro-MD"/>
        </w:rPr>
        <w:t xml:space="preserve">(OT) </w:t>
      </w:r>
      <w:r w:rsidRPr="00A86049">
        <w:rPr>
          <w:rFonts w:asciiTheme="majorHAnsi" w:hAnsiTheme="majorHAnsi" w:cstheme="majorHAnsi"/>
          <w:sz w:val="24"/>
          <w:szCs w:val="24"/>
          <w:lang w:val="ro-MD"/>
        </w:rPr>
        <w:t>au acceptat solicitările</w:t>
      </w:r>
      <w:r>
        <w:rPr>
          <w:rFonts w:asciiTheme="majorHAnsi" w:hAnsiTheme="majorHAnsi" w:cstheme="majorHAnsi"/>
          <w:sz w:val="24"/>
          <w:szCs w:val="24"/>
          <w:lang w:val="ro-MD"/>
        </w:rPr>
        <w:t xml:space="preserve"> </w:t>
      </w:r>
      <w:r w:rsidR="00C442E4">
        <w:rPr>
          <w:rFonts w:asciiTheme="majorHAnsi" w:hAnsiTheme="majorHAnsi" w:cstheme="majorHAnsi"/>
          <w:sz w:val="24"/>
          <w:szCs w:val="24"/>
          <w:lang w:val="ro-MD"/>
        </w:rPr>
        <w:t>unor</w:t>
      </w:r>
      <w:r w:rsidRPr="00A86049">
        <w:rPr>
          <w:rFonts w:asciiTheme="majorHAnsi" w:hAnsiTheme="majorHAnsi" w:cstheme="majorHAnsi"/>
          <w:sz w:val="24"/>
          <w:szCs w:val="24"/>
          <w:lang w:val="ro-MD"/>
        </w:rPr>
        <w:t xml:space="preserve"> angajați</w:t>
      </w:r>
      <w:r w:rsidR="00C442E4">
        <w:rPr>
          <w:rFonts w:asciiTheme="majorHAnsi" w:hAnsiTheme="majorHAnsi" w:cstheme="majorHAnsi"/>
          <w:sz w:val="24"/>
          <w:szCs w:val="24"/>
          <w:lang w:val="ro-MD"/>
        </w:rPr>
        <w:t xml:space="preserve"> din</w:t>
      </w:r>
      <w:r w:rsidRPr="00A86049">
        <w:rPr>
          <w:rFonts w:asciiTheme="majorHAnsi" w:hAnsiTheme="majorHAnsi" w:cstheme="majorHAnsi"/>
          <w:sz w:val="24"/>
          <w:szCs w:val="24"/>
          <w:lang w:val="ro-MD"/>
        </w:rPr>
        <w:t xml:space="preserve"> instituții subordonate M</w:t>
      </w:r>
      <w:r w:rsidR="00672F79">
        <w:rPr>
          <w:rFonts w:asciiTheme="majorHAnsi" w:hAnsiTheme="majorHAnsi" w:cstheme="majorHAnsi"/>
          <w:sz w:val="24"/>
          <w:szCs w:val="24"/>
          <w:lang w:val="ro-MD"/>
        </w:rPr>
        <w:t xml:space="preserve">inisterului </w:t>
      </w:r>
      <w:r w:rsidRPr="00A86049">
        <w:rPr>
          <w:rFonts w:asciiTheme="majorHAnsi" w:hAnsiTheme="majorHAnsi" w:cstheme="majorHAnsi"/>
          <w:sz w:val="24"/>
          <w:szCs w:val="24"/>
          <w:lang w:val="ro-MD"/>
        </w:rPr>
        <w:t>A</w:t>
      </w:r>
      <w:r w:rsidR="00672F79">
        <w:rPr>
          <w:rFonts w:asciiTheme="majorHAnsi" w:hAnsiTheme="majorHAnsi" w:cstheme="majorHAnsi"/>
          <w:sz w:val="24"/>
          <w:szCs w:val="24"/>
          <w:lang w:val="ro-MD"/>
        </w:rPr>
        <w:t xml:space="preserve">facerilor </w:t>
      </w:r>
      <w:r w:rsidRPr="00A86049">
        <w:rPr>
          <w:rFonts w:asciiTheme="majorHAnsi" w:hAnsiTheme="majorHAnsi" w:cstheme="majorHAnsi"/>
          <w:sz w:val="24"/>
          <w:szCs w:val="24"/>
          <w:lang w:val="ro-MD"/>
        </w:rPr>
        <w:t>I</w:t>
      </w:r>
      <w:r w:rsidR="00672F79">
        <w:rPr>
          <w:rFonts w:asciiTheme="majorHAnsi" w:hAnsiTheme="majorHAnsi" w:cstheme="majorHAnsi"/>
          <w:sz w:val="24"/>
          <w:szCs w:val="24"/>
          <w:lang w:val="ro-MD"/>
        </w:rPr>
        <w:t>nterne</w:t>
      </w:r>
      <w:r w:rsidRPr="00A86049">
        <w:rPr>
          <w:rFonts w:asciiTheme="majorHAnsi" w:hAnsiTheme="majorHAnsi" w:cstheme="majorHAnsi"/>
          <w:sz w:val="24"/>
          <w:szCs w:val="24"/>
          <w:lang w:val="ro-MD"/>
        </w:rPr>
        <w:t>, deși, conform prevederilor legale, urmau să acorde asistență juridică doar la cererile însoțite de ordonanțele procurorilor, care, de fapt, lipseau</w:t>
      </w:r>
      <w:r>
        <w:rPr>
          <w:rFonts w:asciiTheme="majorHAnsi" w:hAnsiTheme="majorHAnsi" w:cstheme="majorHAnsi"/>
          <w:sz w:val="24"/>
          <w:szCs w:val="24"/>
          <w:lang w:val="ro-MD"/>
        </w:rPr>
        <w:t>;</w:t>
      </w:r>
      <w:r w:rsidRPr="00A86049">
        <w:rPr>
          <w:rFonts w:asciiTheme="majorHAnsi" w:hAnsiTheme="majorHAnsi" w:cstheme="majorHAnsi"/>
          <w:sz w:val="24"/>
          <w:szCs w:val="24"/>
          <w:lang w:val="ro-MD"/>
        </w:rPr>
        <w:t xml:space="preserve"> </w:t>
      </w:r>
    </w:p>
    <w:p w:rsidR="00337650" w:rsidRPr="00A86049" w:rsidRDefault="00337650" w:rsidP="00337650">
      <w:pPr>
        <w:pStyle w:val="ad"/>
        <w:numPr>
          <w:ilvl w:val="0"/>
          <w:numId w:val="3"/>
        </w:numPr>
        <w:shd w:val="clear" w:color="auto" w:fill="FFFFFF"/>
        <w:spacing w:after="120" w:line="276" w:lineRule="auto"/>
        <w:ind w:left="360" w:firstLine="0"/>
        <w:contextualSpacing w:val="0"/>
        <w:jc w:val="both"/>
        <w:rPr>
          <w:rFonts w:asciiTheme="majorHAnsi" w:hAnsiTheme="majorHAnsi" w:cstheme="majorHAnsi"/>
          <w:sz w:val="24"/>
          <w:szCs w:val="24"/>
          <w:lang w:val="ro-MD"/>
        </w:rPr>
      </w:pPr>
      <w:r>
        <w:rPr>
          <w:rFonts w:asciiTheme="majorHAnsi" w:hAnsiTheme="majorHAnsi" w:cstheme="majorHAnsi"/>
          <w:sz w:val="24"/>
          <w:szCs w:val="24"/>
          <w:lang w:val="ro-MD"/>
        </w:rPr>
        <w:t>nu s-au respectat în totalitate regulile prestabilite l</w:t>
      </w:r>
      <w:r w:rsidRPr="00A86049">
        <w:rPr>
          <w:rFonts w:asciiTheme="majorHAnsi" w:hAnsiTheme="majorHAnsi" w:cstheme="majorHAnsi"/>
          <w:sz w:val="24"/>
          <w:szCs w:val="24"/>
          <w:lang w:val="ro-MD"/>
        </w:rPr>
        <w:t xml:space="preserve">a </w:t>
      </w:r>
      <w:r>
        <w:rPr>
          <w:rFonts w:asciiTheme="majorHAnsi" w:hAnsiTheme="majorHAnsi" w:cstheme="majorHAnsi"/>
          <w:sz w:val="24"/>
          <w:szCs w:val="24"/>
          <w:lang w:val="ro-MD"/>
        </w:rPr>
        <w:t>oferirea</w:t>
      </w:r>
      <w:r w:rsidRPr="00A86049">
        <w:rPr>
          <w:rFonts w:asciiTheme="majorHAnsi" w:hAnsiTheme="majorHAnsi" w:cstheme="majorHAnsi"/>
          <w:sz w:val="24"/>
          <w:szCs w:val="24"/>
          <w:lang w:val="ro-MD"/>
        </w:rPr>
        <w:t xml:space="preserve"> asistenței juridice garan</w:t>
      </w:r>
      <w:r>
        <w:rPr>
          <w:rFonts w:asciiTheme="majorHAnsi" w:hAnsiTheme="majorHAnsi" w:cstheme="majorHAnsi"/>
          <w:sz w:val="24"/>
          <w:szCs w:val="24"/>
          <w:lang w:val="ro-MD"/>
        </w:rPr>
        <w:t>tate de stat persoanelor fizice</w:t>
      </w:r>
      <w:r w:rsidRPr="00A86049">
        <w:rPr>
          <w:rFonts w:asciiTheme="majorHAnsi" w:hAnsiTheme="majorHAnsi" w:cstheme="majorHAnsi"/>
          <w:sz w:val="24"/>
          <w:szCs w:val="24"/>
          <w:lang w:val="ro-MD"/>
        </w:rPr>
        <w:t xml:space="preserve"> în temeiul lipsei resurselor financiare</w:t>
      </w:r>
      <w:r>
        <w:rPr>
          <w:rFonts w:asciiTheme="majorHAnsi" w:hAnsiTheme="majorHAnsi" w:cstheme="majorHAnsi"/>
          <w:sz w:val="24"/>
          <w:szCs w:val="24"/>
          <w:lang w:val="ro-MD"/>
        </w:rPr>
        <w:t>. Or, se atestă că</w:t>
      </w:r>
      <w:r w:rsidRPr="00A86049">
        <w:rPr>
          <w:rFonts w:asciiTheme="majorHAnsi" w:hAnsiTheme="majorHAnsi" w:cstheme="majorHAnsi"/>
          <w:sz w:val="24"/>
          <w:szCs w:val="24"/>
          <w:lang w:val="ro-MD"/>
        </w:rPr>
        <w:t xml:space="preserve"> responsabilii</w:t>
      </w:r>
      <w:r>
        <w:rPr>
          <w:rFonts w:asciiTheme="majorHAnsi" w:hAnsiTheme="majorHAnsi" w:cstheme="majorHAnsi"/>
          <w:sz w:val="24"/>
          <w:szCs w:val="24"/>
          <w:lang w:val="ro-MD"/>
        </w:rPr>
        <w:t xml:space="preserve"> OT nu s-au conformat și nu au solicitat </w:t>
      </w:r>
      <w:r w:rsidRPr="00A86049">
        <w:rPr>
          <w:rFonts w:asciiTheme="majorHAnsi" w:hAnsiTheme="majorHAnsi" w:cstheme="majorHAnsi"/>
          <w:sz w:val="24"/>
          <w:szCs w:val="24"/>
          <w:lang w:val="ro-MD"/>
        </w:rPr>
        <w:t>anexarea la cerere a tuturor documentelor prestabilite</w:t>
      </w:r>
      <w:r>
        <w:rPr>
          <w:rFonts w:asciiTheme="majorHAnsi" w:hAnsiTheme="majorHAnsi" w:cstheme="majorHAnsi"/>
          <w:sz w:val="24"/>
          <w:szCs w:val="24"/>
          <w:lang w:val="ro-MD"/>
        </w:rPr>
        <w:t>, fapt care contribuie nemijlocit la respectarea corectitudinii de determinare a venitului mediu al beneficiarilor apelanți.</w:t>
      </w:r>
      <w:r w:rsidRPr="00A86049">
        <w:rPr>
          <w:rFonts w:asciiTheme="majorHAnsi" w:hAnsiTheme="majorHAnsi" w:cstheme="majorHAnsi"/>
          <w:sz w:val="24"/>
          <w:szCs w:val="24"/>
          <w:lang w:val="ro-MD"/>
        </w:rPr>
        <w:t xml:space="preserve"> Mai mult decât atât, </w:t>
      </w:r>
      <w:r w:rsidR="00B2078E">
        <w:rPr>
          <w:rFonts w:asciiTheme="majorHAnsi" w:hAnsiTheme="majorHAnsi" w:cstheme="majorHAnsi"/>
          <w:sz w:val="24"/>
          <w:szCs w:val="24"/>
          <w:lang w:val="ro-MD"/>
        </w:rPr>
        <w:t>necesită</w:t>
      </w:r>
      <w:r w:rsidRPr="00A86049">
        <w:rPr>
          <w:rFonts w:asciiTheme="majorHAnsi" w:hAnsiTheme="majorHAnsi" w:cstheme="majorHAnsi"/>
          <w:sz w:val="24"/>
          <w:szCs w:val="24"/>
          <w:lang w:val="ro-MD"/>
        </w:rPr>
        <w:t xml:space="preserve"> </w:t>
      </w:r>
      <w:r w:rsidR="00C93A18">
        <w:rPr>
          <w:rFonts w:asciiTheme="majorHAnsi" w:hAnsiTheme="majorHAnsi" w:cstheme="majorHAnsi"/>
          <w:sz w:val="24"/>
          <w:szCs w:val="24"/>
          <w:lang w:val="ro-MD"/>
        </w:rPr>
        <w:t>reexaminare</w:t>
      </w:r>
      <w:r>
        <w:rPr>
          <w:rFonts w:asciiTheme="majorHAnsi" w:hAnsiTheme="majorHAnsi" w:cstheme="majorHAnsi"/>
          <w:sz w:val="24"/>
          <w:szCs w:val="24"/>
          <w:lang w:val="ro-MD"/>
        </w:rPr>
        <w:t xml:space="preserve"> și </w:t>
      </w:r>
      <w:r w:rsidRPr="00A86049">
        <w:rPr>
          <w:rFonts w:asciiTheme="majorHAnsi" w:hAnsiTheme="majorHAnsi" w:cstheme="majorHAnsi"/>
          <w:sz w:val="24"/>
          <w:szCs w:val="24"/>
          <w:lang w:val="ro-MD"/>
        </w:rPr>
        <w:t>metodologi</w:t>
      </w:r>
      <w:r w:rsidR="00C93A18">
        <w:rPr>
          <w:rFonts w:asciiTheme="majorHAnsi" w:hAnsiTheme="majorHAnsi" w:cstheme="majorHAnsi"/>
          <w:sz w:val="24"/>
          <w:szCs w:val="24"/>
          <w:lang w:val="ro-MD"/>
        </w:rPr>
        <w:t>a</w:t>
      </w:r>
      <w:r w:rsidRPr="00A86049">
        <w:rPr>
          <w:rFonts w:asciiTheme="majorHAnsi" w:hAnsiTheme="majorHAnsi" w:cstheme="majorHAnsi"/>
          <w:sz w:val="24"/>
          <w:szCs w:val="24"/>
          <w:lang w:val="ro-MD"/>
        </w:rPr>
        <w:t xml:space="preserve"> de calcul al venitului în scopul acordării AJGS, întrucât se atestă atât caracterul desuet</w:t>
      </w:r>
      <w:r w:rsidR="005279EB">
        <w:rPr>
          <w:rFonts w:asciiTheme="majorHAnsi" w:hAnsiTheme="majorHAnsi" w:cstheme="majorHAnsi"/>
          <w:sz w:val="24"/>
          <w:szCs w:val="24"/>
          <w:lang w:val="ro-MD"/>
        </w:rPr>
        <w:t xml:space="preserve"> al acesteia</w:t>
      </w:r>
      <w:r w:rsidRPr="00A86049">
        <w:rPr>
          <w:rFonts w:asciiTheme="majorHAnsi" w:hAnsiTheme="majorHAnsi" w:cstheme="majorHAnsi"/>
          <w:sz w:val="24"/>
          <w:szCs w:val="24"/>
          <w:lang w:val="ro-MD"/>
        </w:rPr>
        <w:t xml:space="preserve">, cât și neaplicabilitatea unor norme </w:t>
      </w:r>
      <w:r>
        <w:rPr>
          <w:rFonts w:asciiTheme="majorHAnsi" w:hAnsiTheme="majorHAnsi" w:cstheme="majorHAnsi"/>
          <w:sz w:val="24"/>
          <w:szCs w:val="24"/>
          <w:lang w:val="ro-MD"/>
        </w:rPr>
        <w:t xml:space="preserve">la calcularea venitului </w:t>
      </w:r>
      <w:r w:rsidRPr="00A86049">
        <w:rPr>
          <w:rFonts w:asciiTheme="majorHAnsi" w:hAnsiTheme="majorHAnsi" w:cstheme="majorHAnsi"/>
          <w:sz w:val="24"/>
          <w:szCs w:val="24"/>
          <w:lang w:val="ro-MD"/>
        </w:rPr>
        <w:t>în natură și altele</w:t>
      </w:r>
      <w:r>
        <w:rPr>
          <w:rFonts w:asciiTheme="majorHAnsi" w:hAnsiTheme="majorHAnsi" w:cstheme="majorHAnsi"/>
          <w:sz w:val="24"/>
          <w:szCs w:val="24"/>
          <w:lang w:val="ro-MD"/>
        </w:rPr>
        <w:t>;</w:t>
      </w:r>
      <w:r w:rsidRPr="00A86049">
        <w:rPr>
          <w:rFonts w:asciiTheme="majorHAnsi" w:hAnsiTheme="majorHAnsi" w:cstheme="majorHAnsi"/>
          <w:sz w:val="24"/>
          <w:szCs w:val="24"/>
          <w:lang w:val="ro-MD"/>
        </w:rPr>
        <w:t xml:space="preserve"> </w:t>
      </w:r>
    </w:p>
    <w:p w:rsidR="00337650" w:rsidRDefault="00337650" w:rsidP="00337650">
      <w:pPr>
        <w:pStyle w:val="ad"/>
        <w:numPr>
          <w:ilvl w:val="0"/>
          <w:numId w:val="3"/>
        </w:numPr>
        <w:shd w:val="clear" w:color="auto" w:fill="FFFFFF"/>
        <w:spacing w:after="120" w:line="276" w:lineRule="auto"/>
        <w:ind w:left="360" w:firstLine="0"/>
        <w:contextualSpacing w:val="0"/>
        <w:jc w:val="both"/>
        <w:rPr>
          <w:rFonts w:asciiTheme="majorHAnsi" w:hAnsiTheme="majorHAnsi" w:cstheme="majorHAnsi"/>
          <w:sz w:val="24"/>
          <w:szCs w:val="24"/>
          <w:lang w:val="ro-MD"/>
        </w:rPr>
      </w:pPr>
      <w:r>
        <w:rPr>
          <w:rFonts w:asciiTheme="majorHAnsi" w:hAnsiTheme="majorHAnsi" w:cstheme="majorHAnsi"/>
          <w:sz w:val="24"/>
          <w:szCs w:val="24"/>
          <w:lang w:val="ro-MD"/>
        </w:rPr>
        <w:t>e</w:t>
      </w:r>
      <w:r w:rsidRPr="00A86049">
        <w:rPr>
          <w:rFonts w:asciiTheme="majorHAnsi" w:hAnsiTheme="majorHAnsi" w:cstheme="majorHAnsi"/>
          <w:sz w:val="24"/>
          <w:szCs w:val="24"/>
          <w:lang w:val="ro-MD"/>
        </w:rPr>
        <w:t xml:space="preserve">ste deficitar și </w:t>
      </w:r>
      <w:r>
        <w:rPr>
          <w:rFonts w:asciiTheme="majorHAnsi" w:hAnsiTheme="majorHAnsi" w:cstheme="majorHAnsi"/>
          <w:sz w:val="24"/>
          <w:szCs w:val="24"/>
          <w:lang w:val="ro-MD"/>
        </w:rPr>
        <w:t xml:space="preserve">procesul de </w:t>
      </w:r>
      <w:r w:rsidRPr="00A86049">
        <w:rPr>
          <w:rFonts w:asciiTheme="majorHAnsi" w:hAnsiTheme="majorHAnsi" w:cstheme="majorHAnsi"/>
          <w:sz w:val="24"/>
          <w:szCs w:val="24"/>
          <w:lang w:val="ro-MD"/>
        </w:rPr>
        <w:t>acordare</w:t>
      </w:r>
      <w:r>
        <w:rPr>
          <w:rFonts w:asciiTheme="majorHAnsi" w:hAnsiTheme="majorHAnsi" w:cstheme="majorHAnsi"/>
          <w:sz w:val="24"/>
          <w:szCs w:val="24"/>
          <w:lang w:val="ro-MD"/>
        </w:rPr>
        <w:t xml:space="preserve"> </w:t>
      </w:r>
      <w:r w:rsidRPr="00A86049">
        <w:rPr>
          <w:rFonts w:asciiTheme="majorHAnsi" w:hAnsiTheme="majorHAnsi" w:cstheme="majorHAnsi"/>
          <w:sz w:val="24"/>
          <w:szCs w:val="24"/>
          <w:lang w:val="ro-MD"/>
        </w:rPr>
        <w:t xml:space="preserve">a AJGS persoanelor juridice, </w:t>
      </w:r>
      <w:r>
        <w:rPr>
          <w:rFonts w:asciiTheme="majorHAnsi" w:hAnsiTheme="majorHAnsi" w:cstheme="majorHAnsi"/>
          <w:sz w:val="24"/>
          <w:szCs w:val="24"/>
          <w:lang w:val="ro-MD"/>
        </w:rPr>
        <w:t>aspect determinat atât</w:t>
      </w:r>
      <w:r w:rsidRPr="00A86049">
        <w:rPr>
          <w:rFonts w:asciiTheme="majorHAnsi" w:hAnsiTheme="majorHAnsi" w:cstheme="majorHAnsi"/>
          <w:sz w:val="24"/>
          <w:szCs w:val="24"/>
          <w:lang w:val="ro-MD"/>
        </w:rPr>
        <w:t xml:space="preserve"> de lipsa </w:t>
      </w:r>
      <w:r w:rsidR="00C93A18">
        <w:rPr>
          <w:rFonts w:asciiTheme="majorHAnsi" w:hAnsiTheme="majorHAnsi" w:cstheme="majorHAnsi"/>
          <w:sz w:val="24"/>
          <w:szCs w:val="24"/>
          <w:lang w:val="ro-MD"/>
        </w:rPr>
        <w:t>unui act juridic</w:t>
      </w:r>
      <w:r w:rsidRPr="00A86049">
        <w:rPr>
          <w:rFonts w:asciiTheme="majorHAnsi" w:hAnsiTheme="majorHAnsi" w:cstheme="majorHAnsi"/>
          <w:sz w:val="24"/>
          <w:szCs w:val="24"/>
          <w:lang w:val="ro-MD"/>
        </w:rPr>
        <w:t xml:space="preserve"> intern </w:t>
      </w:r>
      <w:r>
        <w:rPr>
          <w:rFonts w:asciiTheme="majorHAnsi" w:hAnsiTheme="majorHAnsi" w:cstheme="majorHAnsi"/>
          <w:sz w:val="24"/>
          <w:szCs w:val="24"/>
          <w:lang w:val="ro-MD"/>
        </w:rPr>
        <w:t>c</w:t>
      </w:r>
      <w:r w:rsidRPr="00A86049">
        <w:rPr>
          <w:rFonts w:asciiTheme="majorHAnsi" w:hAnsiTheme="majorHAnsi" w:cstheme="majorHAnsi"/>
          <w:sz w:val="24"/>
          <w:szCs w:val="24"/>
          <w:lang w:val="ro-MD"/>
        </w:rPr>
        <w:t xml:space="preserve">are să reglementeze </w:t>
      </w:r>
      <w:r w:rsidR="00C93A18">
        <w:rPr>
          <w:rFonts w:asciiTheme="majorHAnsi" w:hAnsiTheme="majorHAnsi" w:cstheme="majorHAnsi"/>
          <w:sz w:val="24"/>
          <w:szCs w:val="24"/>
          <w:lang w:val="ro-MD"/>
        </w:rPr>
        <w:t>mecanismul de p</w:t>
      </w:r>
      <w:r w:rsidRPr="00A86049">
        <w:rPr>
          <w:rFonts w:asciiTheme="majorHAnsi" w:hAnsiTheme="majorHAnsi" w:cstheme="majorHAnsi"/>
          <w:sz w:val="24"/>
          <w:szCs w:val="24"/>
          <w:lang w:val="ro-MD"/>
        </w:rPr>
        <w:t>unere în aplicare a</w:t>
      </w:r>
      <w:r>
        <w:rPr>
          <w:rFonts w:asciiTheme="majorHAnsi" w:hAnsiTheme="majorHAnsi" w:cstheme="majorHAnsi"/>
          <w:sz w:val="24"/>
          <w:szCs w:val="24"/>
          <w:lang w:val="ro-MD"/>
        </w:rPr>
        <w:t xml:space="preserve"> </w:t>
      </w:r>
      <w:r w:rsidRPr="00A86049">
        <w:rPr>
          <w:rFonts w:asciiTheme="majorHAnsi" w:hAnsiTheme="majorHAnsi" w:cstheme="majorHAnsi"/>
          <w:sz w:val="24"/>
          <w:szCs w:val="24"/>
          <w:lang w:val="ro-MD"/>
        </w:rPr>
        <w:t>acestui</w:t>
      </w:r>
      <w:r>
        <w:rPr>
          <w:rFonts w:asciiTheme="majorHAnsi" w:hAnsiTheme="majorHAnsi" w:cstheme="majorHAnsi"/>
          <w:sz w:val="24"/>
          <w:szCs w:val="24"/>
          <w:lang w:val="ro-MD"/>
        </w:rPr>
        <w:t>a</w:t>
      </w:r>
      <w:r w:rsidRPr="00A86049">
        <w:rPr>
          <w:rFonts w:asciiTheme="majorHAnsi" w:hAnsiTheme="majorHAnsi" w:cstheme="majorHAnsi"/>
          <w:sz w:val="24"/>
          <w:szCs w:val="24"/>
          <w:lang w:val="ro-MD"/>
        </w:rPr>
        <w:t>, cât și de acceptare</w:t>
      </w:r>
      <w:r w:rsidR="00C93A18">
        <w:rPr>
          <w:rFonts w:asciiTheme="majorHAnsi" w:hAnsiTheme="majorHAnsi" w:cstheme="majorHAnsi"/>
          <w:sz w:val="24"/>
          <w:szCs w:val="24"/>
          <w:lang w:val="ro-MD"/>
        </w:rPr>
        <w:t xml:space="preserve"> </w:t>
      </w:r>
      <w:r w:rsidRPr="00A86049">
        <w:rPr>
          <w:rFonts w:asciiTheme="majorHAnsi" w:hAnsiTheme="majorHAnsi" w:cstheme="majorHAnsi"/>
          <w:sz w:val="24"/>
          <w:szCs w:val="24"/>
          <w:lang w:val="ro-MD"/>
        </w:rPr>
        <w:t xml:space="preserve">a unor solicitări </w:t>
      </w:r>
      <w:r>
        <w:rPr>
          <w:rFonts w:asciiTheme="majorHAnsi" w:hAnsiTheme="majorHAnsi" w:cstheme="majorHAnsi"/>
          <w:sz w:val="24"/>
          <w:szCs w:val="24"/>
          <w:lang w:val="ro-MD"/>
        </w:rPr>
        <w:t>din partea</w:t>
      </w:r>
      <w:r w:rsidRPr="00A86049">
        <w:rPr>
          <w:rFonts w:asciiTheme="majorHAnsi" w:hAnsiTheme="majorHAnsi" w:cstheme="majorHAnsi"/>
          <w:sz w:val="24"/>
          <w:szCs w:val="24"/>
          <w:lang w:val="ro-MD"/>
        </w:rPr>
        <w:t xml:space="preserve"> organel</w:t>
      </w:r>
      <w:r>
        <w:rPr>
          <w:rFonts w:asciiTheme="majorHAnsi" w:hAnsiTheme="majorHAnsi" w:cstheme="majorHAnsi"/>
          <w:sz w:val="24"/>
          <w:szCs w:val="24"/>
          <w:lang w:val="ro-MD"/>
        </w:rPr>
        <w:t>or</w:t>
      </w:r>
      <w:r w:rsidRPr="00A86049">
        <w:rPr>
          <w:rFonts w:asciiTheme="majorHAnsi" w:hAnsiTheme="majorHAnsi" w:cstheme="majorHAnsi"/>
          <w:sz w:val="24"/>
          <w:szCs w:val="24"/>
          <w:lang w:val="ro-MD"/>
        </w:rPr>
        <w:t xml:space="preserve"> de drept privind </w:t>
      </w:r>
      <w:r>
        <w:rPr>
          <w:rFonts w:asciiTheme="majorHAnsi" w:hAnsiTheme="majorHAnsi" w:cstheme="majorHAnsi"/>
          <w:sz w:val="24"/>
          <w:szCs w:val="24"/>
          <w:lang w:val="ro-MD"/>
        </w:rPr>
        <w:t>oferirea serviciilor</w:t>
      </w:r>
      <w:r w:rsidRPr="00A86049">
        <w:rPr>
          <w:rFonts w:asciiTheme="majorHAnsi" w:hAnsiTheme="majorHAnsi" w:cstheme="majorHAnsi"/>
          <w:sz w:val="24"/>
          <w:szCs w:val="24"/>
          <w:lang w:val="ro-MD"/>
        </w:rPr>
        <w:t xml:space="preserve"> juridice unor agenți economici insolvabili</w:t>
      </w:r>
      <w:r>
        <w:rPr>
          <w:rFonts w:asciiTheme="majorHAnsi" w:hAnsiTheme="majorHAnsi" w:cstheme="majorHAnsi"/>
          <w:sz w:val="24"/>
          <w:szCs w:val="24"/>
          <w:lang w:val="ro-MD"/>
        </w:rPr>
        <w:t>. A</w:t>
      </w:r>
      <w:r w:rsidRPr="00A86049">
        <w:rPr>
          <w:rFonts w:asciiTheme="majorHAnsi" w:hAnsiTheme="majorHAnsi" w:cstheme="majorHAnsi"/>
          <w:sz w:val="24"/>
          <w:szCs w:val="24"/>
          <w:lang w:val="ro-MD"/>
        </w:rPr>
        <w:t>vând desemnați de către instanța de judecată reprezentanți legali</w:t>
      </w:r>
      <w:r>
        <w:rPr>
          <w:rFonts w:asciiTheme="majorHAnsi" w:hAnsiTheme="majorHAnsi" w:cstheme="majorHAnsi"/>
          <w:sz w:val="24"/>
          <w:szCs w:val="24"/>
          <w:lang w:val="ro-MD"/>
        </w:rPr>
        <w:t xml:space="preserve">, </w:t>
      </w:r>
      <w:r w:rsidRPr="00A86049">
        <w:rPr>
          <w:rFonts w:asciiTheme="majorHAnsi" w:hAnsiTheme="majorHAnsi" w:cstheme="majorHAnsi"/>
          <w:sz w:val="24"/>
          <w:szCs w:val="24"/>
          <w:lang w:val="ro-MD"/>
        </w:rPr>
        <w:t>agenți</w:t>
      </w:r>
      <w:r>
        <w:rPr>
          <w:rFonts w:asciiTheme="majorHAnsi" w:hAnsiTheme="majorHAnsi" w:cstheme="majorHAnsi"/>
          <w:sz w:val="24"/>
          <w:szCs w:val="24"/>
          <w:lang w:val="ro-MD"/>
        </w:rPr>
        <w:t>i</w:t>
      </w:r>
      <w:r w:rsidRPr="00A86049">
        <w:rPr>
          <w:rFonts w:asciiTheme="majorHAnsi" w:hAnsiTheme="majorHAnsi" w:cstheme="majorHAnsi"/>
          <w:sz w:val="24"/>
          <w:szCs w:val="24"/>
          <w:lang w:val="ro-MD"/>
        </w:rPr>
        <w:t xml:space="preserve"> economici insolvabili</w:t>
      </w:r>
      <w:r>
        <w:rPr>
          <w:rFonts w:asciiTheme="majorHAnsi" w:hAnsiTheme="majorHAnsi" w:cstheme="majorHAnsi"/>
          <w:sz w:val="24"/>
          <w:szCs w:val="24"/>
          <w:lang w:val="ro-MD"/>
        </w:rPr>
        <w:t xml:space="preserve"> nu se încadrau</w:t>
      </w:r>
      <w:r w:rsidRPr="00A86049">
        <w:rPr>
          <w:rFonts w:asciiTheme="majorHAnsi" w:hAnsiTheme="majorHAnsi" w:cstheme="majorHAnsi"/>
          <w:sz w:val="24"/>
          <w:szCs w:val="24"/>
          <w:lang w:val="ro-MD"/>
        </w:rPr>
        <w:t xml:space="preserve"> în criteriile de eligibilitate p</w:t>
      </w:r>
      <w:r>
        <w:rPr>
          <w:rFonts w:asciiTheme="majorHAnsi" w:hAnsiTheme="majorHAnsi" w:cstheme="majorHAnsi"/>
          <w:sz w:val="24"/>
          <w:szCs w:val="24"/>
          <w:lang w:val="ro-MD"/>
        </w:rPr>
        <w:t>entru a beneficia de asistența garantată de stat;</w:t>
      </w:r>
    </w:p>
    <w:p w:rsidR="00337650" w:rsidRPr="00580B99" w:rsidRDefault="00337650" w:rsidP="00337650">
      <w:pPr>
        <w:pStyle w:val="ad"/>
        <w:numPr>
          <w:ilvl w:val="0"/>
          <w:numId w:val="3"/>
        </w:numPr>
        <w:shd w:val="clear" w:color="auto" w:fill="FFFFFF"/>
        <w:spacing w:after="120" w:line="276" w:lineRule="auto"/>
        <w:ind w:left="360" w:firstLine="0"/>
        <w:contextualSpacing w:val="0"/>
        <w:jc w:val="both"/>
        <w:rPr>
          <w:rFonts w:asciiTheme="majorHAnsi" w:hAnsiTheme="majorHAnsi" w:cstheme="majorHAnsi"/>
          <w:sz w:val="24"/>
          <w:szCs w:val="24"/>
          <w:lang w:val="ro-MD"/>
        </w:rPr>
      </w:pPr>
      <w:r>
        <w:rPr>
          <w:rFonts w:asciiTheme="majorHAnsi" w:hAnsiTheme="majorHAnsi" w:cstheme="majorHAnsi"/>
          <w:sz w:val="24"/>
          <w:szCs w:val="24"/>
          <w:lang w:val="ro-MD"/>
        </w:rPr>
        <w:t>î</w:t>
      </w:r>
      <w:r w:rsidRPr="00580B99">
        <w:rPr>
          <w:rFonts w:asciiTheme="majorHAnsi" w:hAnsiTheme="majorHAnsi" w:cstheme="majorHAnsi"/>
          <w:sz w:val="24"/>
          <w:szCs w:val="24"/>
          <w:lang w:val="ro-MD"/>
        </w:rPr>
        <w:t xml:space="preserve">n pofida faptului că legea specială prevede expres condițiile în care persoanele beneficiază de asistență juridică </w:t>
      </w:r>
      <w:r>
        <w:rPr>
          <w:rFonts w:asciiTheme="majorHAnsi" w:hAnsiTheme="majorHAnsi" w:cstheme="majorHAnsi"/>
          <w:sz w:val="24"/>
          <w:szCs w:val="24"/>
          <w:lang w:val="ro-MD"/>
        </w:rPr>
        <w:t xml:space="preserve">oferită </w:t>
      </w:r>
      <w:r w:rsidRPr="00580B99">
        <w:rPr>
          <w:rFonts w:asciiTheme="majorHAnsi" w:hAnsiTheme="majorHAnsi" w:cstheme="majorHAnsi"/>
          <w:sz w:val="24"/>
          <w:szCs w:val="24"/>
          <w:lang w:val="ro-MD"/>
        </w:rPr>
        <w:t>de stat, CNAJGS a aprobat unele norme care nu sunt subordonate prevederilor legale, ceea ce permite coordonatorilor OT acordarea serviciilor jurid</w:t>
      </w:r>
      <w:r>
        <w:rPr>
          <w:rFonts w:asciiTheme="majorHAnsi" w:hAnsiTheme="majorHAnsi" w:cstheme="majorHAnsi"/>
          <w:sz w:val="24"/>
          <w:szCs w:val="24"/>
          <w:lang w:val="ro-MD"/>
        </w:rPr>
        <w:t xml:space="preserve">ice unor persoane </w:t>
      </w:r>
      <w:r w:rsidRPr="00580B99">
        <w:rPr>
          <w:rFonts w:asciiTheme="majorHAnsi" w:hAnsiTheme="majorHAnsi" w:cstheme="majorHAnsi"/>
          <w:sz w:val="24"/>
          <w:szCs w:val="24"/>
          <w:lang w:val="ro-MD"/>
        </w:rPr>
        <w:t>în condiții favorizante</w:t>
      </w:r>
      <w:r>
        <w:rPr>
          <w:rFonts w:asciiTheme="majorHAnsi" w:hAnsiTheme="majorHAnsi" w:cstheme="majorHAnsi"/>
          <w:sz w:val="24"/>
          <w:szCs w:val="24"/>
          <w:lang w:val="ro-MD"/>
        </w:rPr>
        <w:t>;</w:t>
      </w:r>
      <w:r w:rsidRPr="00580B99">
        <w:rPr>
          <w:rFonts w:asciiTheme="majorHAnsi" w:hAnsiTheme="majorHAnsi" w:cstheme="majorHAnsi"/>
          <w:sz w:val="24"/>
          <w:szCs w:val="24"/>
          <w:lang w:val="ro-MD"/>
        </w:rPr>
        <w:t xml:space="preserve">  </w:t>
      </w:r>
    </w:p>
    <w:p w:rsidR="00337650" w:rsidRPr="00A86049" w:rsidRDefault="00337650" w:rsidP="00337650">
      <w:pPr>
        <w:pStyle w:val="ad"/>
        <w:numPr>
          <w:ilvl w:val="0"/>
          <w:numId w:val="3"/>
        </w:numPr>
        <w:shd w:val="clear" w:color="auto" w:fill="FFFFFF"/>
        <w:spacing w:after="120" w:line="276" w:lineRule="auto"/>
        <w:ind w:left="360" w:firstLine="0"/>
        <w:contextualSpacing w:val="0"/>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nu a fost </w:t>
      </w:r>
      <w:r w:rsidRPr="00A86049">
        <w:rPr>
          <w:rFonts w:asciiTheme="majorHAnsi" w:hAnsiTheme="majorHAnsi" w:cstheme="majorHAnsi"/>
          <w:sz w:val="24"/>
          <w:szCs w:val="24"/>
          <w:lang w:val="ro-MD"/>
        </w:rPr>
        <w:t>asigurat</w:t>
      </w:r>
      <w:r>
        <w:rPr>
          <w:rFonts w:asciiTheme="majorHAnsi" w:hAnsiTheme="majorHAnsi" w:cstheme="majorHAnsi"/>
          <w:sz w:val="24"/>
          <w:szCs w:val="24"/>
          <w:lang w:val="ro-MD"/>
        </w:rPr>
        <w:t>ă</w:t>
      </w:r>
      <w:r w:rsidRPr="00A86049">
        <w:rPr>
          <w:rFonts w:asciiTheme="majorHAnsi" w:hAnsiTheme="majorHAnsi" w:cstheme="majorHAnsi"/>
          <w:sz w:val="24"/>
          <w:szCs w:val="24"/>
          <w:lang w:val="ro-MD"/>
        </w:rPr>
        <w:t xml:space="preserve"> reglementarea volumului de lucru în cazul avocaților contractați la cerere, fapt care a dus la prezența unor discrepanțe semnificative și practici neuniforme în cadrul procesului de repartizare a cauzelor de AJGS avocaților contractați. În ansamblu, situația constatată în anul 2021 indică </w:t>
      </w:r>
      <w:r>
        <w:rPr>
          <w:rFonts w:asciiTheme="majorHAnsi" w:hAnsiTheme="majorHAnsi" w:cstheme="majorHAnsi"/>
          <w:sz w:val="24"/>
          <w:szCs w:val="24"/>
          <w:lang w:val="ro-MD"/>
        </w:rPr>
        <w:t xml:space="preserve">repartizarea </w:t>
      </w:r>
      <w:r w:rsidR="00987A83">
        <w:rPr>
          <w:rFonts w:asciiTheme="majorHAnsi" w:hAnsiTheme="majorHAnsi" w:cstheme="majorHAnsi"/>
          <w:sz w:val="24"/>
          <w:szCs w:val="24"/>
          <w:lang w:val="ro-MD"/>
        </w:rPr>
        <w:t>diferențiată/</w:t>
      </w:r>
      <w:r>
        <w:rPr>
          <w:rFonts w:asciiTheme="majorHAnsi" w:hAnsiTheme="majorHAnsi" w:cstheme="majorHAnsi"/>
          <w:sz w:val="24"/>
          <w:szCs w:val="24"/>
          <w:lang w:val="ro-MD"/>
        </w:rPr>
        <w:t>inegală a dosarelor</w:t>
      </w:r>
      <w:r w:rsidR="00672F79">
        <w:rPr>
          <w:rFonts w:asciiTheme="majorHAnsi" w:hAnsiTheme="majorHAnsi" w:cstheme="majorHAnsi"/>
          <w:sz w:val="24"/>
          <w:szCs w:val="24"/>
          <w:lang w:val="ro-MD"/>
        </w:rPr>
        <w:t xml:space="preserve"> avocaților contractați</w:t>
      </w:r>
      <w:r>
        <w:rPr>
          <w:rFonts w:asciiTheme="majorHAnsi" w:hAnsiTheme="majorHAnsi" w:cstheme="majorHAnsi"/>
          <w:sz w:val="24"/>
          <w:szCs w:val="24"/>
          <w:lang w:val="ro-MD"/>
        </w:rPr>
        <w:t xml:space="preserve">, de la 0 la </w:t>
      </w:r>
      <w:r w:rsidRPr="00A86049">
        <w:rPr>
          <w:rFonts w:asciiTheme="majorHAnsi" w:hAnsiTheme="majorHAnsi" w:cstheme="majorHAnsi"/>
          <w:sz w:val="24"/>
          <w:szCs w:val="24"/>
          <w:lang w:val="ro-MD"/>
        </w:rPr>
        <w:t>mai mult de 200 de cauze</w:t>
      </w:r>
      <w:r>
        <w:rPr>
          <w:rFonts w:asciiTheme="majorHAnsi" w:hAnsiTheme="majorHAnsi" w:cstheme="majorHAnsi"/>
          <w:sz w:val="24"/>
          <w:szCs w:val="24"/>
          <w:lang w:val="ro-MD"/>
        </w:rPr>
        <w:t xml:space="preserve"> într-un an;</w:t>
      </w:r>
    </w:p>
    <w:p w:rsidR="00337650" w:rsidRPr="00A86049" w:rsidRDefault="00337650" w:rsidP="00337650">
      <w:pPr>
        <w:pStyle w:val="ad"/>
        <w:numPr>
          <w:ilvl w:val="0"/>
          <w:numId w:val="3"/>
        </w:numPr>
        <w:shd w:val="clear" w:color="auto" w:fill="FFFFFF"/>
        <w:spacing w:after="120" w:line="276" w:lineRule="auto"/>
        <w:ind w:left="360" w:firstLine="0"/>
        <w:contextualSpacing w:val="0"/>
        <w:jc w:val="both"/>
        <w:rPr>
          <w:rFonts w:asciiTheme="majorHAnsi" w:hAnsiTheme="majorHAnsi" w:cstheme="majorHAnsi"/>
          <w:sz w:val="24"/>
          <w:szCs w:val="24"/>
          <w:lang w:val="ro-MD"/>
        </w:rPr>
      </w:pPr>
      <w:r>
        <w:rPr>
          <w:rFonts w:asciiTheme="majorHAnsi" w:hAnsiTheme="majorHAnsi" w:cstheme="majorHAnsi"/>
          <w:sz w:val="24"/>
          <w:szCs w:val="24"/>
          <w:lang w:val="ro-MD"/>
        </w:rPr>
        <w:t>n</w:t>
      </w:r>
      <w:r w:rsidRPr="00A86049">
        <w:rPr>
          <w:rFonts w:asciiTheme="majorHAnsi" w:hAnsiTheme="majorHAnsi" w:cstheme="majorHAnsi"/>
          <w:sz w:val="24"/>
          <w:szCs w:val="24"/>
          <w:lang w:val="ro-MD"/>
        </w:rPr>
        <w:t>ecesită a fi îmbunătățit și procesul de remunerare a avocaților care acordă servicii juridice</w:t>
      </w:r>
      <w:r>
        <w:rPr>
          <w:rFonts w:asciiTheme="majorHAnsi" w:hAnsiTheme="majorHAnsi" w:cstheme="majorHAnsi"/>
          <w:sz w:val="24"/>
          <w:szCs w:val="24"/>
          <w:lang w:val="ro-MD"/>
        </w:rPr>
        <w:t xml:space="preserve"> calificate</w:t>
      </w:r>
      <w:r w:rsidRPr="00A86049">
        <w:rPr>
          <w:rFonts w:asciiTheme="majorHAnsi" w:hAnsiTheme="majorHAnsi" w:cstheme="majorHAnsi"/>
          <w:sz w:val="24"/>
          <w:szCs w:val="24"/>
          <w:lang w:val="ro-MD"/>
        </w:rPr>
        <w:t xml:space="preserve">, prin instituirea unor activități de control menite să asigure conformitatea utilizării mijloacelor bugetare în scopurile menționate. Or, verificările de audit </w:t>
      </w:r>
      <w:r>
        <w:rPr>
          <w:rFonts w:asciiTheme="majorHAnsi" w:hAnsiTheme="majorHAnsi" w:cstheme="majorHAnsi"/>
          <w:sz w:val="24"/>
          <w:szCs w:val="24"/>
          <w:lang w:val="ro-MD"/>
        </w:rPr>
        <w:t>denotă</w:t>
      </w:r>
      <w:r w:rsidRPr="00A86049">
        <w:rPr>
          <w:rFonts w:asciiTheme="majorHAnsi" w:hAnsiTheme="majorHAnsi" w:cstheme="majorHAnsi"/>
          <w:sz w:val="24"/>
          <w:szCs w:val="24"/>
          <w:lang w:val="ro-MD"/>
        </w:rPr>
        <w:t xml:space="preserve"> cazuri de re</w:t>
      </w:r>
      <w:r w:rsidR="00F502EB">
        <w:rPr>
          <w:rFonts w:asciiTheme="majorHAnsi" w:hAnsiTheme="majorHAnsi" w:cstheme="majorHAnsi"/>
          <w:sz w:val="24"/>
          <w:szCs w:val="24"/>
          <w:lang w:val="ro-MD"/>
        </w:rPr>
        <w:t xml:space="preserve">munerare a unor avocați pentru acțiuni </w:t>
      </w:r>
      <w:r w:rsidRPr="00A86049">
        <w:rPr>
          <w:rFonts w:asciiTheme="majorHAnsi" w:hAnsiTheme="majorHAnsi" w:cstheme="majorHAnsi"/>
          <w:sz w:val="24"/>
          <w:szCs w:val="24"/>
          <w:lang w:val="ro-MD"/>
        </w:rPr>
        <w:t>neconfirmate documentar sau care nu pot fi probate și justificate ca executate, cum ar fi</w:t>
      </w:r>
      <w:r w:rsidR="009F3785">
        <w:rPr>
          <w:rFonts w:asciiTheme="majorHAnsi" w:hAnsiTheme="majorHAnsi" w:cstheme="majorHAnsi"/>
          <w:sz w:val="24"/>
          <w:szCs w:val="24"/>
          <w:lang w:val="ro-MD"/>
        </w:rPr>
        <w:t>:</w:t>
      </w:r>
      <w:r w:rsidRPr="00A86049">
        <w:rPr>
          <w:rFonts w:asciiTheme="majorHAnsi" w:hAnsiTheme="majorHAnsi" w:cstheme="majorHAnsi"/>
          <w:sz w:val="24"/>
          <w:szCs w:val="24"/>
          <w:lang w:val="ro-MD"/>
        </w:rPr>
        <w:t xml:space="preserve"> vizitele efectuate în penitenciar, prezența în ședințele de judecată, </w:t>
      </w:r>
      <w:r>
        <w:rPr>
          <w:rFonts w:asciiTheme="majorHAnsi" w:hAnsiTheme="majorHAnsi" w:cstheme="majorHAnsi"/>
          <w:sz w:val="24"/>
          <w:szCs w:val="24"/>
          <w:lang w:val="ro-MD"/>
        </w:rPr>
        <w:t>informarea cu</w:t>
      </w:r>
      <w:r w:rsidRPr="00A86049">
        <w:rPr>
          <w:rFonts w:asciiTheme="majorHAnsi" w:hAnsiTheme="majorHAnsi" w:cstheme="majorHAnsi"/>
          <w:sz w:val="24"/>
          <w:szCs w:val="24"/>
          <w:lang w:val="ro-MD"/>
        </w:rPr>
        <w:t xml:space="preserve"> unele acte procesuale și explicarea acestora</w:t>
      </w:r>
      <w:r>
        <w:rPr>
          <w:rFonts w:asciiTheme="majorHAnsi" w:hAnsiTheme="majorHAnsi" w:cstheme="majorHAnsi"/>
          <w:sz w:val="24"/>
          <w:szCs w:val="24"/>
          <w:lang w:val="ro-MD"/>
        </w:rPr>
        <w:t>;</w:t>
      </w:r>
    </w:p>
    <w:p w:rsidR="00337650" w:rsidRPr="008C4A49" w:rsidRDefault="00337650" w:rsidP="00337650">
      <w:pPr>
        <w:pStyle w:val="ad"/>
        <w:numPr>
          <w:ilvl w:val="0"/>
          <w:numId w:val="3"/>
        </w:numPr>
        <w:shd w:val="clear" w:color="auto" w:fill="FFFFFF"/>
        <w:spacing w:after="120" w:line="276" w:lineRule="auto"/>
        <w:ind w:left="360" w:firstLine="0"/>
        <w:contextualSpacing w:val="0"/>
        <w:jc w:val="both"/>
        <w:rPr>
          <w:rFonts w:asciiTheme="majorHAnsi" w:hAnsiTheme="majorHAnsi" w:cstheme="majorHAnsi"/>
          <w:sz w:val="24"/>
          <w:szCs w:val="24"/>
          <w:lang w:val="ro-MD"/>
        </w:rPr>
      </w:pPr>
      <w:r w:rsidRPr="008C4A49">
        <w:rPr>
          <w:rFonts w:asciiTheme="majorHAnsi" w:hAnsiTheme="majorHAnsi" w:cstheme="majorHAnsi"/>
          <w:sz w:val="24"/>
          <w:szCs w:val="24"/>
          <w:lang w:val="ro-MD"/>
        </w:rPr>
        <w:t xml:space="preserve"> tergiversarea punerii în aplicare a instrumentului aferent evaluării calității serviciilor juridice prestate de către avocați, or, acest fapt permite apărătorilor de a nu fi monitorizați în vederea identificării cazurilor deficitare de acordare a asistenței juridice</w:t>
      </w:r>
      <w:r>
        <w:rPr>
          <w:rFonts w:asciiTheme="majorHAnsi" w:hAnsiTheme="majorHAnsi" w:cstheme="majorHAnsi"/>
          <w:sz w:val="24"/>
          <w:szCs w:val="24"/>
          <w:lang w:val="ro-MD"/>
        </w:rPr>
        <w:t xml:space="preserve"> garantate de stat</w:t>
      </w:r>
      <w:r w:rsidRPr="008C4A49">
        <w:rPr>
          <w:rFonts w:asciiTheme="majorHAnsi" w:hAnsiTheme="majorHAnsi" w:cstheme="majorHAnsi"/>
          <w:sz w:val="24"/>
          <w:szCs w:val="24"/>
          <w:lang w:val="ro-MD"/>
        </w:rPr>
        <w:t xml:space="preserve">; </w:t>
      </w:r>
    </w:p>
    <w:p w:rsidR="00337650" w:rsidRPr="008C4A49" w:rsidRDefault="00337650" w:rsidP="00337650">
      <w:pPr>
        <w:pStyle w:val="ad"/>
        <w:numPr>
          <w:ilvl w:val="0"/>
          <w:numId w:val="3"/>
        </w:numPr>
        <w:shd w:val="clear" w:color="auto" w:fill="FFFFFF"/>
        <w:spacing w:after="120" w:line="276" w:lineRule="auto"/>
        <w:ind w:left="360" w:firstLine="0"/>
        <w:contextualSpacing w:val="0"/>
        <w:jc w:val="both"/>
        <w:rPr>
          <w:rFonts w:asciiTheme="majorHAnsi" w:hAnsiTheme="majorHAnsi" w:cstheme="majorHAnsi"/>
          <w:sz w:val="24"/>
          <w:szCs w:val="24"/>
          <w:lang w:val="ro-MD"/>
        </w:rPr>
      </w:pPr>
      <w:r w:rsidRPr="008C4A49">
        <w:rPr>
          <w:rFonts w:asciiTheme="majorHAnsi" w:hAnsiTheme="majorHAnsi" w:cstheme="majorHAnsi"/>
          <w:sz w:val="24"/>
          <w:szCs w:val="24"/>
          <w:lang w:val="ro-MD"/>
        </w:rPr>
        <w:t>funcționarea defectuoasă a mecanismului de recuperare a cheltuielilor pentru asistența juridică garantată de stat</w:t>
      </w:r>
      <w:r>
        <w:rPr>
          <w:rFonts w:asciiTheme="majorHAnsi" w:hAnsiTheme="majorHAnsi" w:cstheme="majorHAnsi"/>
          <w:sz w:val="24"/>
          <w:szCs w:val="24"/>
          <w:lang w:val="ro-MD"/>
        </w:rPr>
        <w:t>,</w:t>
      </w:r>
      <w:r w:rsidRPr="008C4A49">
        <w:rPr>
          <w:rFonts w:asciiTheme="majorHAnsi" w:hAnsiTheme="majorHAnsi" w:cstheme="majorHAnsi"/>
          <w:sz w:val="24"/>
          <w:szCs w:val="24"/>
          <w:lang w:val="ro-MD"/>
        </w:rPr>
        <w:t xml:space="preserve"> precum și sincopele existente în identificarea cazurilor pasibile restituirii la buget au redus din încasarea tuturor sumelor cuvenite</w:t>
      </w:r>
      <w:r>
        <w:rPr>
          <w:rFonts w:asciiTheme="majorHAnsi" w:hAnsiTheme="majorHAnsi" w:cstheme="majorHAnsi"/>
          <w:sz w:val="24"/>
          <w:szCs w:val="24"/>
          <w:lang w:val="ro-MD"/>
        </w:rPr>
        <w:t>;</w:t>
      </w:r>
    </w:p>
    <w:p w:rsidR="00337650" w:rsidRPr="008C4A49" w:rsidRDefault="00337650" w:rsidP="00337650">
      <w:pPr>
        <w:pStyle w:val="ad"/>
        <w:numPr>
          <w:ilvl w:val="0"/>
          <w:numId w:val="3"/>
        </w:numPr>
        <w:shd w:val="clear" w:color="auto" w:fill="FFFFFF"/>
        <w:spacing w:after="120" w:line="276" w:lineRule="auto"/>
        <w:ind w:left="360" w:firstLine="0"/>
        <w:jc w:val="both"/>
        <w:rPr>
          <w:rFonts w:asciiTheme="majorHAnsi" w:hAnsiTheme="majorHAnsi" w:cstheme="majorHAnsi"/>
          <w:sz w:val="24"/>
          <w:szCs w:val="24"/>
          <w:lang w:val="ro-MD"/>
        </w:rPr>
      </w:pPr>
      <w:r w:rsidRPr="008C4A49">
        <w:rPr>
          <w:rFonts w:asciiTheme="majorHAnsi" w:hAnsiTheme="majorHAnsi" w:cstheme="majorHAnsi"/>
          <w:sz w:val="24"/>
          <w:szCs w:val="24"/>
          <w:lang w:val="ro-MD"/>
        </w:rPr>
        <w:t xml:space="preserve">structura organizațională a entităților responsabile de administrarea procesului de AJGS este una difuză, existând neclarități privind statutul juridic și poziționarea acestora, rolul și responsabilitățile atribuite, inclusiv în procesele de planificare, gestionare și raportare a mijloacelor bugetare. </w:t>
      </w:r>
    </w:p>
    <w:p w:rsidR="00337650" w:rsidRPr="008A3EDF" w:rsidRDefault="00337650" w:rsidP="00337650">
      <w:pPr>
        <w:spacing w:after="0" w:line="276" w:lineRule="auto"/>
        <w:ind w:firstLine="709"/>
        <w:jc w:val="both"/>
        <w:rPr>
          <w:rFonts w:asciiTheme="majorHAnsi" w:hAnsiTheme="majorHAnsi" w:cstheme="majorHAnsi"/>
          <w:sz w:val="24"/>
          <w:szCs w:val="24"/>
          <w:lang w:val="ro-MD"/>
        </w:rPr>
      </w:pPr>
      <w:r w:rsidRPr="008A3EDF">
        <w:rPr>
          <w:rFonts w:asciiTheme="majorHAnsi" w:hAnsiTheme="majorHAnsi" w:cstheme="majorHAnsi"/>
          <w:sz w:val="24"/>
          <w:szCs w:val="24"/>
          <w:lang w:val="ro-MD"/>
        </w:rPr>
        <w:t xml:space="preserve">Pentru remedierea deficiențelor constatate sunt necesare măsuri și acțiuni prompte din partea autorităților statului, care să asigure îmbunătățirea proceselor de administrare a sistemului </w:t>
      </w:r>
      <w:r>
        <w:rPr>
          <w:rFonts w:asciiTheme="majorHAnsi" w:hAnsiTheme="majorHAnsi" w:cstheme="majorHAnsi"/>
          <w:sz w:val="24"/>
          <w:szCs w:val="24"/>
          <w:lang w:val="ro-MD"/>
        </w:rPr>
        <w:t>de asistență juridică garantată de stat</w:t>
      </w:r>
      <w:r w:rsidRPr="008A3EDF">
        <w:rPr>
          <w:rFonts w:asciiTheme="majorHAnsi" w:hAnsiTheme="majorHAnsi" w:cstheme="majorHAnsi"/>
          <w:sz w:val="24"/>
          <w:szCs w:val="24"/>
          <w:lang w:val="ro-MD"/>
        </w:rPr>
        <w:t>.</w:t>
      </w:r>
    </w:p>
    <w:p w:rsidR="00337650" w:rsidRPr="008A3EDF" w:rsidRDefault="00337650" w:rsidP="00337650">
      <w:pPr>
        <w:pStyle w:val="a5"/>
        <w:spacing w:after="0" w:line="276" w:lineRule="auto"/>
        <w:ind w:left="0" w:firstLine="709"/>
        <w:jc w:val="both"/>
        <w:rPr>
          <w:rFonts w:asciiTheme="majorHAnsi" w:hAnsiTheme="majorHAnsi" w:cstheme="majorHAnsi"/>
          <w:lang w:val="ro-MD"/>
        </w:rPr>
      </w:pPr>
      <w:r w:rsidRPr="008A3EDF">
        <w:rPr>
          <w:rFonts w:asciiTheme="majorHAnsi" w:hAnsiTheme="majorHAnsi" w:cstheme="majorHAnsi"/>
          <w:lang w:val="ro-MD"/>
        </w:rPr>
        <w:t>Reieșind din cele expuse, în temeiul</w:t>
      </w:r>
      <w:r>
        <w:rPr>
          <w:rFonts w:asciiTheme="majorHAnsi" w:hAnsiTheme="majorHAnsi" w:cstheme="majorHAnsi"/>
          <w:lang w:val="ro-MD"/>
        </w:rPr>
        <w:t xml:space="preserve"> art.14 alin.(2), art.</w:t>
      </w:r>
      <w:r w:rsidRPr="00830E58">
        <w:rPr>
          <w:rFonts w:asciiTheme="majorHAnsi" w:hAnsiTheme="majorHAnsi" w:cstheme="majorHAnsi"/>
          <w:lang w:val="ro-MD"/>
        </w:rPr>
        <w:t>15 lit.</w:t>
      </w:r>
      <w:r w:rsidR="00C93A18">
        <w:rPr>
          <w:rFonts w:ascii="Calibri Light" w:hAnsi="Calibri Light" w:cs="Calibri Light"/>
          <w:lang w:val="ro-MD"/>
        </w:rPr>
        <w:t xml:space="preserve"> d) </w:t>
      </w:r>
      <w:r w:rsidRPr="009126EC">
        <w:rPr>
          <w:rFonts w:asciiTheme="majorHAnsi" w:hAnsiTheme="majorHAnsi" w:cstheme="majorHAnsi"/>
          <w:lang w:val="ro-MD"/>
        </w:rPr>
        <w:t>și art.37 alin</w:t>
      </w:r>
      <w:r w:rsidRPr="008A3EDF">
        <w:rPr>
          <w:rFonts w:asciiTheme="majorHAnsi" w:hAnsiTheme="majorHAnsi" w:cstheme="majorHAnsi"/>
          <w:lang w:val="ro-MD"/>
        </w:rPr>
        <w:t xml:space="preserve">.(2) din Legea  </w:t>
      </w:r>
      <w:r w:rsidRPr="00D67210">
        <w:rPr>
          <w:rFonts w:asciiTheme="majorHAnsi" w:hAnsiTheme="majorHAnsi" w:cstheme="majorHAnsi"/>
          <w:lang w:val="ro-MD"/>
        </w:rPr>
        <w:t>nr.260 din 07.12.2017,</w:t>
      </w:r>
      <w:r w:rsidRPr="008A3EDF">
        <w:rPr>
          <w:rFonts w:asciiTheme="majorHAnsi" w:hAnsiTheme="majorHAnsi" w:cstheme="majorHAnsi"/>
          <w:lang w:val="ro-MD"/>
        </w:rPr>
        <w:t xml:space="preserve"> Curtea de Conturi</w:t>
      </w:r>
    </w:p>
    <w:p w:rsidR="00337650" w:rsidRPr="008A3EDF" w:rsidRDefault="00337650" w:rsidP="00337650">
      <w:pPr>
        <w:pStyle w:val="a5"/>
        <w:tabs>
          <w:tab w:val="left" w:pos="8052"/>
        </w:tabs>
        <w:spacing w:after="0" w:line="276" w:lineRule="auto"/>
        <w:ind w:left="0" w:firstLine="709"/>
        <w:jc w:val="both"/>
        <w:rPr>
          <w:rFonts w:asciiTheme="majorHAnsi" w:hAnsiTheme="majorHAnsi" w:cstheme="majorHAnsi"/>
          <w:lang w:val="ro-MD"/>
        </w:rPr>
      </w:pPr>
      <w:r>
        <w:rPr>
          <w:rFonts w:asciiTheme="majorHAnsi" w:hAnsiTheme="majorHAnsi" w:cstheme="majorHAnsi"/>
          <w:lang w:val="ro-MD"/>
        </w:rPr>
        <w:tab/>
      </w:r>
    </w:p>
    <w:p w:rsidR="00337650" w:rsidRPr="008A3EDF" w:rsidRDefault="00337650" w:rsidP="00337650">
      <w:pPr>
        <w:pStyle w:val="cp"/>
        <w:spacing w:after="120" w:line="276" w:lineRule="auto"/>
        <w:rPr>
          <w:rFonts w:asciiTheme="majorHAnsi" w:hAnsiTheme="majorHAnsi" w:cstheme="majorHAnsi"/>
          <w:lang w:val="ro-MD"/>
        </w:rPr>
      </w:pPr>
      <w:r w:rsidRPr="008A3EDF">
        <w:rPr>
          <w:rFonts w:asciiTheme="majorHAnsi" w:hAnsiTheme="majorHAnsi" w:cstheme="majorHAnsi"/>
          <w:lang w:val="ro-MD"/>
        </w:rPr>
        <w:t>HOTĂRĂŞTE:</w:t>
      </w:r>
      <w:r w:rsidRPr="008A3EDF">
        <w:rPr>
          <w:rFonts w:asciiTheme="majorHAnsi" w:hAnsiTheme="majorHAnsi" w:cstheme="majorHAnsi"/>
          <w:lang w:val="ro-MD"/>
        </w:rPr>
        <w:tab/>
      </w:r>
    </w:p>
    <w:p w:rsidR="00337650" w:rsidRPr="008A3EDF" w:rsidRDefault="00337650" w:rsidP="00C93A18">
      <w:pPr>
        <w:pStyle w:val="a5"/>
        <w:numPr>
          <w:ilvl w:val="1"/>
          <w:numId w:val="6"/>
        </w:numPr>
        <w:tabs>
          <w:tab w:val="left" w:pos="990"/>
          <w:tab w:val="left" w:pos="1170"/>
        </w:tabs>
        <w:spacing w:after="0" w:line="276" w:lineRule="auto"/>
        <w:ind w:left="0" w:firstLine="720"/>
        <w:jc w:val="both"/>
        <w:rPr>
          <w:rFonts w:asciiTheme="majorHAnsi" w:hAnsiTheme="majorHAnsi" w:cstheme="majorHAnsi"/>
          <w:lang w:val="ro-MD"/>
        </w:rPr>
      </w:pPr>
      <w:r w:rsidRPr="008A3EDF">
        <w:rPr>
          <w:rFonts w:asciiTheme="majorHAnsi" w:hAnsiTheme="majorHAnsi" w:cstheme="majorHAnsi"/>
          <w:bCs/>
          <w:lang w:val="ro-MD"/>
        </w:rPr>
        <w:t>Se</w:t>
      </w:r>
      <w:r w:rsidRPr="008A3EDF">
        <w:rPr>
          <w:rFonts w:asciiTheme="majorHAnsi" w:hAnsiTheme="majorHAnsi" w:cstheme="majorHAnsi"/>
          <w:lang w:val="ro-MD"/>
        </w:rPr>
        <w:t xml:space="preserve"> aprobă Raportul </w:t>
      </w:r>
      <w:r w:rsidRPr="00362BBF">
        <w:rPr>
          <w:rFonts w:asciiTheme="majorHAnsi" w:hAnsiTheme="majorHAnsi" w:cstheme="majorHAnsi"/>
          <w:lang w:val="ro-MD"/>
        </w:rPr>
        <w:t>auditului</w:t>
      </w:r>
      <w:r w:rsidRPr="00362BBF">
        <w:rPr>
          <w:rFonts w:asciiTheme="majorHAnsi" w:hAnsiTheme="majorHAnsi" w:cstheme="majorHAnsi"/>
          <w:bCs/>
          <w:lang w:val="ro-MD" w:eastAsia="ru-RU"/>
        </w:rPr>
        <w:t xml:space="preserve"> conformității </w:t>
      </w:r>
      <w:r w:rsidR="00C93A18" w:rsidRPr="00C93A18">
        <w:rPr>
          <w:rFonts w:asciiTheme="majorHAnsi" w:hAnsiTheme="majorHAnsi" w:cstheme="majorHAnsi"/>
          <w:bCs/>
          <w:lang w:val="ro-MD" w:eastAsia="ru-RU"/>
        </w:rPr>
        <w:t>asupra utilizării resurselor financiare publice alocate pentru administrarea sistemului de acordare a asistenței juridice garantate de stat în ani</w:t>
      </w:r>
      <w:r w:rsidR="00EC5E66">
        <w:rPr>
          <w:rFonts w:asciiTheme="majorHAnsi" w:hAnsiTheme="majorHAnsi" w:cstheme="majorHAnsi"/>
          <w:bCs/>
          <w:lang w:val="ro-MD" w:eastAsia="ru-RU"/>
        </w:rPr>
        <w:t>i</w:t>
      </w:r>
      <w:r w:rsidR="00C93A18" w:rsidRPr="00C93A18">
        <w:rPr>
          <w:rFonts w:asciiTheme="majorHAnsi" w:hAnsiTheme="majorHAnsi" w:cstheme="majorHAnsi"/>
          <w:bCs/>
          <w:lang w:val="ro-MD" w:eastAsia="ru-RU"/>
        </w:rPr>
        <w:t xml:space="preserve"> 2020-2022</w:t>
      </w:r>
      <w:r w:rsidRPr="008A3EDF">
        <w:rPr>
          <w:rFonts w:asciiTheme="majorHAnsi" w:hAnsiTheme="majorHAnsi" w:cstheme="majorHAnsi"/>
          <w:lang w:val="ro-MD"/>
        </w:rPr>
        <w:t>, anexat la prezenta Hotărâre.</w:t>
      </w:r>
    </w:p>
    <w:p w:rsidR="00337650" w:rsidRDefault="00337650" w:rsidP="00337650">
      <w:pPr>
        <w:pStyle w:val="a5"/>
        <w:numPr>
          <w:ilvl w:val="0"/>
          <w:numId w:val="6"/>
        </w:numPr>
        <w:tabs>
          <w:tab w:val="left" w:pos="990"/>
        </w:tabs>
        <w:spacing w:after="0" w:line="276" w:lineRule="auto"/>
        <w:ind w:left="0" w:firstLine="720"/>
        <w:jc w:val="both"/>
        <w:rPr>
          <w:rFonts w:asciiTheme="majorHAnsi" w:hAnsiTheme="majorHAnsi" w:cstheme="majorHAnsi"/>
          <w:lang w:val="ro-MD"/>
        </w:rPr>
      </w:pPr>
      <w:r w:rsidRPr="008A3EDF">
        <w:rPr>
          <w:rFonts w:asciiTheme="majorHAnsi" w:hAnsiTheme="majorHAnsi" w:cstheme="majorHAnsi"/>
          <w:bCs/>
          <w:lang w:val="ro-MD"/>
        </w:rPr>
        <w:t>Prezenta</w:t>
      </w:r>
      <w:r w:rsidRPr="008A3EDF">
        <w:rPr>
          <w:rFonts w:asciiTheme="majorHAnsi" w:hAnsiTheme="majorHAnsi" w:cstheme="majorHAnsi"/>
          <w:lang w:val="ro-MD"/>
        </w:rPr>
        <w:t xml:space="preserve"> Hotărâre și Raportul de audit se remit:</w:t>
      </w:r>
    </w:p>
    <w:p w:rsidR="00337650" w:rsidRPr="00E56E39" w:rsidRDefault="00337650" w:rsidP="00337650">
      <w:pPr>
        <w:pStyle w:val="a5"/>
        <w:numPr>
          <w:ilvl w:val="1"/>
          <w:numId w:val="6"/>
        </w:numPr>
        <w:tabs>
          <w:tab w:val="left" w:pos="990"/>
          <w:tab w:val="left" w:pos="1170"/>
        </w:tabs>
        <w:spacing w:after="0" w:line="276" w:lineRule="auto"/>
        <w:ind w:left="0" w:firstLine="720"/>
        <w:jc w:val="both"/>
        <w:rPr>
          <w:rFonts w:asciiTheme="majorHAnsi" w:hAnsiTheme="majorHAnsi" w:cstheme="majorHAnsi"/>
          <w:lang w:val="ro-MD"/>
        </w:rPr>
      </w:pPr>
      <w:r w:rsidRPr="00457EC1">
        <w:rPr>
          <w:rFonts w:asciiTheme="majorHAnsi" w:hAnsiTheme="majorHAnsi" w:cstheme="majorHAnsi"/>
          <w:b/>
          <w:lang w:val="ro-MD"/>
        </w:rPr>
        <w:t>Parlamentului Republicii Moldova</w:t>
      </w:r>
      <w:r w:rsidRPr="00457EC1">
        <w:rPr>
          <w:rFonts w:asciiTheme="majorHAnsi" w:hAnsiTheme="majorHAnsi" w:cstheme="majorHAnsi"/>
          <w:lang w:val="ro-MD"/>
        </w:rPr>
        <w:t>,</w:t>
      </w:r>
      <w:r w:rsidRPr="00457EC1">
        <w:rPr>
          <w:rFonts w:asciiTheme="majorHAnsi" w:hAnsiTheme="majorHAnsi" w:cstheme="majorHAnsi"/>
          <w:lang w:val="ro-MD" w:eastAsia="ru-RU"/>
        </w:rPr>
        <w:t xml:space="preserve"> </w:t>
      </w:r>
      <w:r w:rsidRPr="00457EC1">
        <w:rPr>
          <w:rFonts w:asciiTheme="majorHAnsi" w:hAnsiTheme="majorHAnsi" w:cstheme="majorHAnsi"/>
          <w:lang w:val="ro-MD"/>
        </w:rPr>
        <w:t>pentru informare și examinare, după caz, în cadrul Comisiei parlamentare de control al finanțelor publice</w:t>
      </w:r>
      <w:r w:rsidRPr="00457EC1">
        <w:rPr>
          <w:rFonts w:asciiTheme="majorHAnsi" w:hAnsiTheme="majorHAnsi" w:cstheme="majorHAnsi"/>
          <w:bCs/>
          <w:lang w:val="ro-MD"/>
        </w:rPr>
        <w:t>;</w:t>
      </w:r>
    </w:p>
    <w:p w:rsidR="00337650" w:rsidRDefault="00337650" w:rsidP="00337650">
      <w:pPr>
        <w:pStyle w:val="a5"/>
        <w:numPr>
          <w:ilvl w:val="1"/>
          <w:numId w:val="6"/>
        </w:numPr>
        <w:tabs>
          <w:tab w:val="left" w:pos="990"/>
          <w:tab w:val="left" w:pos="1170"/>
        </w:tabs>
        <w:spacing w:after="0" w:line="276" w:lineRule="auto"/>
        <w:ind w:left="0" w:firstLine="720"/>
        <w:jc w:val="both"/>
        <w:rPr>
          <w:rFonts w:asciiTheme="majorHAnsi" w:hAnsiTheme="majorHAnsi" w:cstheme="majorHAnsi"/>
          <w:lang w:val="ro-MD"/>
        </w:rPr>
      </w:pPr>
      <w:r w:rsidRPr="00E56E39">
        <w:rPr>
          <w:rFonts w:asciiTheme="majorHAnsi" w:hAnsiTheme="majorHAnsi" w:cstheme="majorHAnsi"/>
          <w:b/>
          <w:lang w:val="ro-MD"/>
        </w:rPr>
        <w:t>Președintelui Republicii Moldova</w:t>
      </w:r>
      <w:r w:rsidRPr="00E56E39">
        <w:rPr>
          <w:rFonts w:asciiTheme="majorHAnsi" w:hAnsiTheme="majorHAnsi" w:cstheme="majorHAnsi"/>
          <w:lang w:val="ro-MD"/>
        </w:rPr>
        <w:t>, pentru informare;</w:t>
      </w:r>
    </w:p>
    <w:p w:rsidR="00337650" w:rsidRDefault="00337650" w:rsidP="00337650">
      <w:pPr>
        <w:pStyle w:val="a5"/>
        <w:numPr>
          <w:ilvl w:val="1"/>
          <w:numId w:val="6"/>
        </w:numPr>
        <w:tabs>
          <w:tab w:val="left" w:pos="990"/>
          <w:tab w:val="left" w:pos="1170"/>
        </w:tabs>
        <w:spacing w:after="0" w:line="276" w:lineRule="auto"/>
        <w:ind w:left="0" w:firstLine="720"/>
        <w:jc w:val="both"/>
        <w:rPr>
          <w:rFonts w:asciiTheme="majorHAnsi" w:hAnsiTheme="majorHAnsi" w:cstheme="majorHAnsi"/>
          <w:lang w:val="ro-MD"/>
        </w:rPr>
      </w:pPr>
      <w:r w:rsidRPr="00020A8D">
        <w:rPr>
          <w:rFonts w:asciiTheme="majorHAnsi" w:hAnsiTheme="majorHAnsi" w:cstheme="majorHAnsi"/>
          <w:b/>
          <w:lang w:val="ro-MD"/>
        </w:rPr>
        <w:t>Guvernului Republicii Moldova</w:t>
      </w:r>
      <w:r w:rsidRPr="00020A8D">
        <w:rPr>
          <w:rFonts w:asciiTheme="majorHAnsi" w:hAnsiTheme="majorHAnsi" w:cstheme="majorHAnsi"/>
          <w:lang w:val="ro-MD"/>
        </w:rPr>
        <w:t>, pentru informare și luare de atitudine în vederea monitorizării asigurării implementării recomandărilor de audit;</w:t>
      </w:r>
    </w:p>
    <w:p w:rsidR="00337650" w:rsidRPr="0005223C" w:rsidRDefault="00337650" w:rsidP="0005223C">
      <w:pPr>
        <w:pStyle w:val="a5"/>
        <w:numPr>
          <w:ilvl w:val="1"/>
          <w:numId w:val="6"/>
        </w:numPr>
        <w:tabs>
          <w:tab w:val="left" w:pos="990"/>
          <w:tab w:val="left" w:pos="1170"/>
        </w:tabs>
        <w:spacing w:after="0" w:line="276" w:lineRule="auto"/>
        <w:ind w:left="0" w:firstLine="720"/>
        <w:jc w:val="both"/>
        <w:rPr>
          <w:rFonts w:asciiTheme="majorHAnsi" w:hAnsiTheme="majorHAnsi" w:cstheme="majorHAnsi"/>
          <w:b/>
          <w:lang w:val="ro-MD"/>
        </w:rPr>
      </w:pPr>
      <w:r>
        <w:rPr>
          <w:rFonts w:asciiTheme="majorHAnsi" w:hAnsiTheme="majorHAnsi" w:cstheme="majorHAnsi"/>
          <w:b/>
          <w:lang w:val="ro-MD"/>
        </w:rPr>
        <w:t>Ministerului Justiției</w:t>
      </w:r>
      <w:r w:rsidRPr="00020A8D">
        <w:rPr>
          <w:rFonts w:asciiTheme="majorHAnsi" w:hAnsiTheme="majorHAnsi" w:cstheme="majorHAnsi"/>
          <w:b/>
          <w:lang w:val="ro-MD"/>
        </w:rPr>
        <w:t>,</w:t>
      </w:r>
      <w:r w:rsidRPr="00020A8D">
        <w:rPr>
          <w:rFonts w:asciiTheme="majorHAnsi" w:hAnsiTheme="majorHAnsi" w:cstheme="majorHAnsi"/>
          <w:lang w:val="ro-MD"/>
        </w:rPr>
        <w:t xml:space="preserve"> </w:t>
      </w:r>
      <w:r w:rsidR="00F31169" w:rsidRPr="00EE3B4A">
        <w:rPr>
          <w:rFonts w:asciiTheme="majorHAnsi" w:hAnsiTheme="majorHAnsi" w:cstheme="majorHAnsi"/>
          <w:b/>
          <w:lang w:val="ro-MD"/>
        </w:rPr>
        <w:t>Consiliului Național de Asistență</w:t>
      </w:r>
      <w:r w:rsidR="00F31169">
        <w:rPr>
          <w:rFonts w:asciiTheme="majorHAnsi" w:hAnsiTheme="majorHAnsi" w:cstheme="majorHAnsi"/>
          <w:b/>
          <w:lang w:val="ro-MD"/>
        </w:rPr>
        <w:t xml:space="preserve"> Juridică Garantată de Stat și Oficiilor Teritoriale</w:t>
      </w:r>
      <w:r w:rsidR="00EC5E66">
        <w:rPr>
          <w:rFonts w:asciiTheme="majorHAnsi" w:hAnsiTheme="majorHAnsi" w:cstheme="majorHAnsi"/>
          <w:b/>
          <w:lang w:val="ro-MD"/>
        </w:rPr>
        <w:t>,</w:t>
      </w:r>
      <w:r w:rsidR="00F31169">
        <w:rPr>
          <w:rFonts w:asciiTheme="majorHAnsi" w:hAnsiTheme="majorHAnsi" w:cstheme="majorHAnsi"/>
          <w:lang w:val="ro-MD"/>
        </w:rPr>
        <w:t xml:space="preserve"> </w:t>
      </w:r>
      <w:r w:rsidR="00F31169" w:rsidRPr="00F31169">
        <w:rPr>
          <w:rFonts w:asciiTheme="majorHAnsi" w:hAnsiTheme="majorHAnsi" w:cstheme="majorHAnsi"/>
          <w:lang w:val="ro-MD"/>
        </w:rPr>
        <w:t xml:space="preserve">pentru luare de atitudine, și se recomandă examinarea rezultatelor auditului </w:t>
      </w:r>
      <w:r w:rsidR="00F31169">
        <w:rPr>
          <w:rFonts w:asciiTheme="majorHAnsi" w:hAnsiTheme="majorHAnsi" w:cstheme="majorHAnsi"/>
          <w:lang w:val="ro-MD"/>
        </w:rPr>
        <w:t>public extern</w:t>
      </w:r>
      <w:r w:rsidR="00F31169" w:rsidRPr="00F31169">
        <w:rPr>
          <w:rFonts w:asciiTheme="majorHAnsi" w:hAnsiTheme="majorHAnsi" w:cstheme="majorHAnsi"/>
          <w:lang w:val="ro-MD"/>
        </w:rPr>
        <w:t>, conform competențelor, cu aprobarea unor planuri de măsuri</w:t>
      </w:r>
      <w:r w:rsidR="00BF792E">
        <w:rPr>
          <w:rFonts w:asciiTheme="majorHAnsi" w:hAnsiTheme="majorHAnsi" w:cstheme="majorHAnsi"/>
          <w:lang w:val="ro-MD"/>
        </w:rPr>
        <w:t xml:space="preserve"> </w:t>
      </w:r>
      <w:r w:rsidR="00F31169" w:rsidRPr="00F31169">
        <w:rPr>
          <w:rFonts w:asciiTheme="majorHAnsi" w:hAnsiTheme="majorHAnsi" w:cstheme="majorHAnsi"/>
          <w:lang w:val="ro-MD"/>
        </w:rPr>
        <w:t>privind remedierea situațiilor constatate și implementarea recomandărilor din Raportul de audit</w:t>
      </w:r>
      <w:r w:rsidR="0005223C">
        <w:rPr>
          <w:rFonts w:asciiTheme="majorHAnsi" w:hAnsiTheme="majorHAnsi" w:cstheme="majorHAnsi"/>
          <w:lang w:val="ro-MD"/>
        </w:rPr>
        <w:t>.</w:t>
      </w:r>
    </w:p>
    <w:p w:rsidR="00337650" w:rsidRDefault="00337650" w:rsidP="00337650">
      <w:pPr>
        <w:pStyle w:val="a5"/>
        <w:numPr>
          <w:ilvl w:val="0"/>
          <w:numId w:val="6"/>
        </w:numPr>
        <w:tabs>
          <w:tab w:val="left" w:pos="990"/>
        </w:tabs>
        <w:spacing w:after="0" w:line="276" w:lineRule="auto"/>
        <w:ind w:left="0" w:firstLine="720"/>
        <w:jc w:val="both"/>
        <w:rPr>
          <w:rFonts w:asciiTheme="majorHAnsi" w:hAnsiTheme="majorHAnsi" w:cstheme="majorHAnsi"/>
          <w:lang w:val="ro-MD"/>
        </w:rPr>
      </w:pPr>
      <w:r w:rsidRPr="008A3EDF">
        <w:rPr>
          <w:rFonts w:asciiTheme="majorHAnsi" w:hAnsiTheme="majorHAnsi" w:cstheme="majorHAnsi"/>
          <w:bCs/>
          <w:lang w:val="ro-MD"/>
        </w:rPr>
        <w:t>Prezenta</w:t>
      </w:r>
      <w:r w:rsidRPr="008A3EDF">
        <w:rPr>
          <w:rFonts w:asciiTheme="majorHAnsi" w:hAnsiTheme="majorHAnsi" w:cstheme="majorHAnsi"/>
          <w:lang w:val="ro-MD"/>
        </w:rPr>
        <w:t xml:space="preserve"> Hotărâre intră în vigoare din data publicării 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 </w:t>
      </w:r>
    </w:p>
    <w:p w:rsidR="00337650" w:rsidRPr="00DF7173" w:rsidRDefault="00337650" w:rsidP="00337650">
      <w:pPr>
        <w:pStyle w:val="a5"/>
        <w:numPr>
          <w:ilvl w:val="0"/>
          <w:numId w:val="6"/>
        </w:numPr>
        <w:tabs>
          <w:tab w:val="left" w:pos="990"/>
        </w:tabs>
        <w:spacing w:after="0" w:line="276" w:lineRule="auto"/>
        <w:ind w:left="0" w:firstLine="720"/>
        <w:jc w:val="both"/>
        <w:rPr>
          <w:rFonts w:asciiTheme="majorHAnsi" w:hAnsiTheme="majorHAnsi" w:cstheme="majorHAnsi"/>
          <w:lang w:val="ro-MD"/>
        </w:rPr>
      </w:pPr>
      <w:r w:rsidRPr="0070731A">
        <w:rPr>
          <w:rFonts w:asciiTheme="majorHAnsi" w:hAnsiTheme="majorHAnsi" w:cstheme="majorHAnsi"/>
          <w:noProof/>
          <w:lang w:val="ro-MD"/>
        </w:rPr>
        <w:t xml:space="preserve">Curtea de Conturi va fi informată, în termen de 12 luni din data </w:t>
      </w:r>
      <w:r w:rsidRPr="0070731A">
        <w:rPr>
          <w:rFonts w:asciiTheme="majorHAnsi" w:hAnsiTheme="majorHAnsi" w:cstheme="majorHAnsi"/>
          <w:noProof/>
          <w:lang w:val="ro-MD" w:eastAsia="ru-RU"/>
        </w:rPr>
        <w:t xml:space="preserve">publicării </w:t>
      </w:r>
      <w:r w:rsidRPr="0070731A">
        <w:rPr>
          <w:rFonts w:asciiTheme="majorHAnsi" w:hAnsiTheme="majorHAnsi" w:cstheme="majorHAnsi"/>
          <w:noProof/>
          <w:lang w:val="ro-MD"/>
        </w:rPr>
        <w:t>Hotărârii</w:t>
      </w:r>
      <w:r w:rsidRPr="0070731A">
        <w:rPr>
          <w:rFonts w:asciiTheme="majorHAnsi" w:hAnsiTheme="majorHAnsi" w:cstheme="majorHAnsi"/>
          <w:lang w:val="ro-MD"/>
        </w:rPr>
        <w:t xml:space="preserve"> în Monitorul Oficial al Republicii Moldova,</w:t>
      </w:r>
      <w:r w:rsidRPr="0070731A">
        <w:rPr>
          <w:rFonts w:asciiTheme="majorHAnsi" w:hAnsiTheme="majorHAnsi" w:cstheme="majorHAnsi"/>
          <w:noProof/>
          <w:lang w:val="ro-MD"/>
        </w:rPr>
        <w:t xml:space="preserve"> despre acțiunile întreprin</w:t>
      </w:r>
      <w:r w:rsidR="00B21D0D">
        <w:rPr>
          <w:rFonts w:asciiTheme="majorHAnsi" w:hAnsiTheme="majorHAnsi" w:cstheme="majorHAnsi"/>
          <w:noProof/>
          <w:lang w:val="ro-MD"/>
        </w:rPr>
        <w:t xml:space="preserve">se pentru executarea subpunctului </w:t>
      </w:r>
      <w:r w:rsidRPr="00DF7173">
        <w:rPr>
          <w:rFonts w:asciiTheme="majorHAnsi" w:hAnsiTheme="majorHAnsi" w:cstheme="majorHAnsi"/>
          <w:b/>
          <w:noProof/>
          <w:lang w:val="ro-MD"/>
        </w:rPr>
        <w:t>2.4.</w:t>
      </w:r>
      <w:r w:rsidR="00DF7173">
        <w:rPr>
          <w:rFonts w:asciiTheme="majorHAnsi" w:hAnsiTheme="majorHAnsi" w:cstheme="majorHAnsi"/>
          <w:b/>
          <w:noProof/>
          <w:lang w:val="ro-MD"/>
        </w:rPr>
        <w:t xml:space="preserve"> </w:t>
      </w:r>
      <w:r w:rsidRPr="00DF7173">
        <w:rPr>
          <w:rFonts w:asciiTheme="majorHAnsi" w:hAnsiTheme="majorHAnsi" w:cstheme="majorHAnsi"/>
          <w:noProof/>
          <w:lang w:val="ro-MD"/>
        </w:rPr>
        <w:t>din prezenta Hotărâre.</w:t>
      </w:r>
    </w:p>
    <w:p w:rsidR="00337650" w:rsidRPr="00BC4A90" w:rsidRDefault="00337650" w:rsidP="00337650">
      <w:pPr>
        <w:pStyle w:val="a5"/>
        <w:numPr>
          <w:ilvl w:val="0"/>
          <w:numId w:val="6"/>
        </w:numPr>
        <w:tabs>
          <w:tab w:val="left" w:pos="990"/>
        </w:tabs>
        <w:spacing w:after="0" w:line="276" w:lineRule="auto"/>
        <w:ind w:left="0" w:firstLine="720"/>
        <w:jc w:val="both"/>
        <w:rPr>
          <w:rFonts w:asciiTheme="majorHAnsi" w:hAnsiTheme="majorHAnsi" w:cstheme="majorHAnsi"/>
          <w:lang w:val="ro-MD"/>
        </w:rPr>
      </w:pPr>
      <w:r w:rsidRPr="00BC4A90">
        <w:rPr>
          <w:rFonts w:asciiTheme="majorHAnsi" w:hAnsiTheme="majorHAnsi" w:cstheme="majorHAnsi"/>
          <w:lang w:val="ro-MD"/>
        </w:rPr>
        <w:t xml:space="preserve">Hotărârea și Raportul </w:t>
      </w:r>
      <w:r w:rsidRPr="00362BBF">
        <w:rPr>
          <w:rFonts w:asciiTheme="majorHAnsi" w:hAnsiTheme="majorHAnsi" w:cstheme="majorHAnsi"/>
          <w:lang w:val="ro-MD"/>
        </w:rPr>
        <w:t>auditului</w:t>
      </w:r>
      <w:r w:rsidRPr="00362BBF">
        <w:rPr>
          <w:rFonts w:asciiTheme="majorHAnsi" w:hAnsiTheme="majorHAnsi" w:cstheme="majorHAnsi"/>
        </w:rPr>
        <w:t xml:space="preserve"> </w:t>
      </w:r>
      <w:r w:rsidRPr="00362BBF">
        <w:rPr>
          <w:rFonts w:asciiTheme="majorHAnsi" w:hAnsiTheme="majorHAnsi" w:cstheme="majorHAnsi"/>
          <w:lang w:val="ro-MD"/>
        </w:rPr>
        <w:t xml:space="preserve">conformității </w:t>
      </w:r>
      <w:r w:rsidR="00EC5E66">
        <w:rPr>
          <w:rFonts w:asciiTheme="majorHAnsi" w:hAnsiTheme="majorHAnsi" w:cstheme="majorHAnsi"/>
          <w:lang w:val="ro-MD"/>
        </w:rPr>
        <w:t xml:space="preserve">asupra utilizării resurselor financiare publice </w:t>
      </w:r>
      <w:r w:rsidR="005B3FD0">
        <w:rPr>
          <w:rFonts w:asciiTheme="majorHAnsi" w:hAnsiTheme="majorHAnsi" w:cstheme="majorHAnsi"/>
          <w:lang w:val="ro-MD"/>
        </w:rPr>
        <w:t xml:space="preserve">alocate pentru administrarea </w:t>
      </w:r>
      <w:r w:rsidRPr="00362BBF">
        <w:rPr>
          <w:rFonts w:asciiTheme="majorHAnsi" w:hAnsiTheme="majorHAnsi" w:cstheme="majorHAnsi"/>
          <w:lang w:val="ro-MD"/>
        </w:rPr>
        <w:t>sistemului de acordare</w:t>
      </w:r>
      <w:r w:rsidRPr="00BC4A90">
        <w:rPr>
          <w:rFonts w:asciiTheme="majorHAnsi" w:hAnsiTheme="majorHAnsi" w:cstheme="majorHAnsi"/>
          <w:lang w:val="ro-MD"/>
        </w:rPr>
        <w:t xml:space="preserve"> a asistenței juridice </w:t>
      </w:r>
      <w:r>
        <w:rPr>
          <w:rFonts w:asciiTheme="majorHAnsi" w:hAnsiTheme="majorHAnsi" w:cstheme="majorHAnsi"/>
          <w:lang w:val="ro-MD"/>
        </w:rPr>
        <w:t xml:space="preserve">garantate </w:t>
      </w:r>
      <w:r w:rsidRPr="00BC4A90">
        <w:rPr>
          <w:rFonts w:asciiTheme="majorHAnsi" w:hAnsiTheme="majorHAnsi" w:cstheme="majorHAnsi"/>
          <w:lang w:val="ro-MD"/>
        </w:rPr>
        <w:t>de stat în anii 2020-2022 se plasează pe site-ul oficial al Curții de Conturi (</w:t>
      </w:r>
      <w:hyperlink r:id="rId9" w:history="1">
        <w:r w:rsidRPr="00BC4A90">
          <w:rPr>
            <w:rStyle w:val="a3"/>
            <w:rFonts w:asciiTheme="majorHAnsi" w:hAnsiTheme="majorHAnsi" w:cstheme="majorHAnsi"/>
            <w:lang w:val="ro-MD"/>
          </w:rPr>
          <w:t>https://www.ccrm.md/ro/decisions</w:t>
        </w:r>
      </w:hyperlink>
      <w:r w:rsidRPr="00BC4A90">
        <w:rPr>
          <w:rFonts w:asciiTheme="majorHAnsi" w:hAnsiTheme="majorHAnsi" w:cstheme="majorHAnsi"/>
          <w:lang w:val="ro-MD"/>
        </w:rPr>
        <w:t>).</w:t>
      </w:r>
    </w:p>
    <w:p w:rsidR="00337650" w:rsidRPr="008A3EDF" w:rsidRDefault="00337650" w:rsidP="00337650">
      <w:pPr>
        <w:spacing w:after="0" w:line="276" w:lineRule="auto"/>
        <w:rPr>
          <w:rFonts w:asciiTheme="majorHAnsi" w:eastAsia="Times New Roman" w:hAnsiTheme="majorHAnsi" w:cstheme="majorHAnsi"/>
          <w:b/>
          <w:sz w:val="28"/>
          <w:szCs w:val="28"/>
          <w:lang w:val="ro-MD"/>
        </w:rPr>
      </w:pPr>
    </w:p>
    <w:p w:rsidR="00337650" w:rsidRDefault="00337650" w:rsidP="00337650">
      <w:pPr>
        <w:spacing w:after="0" w:line="276" w:lineRule="auto"/>
        <w:ind w:left="7200"/>
        <w:jc w:val="right"/>
        <w:rPr>
          <w:rFonts w:ascii="Calibri Light" w:eastAsia="Times New Roman" w:hAnsi="Calibri Light" w:cs="Calibri Light"/>
          <w:b/>
          <w:sz w:val="24"/>
          <w:szCs w:val="28"/>
          <w:lang w:val="ro-RO"/>
        </w:rPr>
      </w:pPr>
    </w:p>
    <w:p w:rsidR="005B3FD0" w:rsidRDefault="005B3FD0" w:rsidP="00337650">
      <w:pPr>
        <w:spacing w:after="0" w:line="276" w:lineRule="auto"/>
        <w:ind w:left="7200"/>
        <w:jc w:val="right"/>
        <w:rPr>
          <w:rFonts w:ascii="Calibri Light" w:eastAsia="Times New Roman" w:hAnsi="Calibri Light" w:cs="Calibri Light"/>
          <w:b/>
          <w:sz w:val="24"/>
          <w:szCs w:val="28"/>
          <w:lang w:val="ro-RO"/>
        </w:rPr>
      </w:pPr>
    </w:p>
    <w:p w:rsidR="00337650" w:rsidRDefault="008A43FF" w:rsidP="00337650">
      <w:pPr>
        <w:spacing w:after="0" w:line="276" w:lineRule="auto"/>
        <w:ind w:left="7200"/>
        <w:jc w:val="right"/>
        <w:rPr>
          <w:rFonts w:ascii="Calibri Light" w:eastAsia="Times New Roman" w:hAnsi="Calibri Light" w:cs="Calibri Light"/>
          <w:b/>
          <w:sz w:val="24"/>
          <w:szCs w:val="28"/>
          <w:lang w:val="ro-RO"/>
        </w:rPr>
      </w:pPr>
      <w:r>
        <w:rPr>
          <w:rFonts w:ascii="Calibri Light" w:eastAsia="Times New Roman" w:hAnsi="Calibri Light" w:cs="Calibri Light"/>
          <w:b/>
          <w:sz w:val="24"/>
          <w:szCs w:val="28"/>
          <w:lang w:val="ro-RO"/>
        </w:rPr>
        <w:t>Viorel CHETRARU</w:t>
      </w:r>
      <w:r w:rsidR="00337650">
        <w:rPr>
          <w:rFonts w:ascii="Calibri Light" w:eastAsia="Times New Roman" w:hAnsi="Calibri Light" w:cs="Calibri Light"/>
          <w:b/>
          <w:sz w:val="24"/>
          <w:szCs w:val="28"/>
          <w:lang w:val="ro-RO"/>
        </w:rPr>
        <w:t>,</w:t>
      </w:r>
    </w:p>
    <w:p w:rsidR="00337650" w:rsidRDefault="008A43FF" w:rsidP="00337650">
      <w:pPr>
        <w:spacing w:after="0" w:line="276" w:lineRule="auto"/>
        <w:ind w:left="7200"/>
        <w:jc w:val="right"/>
        <w:rPr>
          <w:rFonts w:ascii="Calibri Light" w:eastAsia="Times New Roman" w:hAnsi="Calibri Light" w:cs="Calibri Light"/>
          <w:b/>
          <w:sz w:val="24"/>
          <w:szCs w:val="28"/>
          <w:lang w:val="ro-RO"/>
        </w:rPr>
      </w:pPr>
      <w:r>
        <w:rPr>
          <w:rFonts w:ascii="Calibri Light" w:eastAsia="Times New Roman" w:hAnsi="Calibri Light" w:cs="Calibri Light"/>
          <w:b/>
          <w:sz w:val="24"/>
          <w:szCs w:val="28"/>
          <w:lang w:val="ro-RO"/>
        </w:rPr>
        <w:t>Vicep</w:t>
      </w:r>
      <w:r w:rsidR="00337650">
        <w:rPr>
          <w:rFonts w:ascii="Calibri Light" w:eastAsia="Times New Roman" w:hAnsi="Calibri Light" w:cs="Calibri Light"/>
          <w:b/>
          <w:sz w:val="24"/>
          <w:szCs w:val="28"/>
          <w:lang w:val="ro-RO"/>
        </w:rPr>
        <w:t>reședinte</w:t>
      </w:r>
    </w:p>
    <w:p w:rsidR="00337650" w:rsidRDefault="00337650" w:rsidP="00337650">
      <w:pPr>
        <w:spacing w:after="0" w:line="276" w:lineRule="auto"/>
        <w:ind w:left="7200"/>
        <w:jc w:val="right"/>
        <w:rPr>
          <w:rFonts w:ascii="Calibri Light" w:eastAsia="Times New Roman" w:hAnsi="Calibri Light" w:cs="Calibri Light"/>
          <w:b/>
          <w:sz w:val="24"/>
          <w:szCs w:val="28"/>
          <w:lang w:val="ro-RO"/>
        </w:rPr>
      </w:pPr>
    </w:p>
    <w:p w:rsidR="00337650" w:rsidRDefault="00337650" w:rsidP="00337650">
      <w:pPr>
        <w:spacing w:after="0" w:line="276" w:lineRule="auto"/>
        <w:ind w:left="7200"/>
        <w:jc w:val="right"/>
        <w:rPr>
          <w:rFonts w:ascii="Calibri Light" w:eastAsia="Times New Roman" w:hAnsi="Calibri Light" w:cs="Calibri Light"/>
          <w:b/>
          <w:sz w:val="24"/>
          <w:szCs w:val="28"/>
          <w:lang w:val="ro-RO"/>
        </w:rPr>
      </w:pPr>
    </w:p>
    <w:p w:rsidR="00337650" w:rsidRDefault="00337650" w:rsidP="00337650">
      <w:pPr>
        <w:spacing w:after="0" w:line="276" w:lineRule="auto"/>
        <w:ind w:left="7200"/>
        <w:jc w:val="right"/>
        <w:rPr>
          <w:rFonts w:ascii="Calibri Light" w:eastAsia="Times New Roman" w:hAnsi="Calibri Light" w:cs="Calibri Light"/>
          <w:b/>
          <w:sz w:val="24"/>
          <w:szCs w:val="28"/>
          <w:lang w:val="ro-RO"/>
        </w:rPr>
      </w:pPr>
    </w:p>
    <w:p w:rsidR="00337650" w:rsidRDefault="00337650" w:rsidP="00337650">
      <w:pPr>
        <w:spacing w:after="0" w:line="276" w:lineRule="auto"/>
        <w:ind w:left="7200"/>
        <w:jc w:val="right"/>
        <w:rPr>
          <w:rFonts w:ascii="Calibri Light" w:eastAsia="Times New Roman" w:hAnsi="Calibri Light" w:cs="Calibri Light"/>
          <w:b/>
          <w:sz w:val="24"/>
          <w:szCs w:val="28"/>
          <w:lang w:val="ro-RO"/>
        </w:rPr>
      </w:pPr>
    </w:p>
    <w:p w:rsidR="00337650" w:rsidRDefault="00337650" w:rsidP="00337650">
      <w:pPr>
        <w:spacing w:after="0" w:line="276" w:lineRule="auto"/>
        <w:ind w:left="7200"/>
        <w:jc w:val="right"/>
        <w:rPr>
          <w:rFonts w:ascii="Calibri Light" w:eastAsia="Times New Roman" w:hAnsi="Calibri Light" w:cs="Calibri Light"/>
          <w:b/>
          <w:sz w:val="24"/>
          <w:szCs w:val="28"/>
          <w:lang w:val="ro-RO"/>
        </w:rPr>
      </w:pPr>
    </w:p>
    <w:p w:rsidR="00337650" w:rsidRDefault="00337650" w:rsidP="00337650">
      <w:pPr>
        <w:spacing w:after="0" w:line="276" w:lineRule="auto"/>
        <w:ind w:left="7200"/>
        <w:jc w:val="right"/>
        <w:rPr>
          <w:rFonts w:ascii="Calibri Light" w:eastAsia="Times New Roman" w:hAnsi="Calibri Light" w:cs="Calibri Light"/>
          <w:b/>
          <w:sz w:val="24"/>
          <w:szCs w:val="28"/>
          <w:lang w:val="ro-RO"/>
        </w:rPr>
      </w:pPr>
    </w:p>
    <w:p w:rsidR="00337650" w:rsidRDefault="00337650" w:rsidP="00337650">
      <w:pPr>
        <w:spacing w:after="0" w:line="276" w:lineRule="auto"/>
        <w:ind w:left="7200"/>
        <w:jc w:val="right"/>
        <w:rPr>
          <w:rFonts w:ascii="Calibri Light" w:eastAsia="Times New Roman" w:hAnsi="Calibri Light" w:cs="Calibri Light"/>
          <w:b/>
          <w:sz w:val="24"/>
          <w:szCs w:val="28"/>
          <w:lang w:val="ro-RO"/>
        </w:rPr>
      </w:pPr>
    </w:p>
    <w:p w:rsidR="00337650" w:rsidRDefault="00337650" w:rsidP="00337650">
      <w:pPr>
        <w:spacing w:after="0" w:line="276" w:lineRule="auto"/>
        <w:ind w:left="7200"/>
        <w:jc w:val="right"/>
        <w:rPr>
          <w:rFonts w:ascii="Calibri Light" w:eastAsia="Times New Roman" w:hAnsi="Calibri Light" w:cs="Calibri Light"/>
          <w:b/>
          <w:sz w:val="24"/>
          <w:szCs w:val="28"/>
          <w:lang w:val="ro-RO"/>
        </w:rPr>
      </w:pPr>
    </w:p>
    <w:p w:rsidR="00B760AD" w:rsidRDefault="00B760AD" w:rsidP="00337650">
      <w:pPr>
        <w:spacing w:after="0" w:line="276" w:lineRule="auto"/>
        <w:ind w:left="7200"/>
        <w:jc w:val="right"/>
        <w:rPr>
          <w:rFonts w:ascii="Calibri Light" w:eastAsia="Times New Roman" w:hAnsi="Calibri Light" w:cs="Calibri Light"/>
          <w:b/>
          <w:sz w:val="24"/>
          <w:szCs w:val="28"/>
          <w:lang w:val="ro-RO"/>
        </w:rPr>
      </w:pPr>
    </w:p>
    <w:p w:rsidR="00B760AD" w:rsidRDefault="00B760AD" w:rsidP="00337650">
      <w:pPr>
        <w:spacing w:after="0" w:line="276" w:lineRule="auto"/>
        <w:ind w:left="7200"/>
        <w:jc w:val="right"/>
        <w:rPr>
          <w:rFonts w:ascii="Calibri Light" w:eastAsia="Times New Roman" w:hAnsi="Calibri Light" w:cs="Calibri Light"/>
          <w:b/>
          <w:sz w:val="24"/>
          <w:szCs w:val="28"/>
          <w:lang w:val="ro-RO"/>
        </w:rPr>
      </w:pPr>
    </w:p>
    <w:p w:rsidR="00B760AD" w:rsidRDefault="00B760AD" w:rsidP="00337650">
      <w:pPr>
        <w:spacing w:after="0" w:line="276" w:lineRule="auto"/>
        <w:ind w:left="7200"/>
        <w:jc w:val="right"/>
        <w:rPr>
          <w:rFonts w:ascii="Calibri Light" w:eastAsia="Times New Roman" w:hAnsi="Calibri Light" w:cs="Calibri Light"/>
          <w:b/>
          <w:sz w:val="24"/>
          <w:szCs w:val="28"/>
          <w:lang w:val="ro-RO"/>
        </w:rPr>
      </w:pPr>
    </w:p>
    <w:p w:rsidR="00B760AD" w:rsidRDefault="00B760AD" w:rsidP="00337650">
      <w:pPr>
        <w:spacing w:after="0" w:line="276" w:lineRule="auto"/>
        <w:ind w:left="7200"/>
        <w:jc w:val="right"/>
        <w:rPr>
          <w:rFonts w:ascii="Calibri Light" w:eastAsia="Times New Roman" w:hAnsi="Calibri Light" w:cs="Calibri Light"/>
          <w:b/>
          <w:sz w:val="24"/>
          <w:szCs w:val="28"/>
          <w:lang w:val="ro-RO"/>
        </w:rPr>
      </w:pPr>
    </w:p>
    <w:p w:rsidR="00337650" w:rsidRDefault="00337650" w:rsidP="00337650">
      <w:pPr>
        <w:spacing w:after="0" w:line="276" w:lineRule="auto"/>
        <w:ind w:left="7200"/>
        <w:jc w:val="right"/>
        <w:rPr>
          <w:rFonts w:ascii="Calibri Light" w:eastAsia="Times New Roman" w:hAnsi="Calibri Light" w:cs="Calibri Light"/>
          <w:b/>
          <w:sz w:val="24"/>
          <w:szCs w:val="28"/>
          <w:lang w:val="ro-RO"/>
        </w:rPr>
      </w:pPr>
    </w:p>
    <w:p w:rsidR="00337650" w:rsidRDefault="00337650" w:rsidP="00337650">
      <w:pPr>
        <w:spacing w:after="0" w:line="276" w:lineRule="auto"/>
        <w:ind w:left="7200"/>
        <w:jc w:val="right"/>
        <w:rPr>
          <w:rFonts w:ascii="Calibri Light" w:eastAsia="Times New Roman" w:hAnsi="Calibri Light" w:cs="Calibri Light"/>
          <w:b/>
          <w:sz w:val="24"/>
          <w:szCs w:val="28"/>
          <w:lang w:val="ro-RO"/>
        </w:rPr>
      </w:pPr>
    </w:p>
    <w:p w:rsidR="00337650" w:rsidRDefault="00337650" w:rsidP="00337650">
      <w:pPr>
        <w:spacing w:after="0" w:line="276" w:lineRule="auto"/>
        <w:ind w:left="7200"/>
        <w:jc w:val="right"/>
        <w:rPr>
          <w:rFonts w:ascii="Calibri Light" w:eastAsia="Times New Roman" w:hAnsi="Calibri Light" w:cs="Calibri Light"/>
          <w:b/>
          <w:sz w:val="24"/>
          <w:szCs w:val="28"/>
          <w:lang w:val="ro-RO"/>
        </w:rPr>
      </w:pPr>
    </w:p>
    <w:p w:rsidR="00337650" w:rsidRDefault="00337650" w:rsidP="00337650">
      <w:pPr>
        <w:spacing w:after="0" w:line="276" w:lineRule="auto"/>
        <w:rPr>
          <w:rFonts w:ascii="Calibri Light" w:eastAsia="Times New Roman" w:hAnsi="Calibri Light" w:cs="Calibri Light"/>
          <w:b/>
          <w:sz w:val="24"/>
          <w:szCs w:val="28"/>
          <w:lang w:val="ro-RO"/>
        </w:rPr>
      </w:pPr>
      <w:bookmarkStart w:id="1" w:name="_GoBack"/>
      <w:bookmarkEnd w:id="1"/>
    </w:p>
    <w:sectPr w:rsidR="00337650" w:rsidSect="004A30E6">
      <w:footerReference w:type="default" r:id="rId10"/>
      <w:headerReference w:type="first" r:id="rId11"/>
      <w:pgSz w:w="12240" w:h="15840"/>
      <w:pgMar w:top="850" w:right="850" w:bottom="850" w:left="169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D91" w:rsidRDefault="00BF0D91" w:rsidP="005A018A">
      <w:pPr>
        <w:spacing w:after="0" w:line="240" w:lineRule="auto"/>
      </w:pPr>
      <w:r>
        <w:separator/>
      </w:r>
    </w:p>
  </w:endnote>
  <w:endnote w:type="continuationSeparator" w:id="0">
    <w:p w:rsidR="00BF0D91" w:rsidRDefault="00BF0D91" w:rsidP="005A0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459893"/>
      <w:docPartObj>
        <w:docPartGallery w:val="Page Numbers (Bottom of Page)"/>
        <w:docPartUnique/>
      </w:docPartObj>
    </w:sdtPr>
    <w:sdtEndPr>
      <w:rPr>
        <w:noProof/>
      </w:rPr>
    </w:sdtEndPr>
    <w:sdtContent>
      <w:p w:rsidR="000932AD" w:rsidRDefault="000932AD">
        <w:pPr>
          <w:pStyle w:val="ab"/>
          <w:jc w:val="right"/>
        </w:pPr>
        <w:r>
          <w:fldChar w:fldCharType="begin"/>
        </w:r>
        <w:r>
          <w:instrText xml:space="preserve"> PAGE   \* MERGEFORMAT </w:instrText>
        </w:r>
        <w:r>
          <w:fldChar w:fldCharType="separate"/>
        </w:r>
        <w:r w:rsidR="00806EFA">
          <w:rPr>
            <w:noProof/>
          </w:rPr>
          <w:t>4</w:t>
        </w:r>
        <w:r>
          <w:rPr>
            <w:noProof/>
          </w:rPr>
          <w:fldChar w:fldCharType="end"/>
        </w:r>
      </w:p>
    </w:sdtContent>
  </w:sdt>
  <w:p w:rsidR="000932AD" w:rsidRDefault="000932A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D91" w:rsidRDefault="00BF0D91" w:rsidP="005A018A">
      <w:pPr>
        <w:spacing w:after="0" w:line="240" w:lineRule="auto"/>
      </w:pPr>
      <w:r>
        <w:separator/>
      </w:r>
    </w:p>
  </w:footnote>
  <w:footnote w:type="continuationSeparator" w:id="0">
    <w:p w:rsidR="00BF0D91" w:rsidRDefault="00BF0D91" w:rsidP="005A018A">
      <w:pPr>
        <w:spacing w:after="0" w:line="240" w:lineRule="auto"/>
      </w:pPr>
      <w:r>
        <w:continuationSeparator/>
      </w:r>
    </w:p>
  </w:footnote>
  <w:footnote w:id="1">
    <w:p w:rsidR="00337650" w:rsidRPr="00DF7173" w:rsidRDefault="00337650" w:rsidP="00132367">
      <w:pPr>
        <w:pStyle w:val="a7"/>
        <w:jc w:val="both"/>
        <w:rPr>
          <w:rFonts w:asciiTheme="majorHAnsi" w:hAnsiTheme="majorHAnsi" w:cstheme="majorHAnsi"/>
          <w:sz w:val="16"/>
          <w:szCs w:val="16"/>
          <w:lang w:val="ro-MD"/>
        </w:rPr>
      </w:pPr>
      <w:r w:rsidRPr="00DF7173">
        <w:rPr>
          <w:rStyle w:val="a8"/>
          <w:rFonts w:asciiTheme="majorHAnsi" w:hAnsiTheme="majorHAnsi" w:cstheme="majorHAnsi"/>
          <w:sz w:val="16"/>
          <w:szCs w:val="16"/>
          <w:lang w:val="ro-MD"/>
        </w:rPr>
        <w:footnoteRef/>
      </w:r>
      <w:r w:rsidRPr="00DF7173">
        <w:rPr>
          <w:rFonts w:asciiTheme="majorHAnsi" w:hAnsiTheme="majorHAnsi" w:cstheme="majorHAnsi"/>
          <w:sz w:val="16"/>
          <w:szCs w:val="16"/>
          <w:lang w:val="ro-MD"/>
        </w:rPr>
        <w:t xml:space="preserve"> Legea privind organizarea și funcționarea Curții de Conturi a Republicii Moldova nr.260 din 07.12.2017 (în continuare – Legea nr.260 din 07.12.2017).</w:t>
      </w:r>
    </w:p>
  </w:footnote>
  <w:footnote w:id="2">
    <w:p w:rsidR="00337650" w:rsidRPr="00DF7173" w:rsidRDefault="00337650" w:rsidP="00132367">
      <w:pPr>
        <w:pStyle w:val="a7"/>
        <w:jc w:val="both"/>
        <w:rPr>
          <w:rFonts w:asciiTheme="majorHAnsi" w:hAnsiTheme="majorHAnsi" w:cstheme="majorHAnsi"/>
          <w:sz w:val="16"/>
          <w:szCs w:val="16"/>
          <w:lang w:val="ro-MD"/>
        </w:rPr>
      </w:pPr>
      <w:r w:rsidRPr="00DF7173">
        <w:rPr>
          <w:rStyle w:val="a8"/>
          <w:rFonts w:asciiTheme="majorHAnsi" w:hAnsiTheme="majorHAnsi" w:cstheme="majorHAnsi"/>
          <w:sz w:val="16"/>
          <w:szCs w:val="16"/>
          <w:lang w:val="ro-MD"/>
        </w:rPr>
        <w:footnoteRef/>
      </w:r>
      <w:r w:rsidRPr="00DF7173">
        <w:rPr>
          <w:rFonts w:asciiTheme="majorHAnsi" w:hAnsiTheme="majorHAnsi" w:cstheme="majorHAnsi"/>
          <w:sz w:val="16"/>
          <w:szCs w:val="16"/>
          <w:lang w:val="ro-MD"/>
        </w:rPr>
        <w:t xml:space="preserve"> Hotărârea Curții de Conturi nr.75 din 28.12.2021 „Privind aprobarea Programului activității de audit al Curții de Conturi pe anul 2022” (cu modificările și completările ulterioare).</w:t>
      </w:r>
    </w:p>
  </w:footnote>
  <w:footnote w:id="3">
    <w:p w:rsidR="00132367" w:rsidRPr="00DF7173" w:rsidRDefault="00132367" w:rsidP="00132367">
      <w:pPr>
        <w:pStyle w:val="a7"/>
        <w:jc w:val="both"/>
        <w:rPr>
          <w:rFonts w:asciiTheme="majorHAnsi" w:hAnsiTheme="majorHAnsi" w:cstheme="majorHAnsi"/>
          <w:sz w:val="16"/>
          <w:szCs w:val="16"/>
          <w:lang w:val="ro-MD"/>
        </w:rPr>
      </w:pPr>
      <w:r w:rsidRPr="00DF7173">
        <w:rPr>
          <w:rStyle w:val="a8"/>
          <w:rFonts w:asciiTheme="majorHAnsi" w:hAnsiTheme="majorHAnsi" w:cstheme="majorHAnsi"/>
          <w:sz w:val="16"/>
          <w:szCs w:val="16"/>
          <w:lang w:val="ro-MD"/>
        </w:rPr>
        <w:footnoteRef/>
      </w:r>
      <w:r w:rsidRPr="00DF7173">
        <w:rPr>
          <w:rFonts w:asciiTheme="majorHAnsi" w:hAnsiTheme="majorHAnsi" w:cstheme="majorHAnsi"/>
          <w:sz w:val="16"/>
          <w:szCs w:val="16"/>
          <w:lang w:val="ro-MD"/>
        </w:rPr>
        <w:t xml:space="preserve"> Hotărârea Curții de Conturi nr.65 din 22</w:t>
      </w:r>
      <w:r w:rsidR="009D6838">
        <w:rPr>
          <w:rFonts w:asciiTheme="majorHAnsi" w:hAnsiTheme="majorHAnsi" w:cstheme="majorHAnsi"/>
          <w:sz w:val="16"/>
          <w:szCs w:val="16"/>
          <w:lang w:val="ro-MD"/>
        </w:rPr>
        <w:t>.12.</w:t>
      </w:r>
      <w:r w:rsidRPr="00DF7173">
        <w:rPr>
          <w:rFonts w:asciiTheme="majorHAnsi" w:hAnsiTheme="majorHAnsi" w:cstheme="majorHAnsi"/>
          <w:sz w:val="16"/>
          <w:szCs w:val="16"/>
          <w:lang w:val="ro-MD"/>
        </w:rPr>
        <w:t xml:space="preserve">2022 </w:t>
      </w:r>
      <w:r w:rsidR="009D6838">
        <w:rPr>
          <w:rFonts w:asciiTheme="majorHAnsi" w:hAnsiTheme="majorHAnsi" w:cstheme="majorHAnsi"/>
          <w:sz w:val="16"/>
          <w:szCs w:val="16"/>
          <w:lang w:val="ro-MD"/>
        </w:rPr>
        <w:t>„P</w:t>
      </w:r>
      <w:r w:rsidRPr="00DF7173">
        <w:rPr>
          <w:rFonts w:asciiTheme="majorHAnsi" w:hAnsiTheme="majorHAnsi" w:cstheme="majorHAnsi"/>
          <w:sz w:val="16"/>
          <w:szCs w:val="16"/>
          <w:lang w:val="ro-MD"/>
        </w:rPr>
        <w:t>rivind aprobarea Programului activității de audit al Curții de Conturi pe anul 2023</w:t>
      </w:r>
      <w:r w:rsidR="009D6838">
        <w:rPr>
          <w:rFonts w:asciiTheme="majorHAnsi" w:hAnsiTheme="majorHAnsi" w:cstheme="majorHAnsi"/>
          <w:sz w:val="16"/>
          <w:szCs w:val="16"/>
          <w:lang w:val="ro-MD"/>
        </w:rPr>
        <w:t>”</w:t>
      </w:r>
      <w:r w:rsidRPr="00DF7173">
        <w:rPr>
          <w:rFonts w:asciiTheme="majorHAnsi" w:hAnsiTheme="majorHAnsi" w:cstheme="majorHAnsi"/>
          <w:sz w:val="16"/>
          <w:szCs w:val="16"/>
          <w:lang w:val="ro-MD"/>
        </w:rPr>
        <w:t>.</w:t>
      </w:r>
    </w:p>
  </w:footnote>
  <w:footnote w:id="4">
    <w:p w:rsidR="00337650" w:rsidRPr="00DF7173" w:rsidRDefault="00337650" w:rsidP="00132367">
      <w:pPr>
        <w:pStyle w:val="a7"/>
        <w:jc w:val="both"/>
        <w:rPr>
          <w:rFonts w:asciiTheme="majorHAnsi" w:hAnsiTheme="majorHAnsi" w:cstheme="majorHAnsi"/>
          <w:sz w:val="16"/>
          <w:szCs w:val="16"/>
          <w:lang w:val="ro-MD"/>
        </w:rPr>
      </w:pPr>
      <w:r w:rsidRPr="00DF7173">
        <w:rPr>
          <w:rStyle w:val="a8"/>
          <w:rFonts w:asciiTheme="majorHAnsi" w:hAnsiTheme="majorHAnsi" w:cstheme="majorHAnsi"/>
          <w:sz w:val="16"/>
          <w:szCs w:val="16"/>
          <w:lang w:val="ro-MD"/>
        </w:rPr>
        <w:footnoteRef/>
      </w:r>
      <w:r w:rsidRPr="00DF7173">
        <w:rPr>
          <w:rFonts w:asciiTheme="majorHAnsi" w:hAnsiTheme="majorHAnsi" w:cstheme="majorHAnsi"/>
          <w:sz w:val="16"/>
          <w:szCs w:val="16"/>
          <w:lang w:val="ro-MD"/>
        </w:rPr>
        <w:t xml:space="preserve"> Hotărârea Curții de Conturi nr.2 din 24.01.2020 „Cu privire la Cadrul Declarațiilor Profesionale ale INTOSAI”.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838" w:rsidRDefault="009D6838" w:rsidP="009D6838">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A5301"/>
    <w:multiLevelType w:val="hybridMultilevel"/>
    <w:tmpl w:val="0750D250"/>
    <w:lvl w:ilvl="0" w:tplc="D1320B2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12124B"/>
    <w:multiLevelType w:val="hybridMultilevel"/>
    <w:tmpl w:val="04C68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976118"/>
    <w:multiLevelType w:val="hybridMultilevel"/>
    <w:tmpl w:val="3954B3C4"/>
    <w:lvl w:ilvl="0" w:tplc="CDC21F52">
      <w:numFmt w:val="bullet"/>
      <w:lvlText w:val="-"/>
      <w:lvlJc w:val="left"/>
      <w:pPr>
        <w:ind w:left="1492" w:hanging="360"/>
      </w:pPr>
      <w:rPr>
        <w:rFonts w:ascii="Calibri Light" w:eastAsiaTheme="minorEastAsia" w:hAnsi="Calibri Light" w:cs="Calibri Light"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3" w15:restartNumberingAfterBreak="0">
    <w:nsid w:val="55015E2B"/>
    <w:multiLevelType w:val="hybridMultilevel"/>
    <w:tmpl w:val="B6BE3EC4"/>
    <w:lvl w:ilvl="0" w:tplc="995E3E36">
      <w:start w:val="1"/>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0364262"/>
    <w:multiLevelType w:val="multilevel"/>
    <w:tmpl w:val="919C8662"/>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6155350D"/>
    <w:multiLevelType w:val="hybridMultilevel"/>
    <w:tmpl w:val="9DAEA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E77CB2"/>
    <w:multiLevelType w:val="multilevel"/>
    <w:tmpl w:val="919C8662"/>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73486B2F"/>
    <w:multiLevelType w:val="hybridMultilevel"/>
    <w:tmpl w:val="050E5E70"/>
    <w:lvl w:ilvl="0" w:tplc="8BCA3B5E">
      <w:start w:val="2"/>
      <w:numFmt w:val="bullet"/>
      <w:lvlText w:val="-"/>
      <w:lvlJc w:val="left"/>
      <w:pPr>
        <w:ind w:left="1080" w:hanging="36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CF7"/>
    <w:rsid w:val="000069C5"/>
    <w:rsid w:val="00010100"/>
    <w:rsid w:val="00010888"/>
    <w:rsid w:val="00020A8D"/>
    <w:rsid w:val="00043245"/>
    <w:rsid w:val="0004694B"/>
    <w:rsid w:val="0005223C"/>
    <w:rsid w:val="00054DFD"/>
    <w:rsid w:val="000756A1"/>
    <w:rsid w:val="000851B9"/>
    <w:rsid w:val="000932AD"/>
    <w:rsid w:val="000962D9"/>
    <w:rsid w:val="000973BF"/>
    <w:rsid w:val="000A0905"/>
    <w:rsid w:val="000A558C"/>
    <w:rsid w:val="000A572E"/>
    <w:rsid w:val="000B58FD"/>
    <w:rsid w:val="000B6A13"/>
    <w:rsid w:val="000E2D36"/>
    <w:rsid w:val="000E32DA"/>
    <w:rsid w:val="000E702B"/>
    <w:rsid w:val="000F20F2"/>
    <w:rsid w:val="0010230B"/>
    <w:rsid w:val="00107F76"/>
    <w:rsid w:val="00117E61"/>
    <w:rsid w:val="0012622D"/>
    <w:rsid w:val="001318CB"/>
    <w:rsid w:val="00132367"/>
    <w:rsid w:val="001328C8"/>
    <w:rsid w:val="00140B42"/>
    <w:rsid w:val="00142AE5"/>
    <w:rsid w:val="00142D77"/>
    <w:rsid w:val="00144F27"/>
    <w:rsid w:val="0015413E"/>
    <w:rsid w:val="00154B6F"/>
    <w:rsid w:val="00157C70"/>
    <w:rsid w:val="001840F7"/>
    <w:rsid w:val="00185537"/>
    <w:rsid w:val="001907D4"/>
    <w:rsid w:val="001930B3"/>
    <w:rsid w:val="00194D94"/>
    <w:rsid w:val="00196F2A"/>
    <w:rsid w:val="001A43AD"/>
    <w:rsid w:val="001A6858"/>
    <w:rsid w:val="001B33ED"/>
    <w:rsid w:val="001B6B68"/>
    <w:rsid w:val="001C7E30"/>
    <w:rsid w:val="001D09AC"/>
    <w:rsid w:val="001D5C9C"/>
    <w:rsid w:val="001F619E"/>
    <w:rsid w:val="0020388B"/>
    <w:rsid w:val="00221FAC"/>
    <w:rsid w:val="002316CD"/>
    <w:rsid w:val="0024218B"/>
    <w:rsid w:val="00253A93"/>
    <w:rsid w:val="0027575C"/>
    <w:rsid w:val="00280391"/>
    <w:rsid w:val="00294567"/>
    <w:rsid w:val="002A2A51"/>
    <w:rsid w:val="002A57F4"/>
    <w:rsid w:val="002A7FDE"/>
    <w:rsid w:val="002B3235"/>
    <w:rsid w:val="002D13BF"/>
    <w:rsid w:val="002E652C"/>
    <w:rsid w:val="002F4594"/>
    <w:rsid w:val="003014DE"/>
    <w:rsid w:val="00305801"/>
    <w:rsid w:val="00311DF0"/>
    <w:rsid w:val="003144FC"/>
    <w:rsid w:val="00331D00"/>
    <w:rsid w:val="0033667C"/>
    <w:rsid w:val="00337650"/>
    <w:rsid w:val="00351B3D"/>
    <w:rsid w:val="003527FA"/>
    <w:rsid w:val="00352BBF"/>
    <w:rsid w:val="003534DA"/>
    <w:rsid w:val="00353E50"/>
    <w:rsid w:val="00355D82"/>
    <w:rsid w:val="003601B1"/>
    <w:rsid w:val="003671FE"/>
    <w:rsid w:val="003743F3"/>
    <w:rsid w:val="003804E9"/>
    <w:rsid w:val="00380AB7"/>
    <w:rsid w:val="003A6D32"/>
    <w:rsid w:val="003B3CF7"/>
    <w:rsid w:val="003C37CF"/>
    <w:rsid w:val="003E40E2"/>
    <w:rsid w:val="003E67ED"/>
    <w:rsid w:val="0041739B"/>
    <w:rsid w:val="0043776D"/>
    <w:rsid w:val="00441977"/>
    <w:rsid w:val="00455485"/>
    <w:rsid w:val="00457EC1"/>
    <w:rsid w:val="00480B7E"/>
    <w:rsid w:val="004821C5"/>
    <w:rsid w:val="004A30E6"/>
    <w:rsid w:val="004B4603"/>
    <w:rsid w:val="004B5A4E"/>
    <w:rsid w:val="004D440A"/>
    <w:rsid w:val="004D7B1F"/>
    <w:rsid w:val="004E496F"/>
    <w:rsid w:val="004E6B9C"/>
    <w:rsid w:val="004F3A84"/>
    <w:rsid w:val="0050186E"/>
    <w:rsid w:val="005279EB"/>
    <w:rsid w:val="005329B2"/>
    <w:rsid w:val="00541D85"/>
    <w:rsid w:val="00545C0D"/>
    <w:rsid w:val="005505C5"/>
    <w:rsid w:val="005532E7"/>
    <w:rsid w:val="005536D4"/>
    <w:rsid w:val="00556601"/>
    <w:rsid w:val="005654A4"/>
    <w:rsid w:val="0056783F"/>
    <w:rsid w:val="00570834"/>
    <w:rsid w:val="005722A2"/>
    <w:rsid w:val="00572F0B"/>
    <w:rsid w:val="00580B99"/>
    <w:rsid w:val="00581D89"/>
    <w:rsid w:val="00587FA7"/>
    <w:rsid w:val="00590506"/>
    <w:rsid w:val="005A018A"/>
    <w:rsid w:val="005A34F9"/>
    <w:rsid w:val="005A728B"/>
    <w:rsid w:val="005A7D98"/>
    <w:rsid w:val="005B3FD0"/>
    <w:rsid w:val="005B4120"/>
    <w:rsid w:val="005C13CC"/>
    <w:rsid w:val="005E0088"/>
    <w:rsid w:val="005E15B9"/>
    <w:rsid w:val="005E15C1"/>
    <w:rsid w:val="005E38CE"/>
    <w:rsid w:val="005E3B95"/>
    <w:rsid w:val="005E7A24"/>
    <w:rsid w:val="005F0842"/>
    <w:rsid w:val="005F3E73"/>
    <w:rsid w:val="005F5CC3"/>
    <w:rsid w:val="0060710C"/>
    <w:rsid w:val="006073F2"/>
    <w:rsid w:val="00621A62"/>
    <w:rsid w:val="00622C98"/>
    <w:rsid w:val="0062519E"/>
    <w:rsid w:val="00636159"/>
    <w:rsid w:val="0066695F"/>
    <w:rsid w:val="00672F79"/>
    <w:rsid w:val="0067320B"/>
    <w:rsid w:val="00681FBE"/>
    <w:rsid w:val="00695DF1"/>
    <w:rsid w:val="006B5CBE"/>
    <w:rsid w:val="006C726C"/>
    <w:rsid w:val="006D48CB"/>
    <w:rsid w:val="006D531C"/>
    <w:rsid w:val="006E6E40"/>
    <w:rsid w:val="00704419"/>
    <w:rsid w:val="0070731A"/>
    <w:rsid w:val="00716463"/>
    <w:rsid w:val="00721696"/>
    <w:rsid w:val="00734A49"/>
    <w:rsid w:val="0073672D"/>
    <w:rsid w:val="007459F5"/>
    <w:rsid w:val="00772CD0"/>
    <w:rsid w:val="00783209"/>
    <w:rsid w:val="007B6279"/>
    <w:rsid w:val="007D4047"/>
    <w:rsid w:val="007E4269"/>
    <w:rsid w:val="007E60E7"/>
    <w:rsid w:val="00800DBC"/>
    <w:rsid w:val="00806EFA"/>
    <w:rsid w:val="00825CD9"/>
    <w:rsid w:val="00830E58"/>
    <w:rsid w:val="00835EF5"/>
    <w:rsid w:val="008434DC"/>
    <w:rsid w:val="00850247"/>
    <w:rsid w:val="00872EC4"/>
    <w:rsid w:val="008957EF"/>
    <w:rsid w:val="008A198C"/>
    <w:rsid w:val="008A1F78"/>
    <w:rsid w:val="008A3EDF"/>
    <w:rsid w:val="008A43FF"/>
    <w:rsid w:val="008A45DD"/>
    <w:rsid w:val="008B6D10"/>
    <w:rsid w:val="008B7344"/>
    <w:rsid w:val="008B7D3C"/>
    <w:rsid w:val="008C4A49"/>
    <w:rsid w:val="008C7DC2"/>
    <w:rsid w:val="008D508D"/>
    <w:rsid w:val="009126EC"/>
    <w:rsid w:val="00912E35"/>
    <w:rsid w:val="00922F27"/>
    <w:rsid w:val="009262E0"/>
    <w:rsid w:val="00927899"/>
    <w:rsid w:val="00942C40"/>
    <w:rsid w:val="00947E01"/>
    <w:rsid w:val="00983819"/>
    <w:rsid w:val="009875A8"/>
    <w:rsid w:val="00987A83"/>
    <w:rsid w:val="00993CFD"/>
    <w:rsid w:val="009B146B"/>
    <w:rsid w:val="009B53EE"/>
    <w:rsid w:val="009B7F9A"/>
    <w:rsid w:val="009C07A8"/>
    <w:rsid w:val="009C3F10"/>
    <w:rsid w:val="009D6838"/>
    <w:rsid w:val="009E11DE"/>
    <w:rsid w:val="009F3785"/>
    <w:rsid w:val="00A02F04"/>
    <w:rsid w:val="00A12839"/>
    <w:rsid w:val="00A14DC8"/>
    <w:rsid w:val="00A34173"/>
    <w:rsid w:val="00A35FF8"/>
    <w:rsid w:val="00A3754A"/>
    <w:rsid w:val="00A53894"/>
    <w:rsid w:val="00A540C3"/>
    <w:rsid w:val="00A741BC"/>
    <w:rsid w:val="00A75191"/>
    <w:rsid w:val="00A806DC"/>
    <w:rsid w:val="00A8289E"/>
    <w:rsid w:val="00A837D3"/>
    <w:rsid w:val="00A86049"/>
    <w:rsid w:val="00AB23A4"/>
    <w:rsid w:val="00AB3724"/>
    <w:rsid w:val="00AC7D68"/>
    <w:rsid w:val="00AD207D"/>
    <w:rsid w:val="00AE71D2"/>
    <w:rsid w:val="00B12444"/>
    <w:rsid w:val="00B12E33"/>
    <w:rsid w:val="00B16902"/>
    <w:rsid w:val="00B2078E"/>
    <w:rsid w:val="00B21D0D"/>
    <w:rsid w:val="00B573AC"/>
    <w:rsid w:val="00B760AD"/>
    <w:rsid w:val="00B96967"/>
    <w:rsid w:val="00BA5067"/>
    <w:rsid w:val="00BB1A7E"/>
    <w:rsid w:val="00BB3961"/>
    <w:rsid w:val="00BC437D"/>
    <w:rsid w:val="00BC4A90"/>
    <w:rsid w:val="00BE436F"/>
    <w:rsid w:val="00BF0D91"/>
    <w:rsid w:val="00BF46AD"/>
    <w:rsid w:val="00BF792E"/>
    <w:rsid w:val="00C00E33"/>
    <w:rsid w:val="00C05E52"/>
    <w:rsid w:val="00C160E0"/>
    <w:rsid w:val="00C20FF3"/>
    <w:rsid w:val="00C247B8"/>
    <w:rsid w:val="00C442E4"/>
    <w:rsid w:val="00C53AE8"/>
    <w:rsid w:val="00C617AA"/>
    <w:rsid w:val="00C665E8"/>
    <w:rsid w:val="00C75556"/>
    <w:rsid w:val="00C82F73"/>
    <w:rsid w:val="00C84CF7"/>
    <w:rsid w:val="00C86F9F"/>
    <w:rsid w:val="00C93A18"/>
    <w:rsid w:val="00CA097C"/>
    <w:rsid w:val="00CA24FA"/>
    <w:rsid w:val="00CB6FA7"/>
    <w:rsid w:val="00CD435F"/>
    <w:rsid w:val="00CD74F8"/>
    <w:rsid w:val="00D00806"/>
    <w:rsid w:val="00D20748"/>
    <w:rsid w:val="00D2159B"/>
    <w:rsid w:val="00D23DEA"/>
    <w:rsid w:val="00D24510"/>
    <w:rsid w:val="00D264AE"/>
    <w:rsid w:val="00D30603"/>
    <w:rsid w:val="00D33F0A"/>
    <w:rsid w:val="00D40A11"/>
    <w:rsid w:val="00D40F0C"/>
    <w:rsid w:val="00D4351A"/>
    <w:rsid w:val="00D43CF5"/>
    <w:rsid w:val="00D44B99"/>
    <w:rsid w:val="00D50CCF"/>
    <w:rsid w:val="00D511B6"/>
    <w:rsid w:val="00D61F6C"/>
    <w:rsid w:val="00D67210"/>
    <w:rsid w:val="00D70B4A"/>
    <w:rsid w:val="00D73FBB"/>
    <w:rsid w:val="00D74C4B"/>
    <w:rsid w:val="00D75C08"/>
    <w:rsid w:val="00D75D40"/>
    <w:rsid w:val="00D7718E"/>
    <w:rsid w:val="00D81CB6"/>
    <w:rsid w:val="00D84947"/>
    <w:rsid w:val="00D84981"/>
    <w:rsid w:val="00DB50D9"/>
    <w:rsid w:val="00DC3706"/>
    <w:rsid w:val="00DC495A"/>
    <w:rsid w:val="00DC6867"/>
    <w:rsid w:val="00DD341D"/>
    <w:rsid w:val="00DE7CC4"/>
    <w:rsid w:val="00DF2EDA"/>
    <w:rsid w:val="00DF7173"/>
    <w:rsid w:val="00E16E7B"/>
    <w:rsid w:val="00E24BC4"/>
    <w:rsid w:val="00E25E2A"/>
    <w:rsid w:val="00E36AA6"/>
    <w:rsid w:val="00E46034"/>
    <w:rsid w:val="00E56E39"/>
    <w:rsid w:val="00E71B03"/>
    <w:rsid w:val="00E726FA"/>
    <w:rsid w:val="00E92658"/>
    <w:rsid w:val="00EA5EA8"/>
    <w:rsid w:val="00EA674D"/>
    <w:rsid w:val="00EB0449"/>
    <w:rsid w:val="00EC0EDB"/>
    <w:rsid w:val="00EC5E66"/>
    <w:rsid w:val="00ED08CA"/>
    <w:rsid w:val="00ED16F9"/>
    <w:rsid w:val="00EE3B4A"/>
    <w:rsid w:val="00EE535C"/>
    <w:rsid w:val="00F0259F"/>
    <w:rsid w:val="00F15455"/>
    <w:rsid w:val="00F16FC4"/>
    <w:rsid w:val="00F23CD5"/>
    <w:rsid w:val="00F31169"/>
    <w:rsid w:val="00F36369"/>
    <w:rsid w:val="00F43474"/>
    <w:rsid w:val="00F44C0F"/>
    <w:rsid w:val="00F502EB"/>
    <w:rsid w:val="00F51B09"/>
    <w:rsid w:val="00F57406"/>
    <w:rsid w:val="00F76FAE"/>
    <w:rsid w:val="00F873FB"/>
    <w:rsid w:val="00F91BAF"/>
    <w:rsid w:val="00FA2803"/>
    <w:rsid w:val="00FB5468"/>
    <w:rsid w:val="00FE195E"/>
    <w:rsid w:val="00FE2BE9"/>
    <w:rsid w:val="00FE3D86"/>
    <w:rsid w:val="00FF0B23"/>
    <w:rsid w:val="00FF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CD6AA-754F-4C40-A1CD-9B7FD2B8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18A"/>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A018A"/>
    <w:rPr>
      <w:color w:val="0563C1"/>
      <w:u w:val="single"/>
    </w:rPr>
  </w:style>
  <w:style w:type="character" w:customStyle="1" w:styleId="a4">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
    <w:link w:val="a5"/>
    <w:uiPriority w:val="99"/>
    <w:locked/>
    <w:rsid w:val="005A018A"/>
    <w:rPr>
      <w:rFonts w:ascii="Times New Roman" w:eastAsia="Times New Roman" w:hAnsi="Times New Roman" w:cs="Times New Roman"/>
      <w:sz w:val="24"/>
      <w:szCs w:val="24"/>
    </w:rPr>
  </w:style>
  <w:style w:type="paragraph" w:styleId="a5">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a"/>
    <w:link w:val="a4"/>
    <w:uiPriority w:val="99"/>
    <w:unhideWhenUsed/>
    <w:qFormat/>
    <w:rsid w:val="005A018A"/>
    <w:pPr>
      <w:ind w:left="720"/>
      <w:contextualSpacing/>
    </w:pPr>
    <w:rPr>
      <w:rFonts w:ascii="Times New Roman" w:eastAsia="Times New Roman" w:hAnsi="Times New Roman"/>
      <w:sz w:val="24"/>
      <w:szCs w:val="24"/>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link w:val="a7"/>
    <w:uiPriority w:val="99"/>
    <w:locked/>
    <w:rsid w:val="005A018A"/>
  </w:style>
  <w:style w:type="paragraph" w:styleId="a7">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6"/>
    <w:uiPriority w:val="99"/>
    <w:unhideWhenUsed/>
    <w:qFormat/>
    <w:rsid w:val="005A018A"/>
    <w:pPr>
      <w:spacing w:after="0" w:line="240" w:lineRule="auto"/>
    </w:pPr>
    <w:rPr>
      <w:rFonts w:asciiTheme="minorHAnsi" w:eastAsiaTheme="minorHAnsi" w:hAnsiTheme="minorHAnsi" w:cstheme="minorBidi"/>
    </w:rPr>
  </w:style>
  <w:style w:type="character" w:customStyle="1" w:styleId="FootnoteTextChar1">
    <w:name w:val="Footnote Text Char1"/>
    <w:basedOn w:val="a0"/>
    <w:uiPriority w:val="99"/>
    <w:semiHidden/>
    <w:rsid w:val="005A018A"/>
    <w:rPr>
      <w:rFonts w:ascii="Calibri" w:eastAsia="Calibri" w:hAnsi="Calibri" w:cs="Times New Roman"/>
      <w:sz w:val="20"/>
      <w:szCs w:val="20"/>
    </w:rPr>
  </w:style>
  <w:style w:type="paragraph" w:customStyle="1" w:styleId="cn">
    <w:name w:val="cn"/>
    <w:basedOn w:val="a"/>
    <w:uiPriority w:val="99"/>
    <w:qFormat/>
    <w:rsid w:val="005A018A"/>
    <w:pPr>
      <w:spacing w:after="0" w:line="240" w:lineRule="auto"/>
      <w:jc w:val="center"/>
    </w:pPr>
    <w:rPr>
      <w:rFonts w:ascii="Times New Roman" w:eastAsia="Times New Roman" w:hAnsi="Times New Roman"/>
      <w:sz w:val="24"/>
      <w:szCs w:val="24"/>
    </w:rPr>
  </w:style>
  <w:style w:type="paragraph" w:customStyle="1" w:styleId="cp">
    <w:name w:val="cp"/>
    <w:basedOn w:val="a"/>
    <w:uiPriority w:val="99"/>
    <w:qFormat/>
    <w:rsid w:val="005A018A"/>
    <w:pPr>
      <w:spacing w:after="0" w:line="240" w:lineRule="auto"/>
      <w:jc w:val="center"/>
    </w:pPr>
    <w:rPr>
      <w:rFonts w:ascii="Times New Roman" w:eastAsia="Times New Roman" w:hAnsi="Times New Roman"/>
      <w:b/>
      <w:bCs/>
      <w:sz w:val="24"/>
      <w:szCs w:val="24"/>
    </w:rPr>
  </w:style>
  <w:style w:type="character" w:styleId="a8">
    <w:name w:val="footnote reference"/>
    <w:aliases w:val="fr,number,SUPERS,ftref,Times 10 Point,Exposant 3 Point,Footnote symbol,Footnote reference number,EN Footnote Reference,note TESI,16 Point,Superscript 6 Point,BVI fnr,FOOTNOTES Char1,fn Char1,single space Char1,ft Char1,Ref,Char Char1"/>
    <w:link w:val="FNRefeCharChar"/>
    <w:uiPriority w:val="99"/>
    <w:unhideWhenUsed/>
    <w:qFormat/>
    <w:rsid w:val="005A018A"/>
    <w:rPr>
      <w:vertAlign w:val="superscript"/>
    </w:rPr>
  </w:style>
  <w:style w:type="paragraph" w:styleId="a9">
    <w:name w:val="header"/>
    <w:basedOn w:val="a"/>
    <w:link w:val="aa"/>
    <w:uiPriority w:val="99"/>
    <w:unhideWhenUsed/>
    <w:rsid w:val="004F3A84"/>
    <w:pPr>
      <w:tabs>
        <w:tab w:val="center" w:pos="4680"/>
        <w:tab w:val="right" w:pos="9360"/>
      </w:tabs>
      <w:spacing w:after="0" w:line="240" w:lineRule="auto"/>
    </w:pPr>
  </w:style>
  <w:style w:type="character" w:customStyle="1" w:styleId="aa">
    <w:name w:val="Верхний колонтитул Знак"/>
    <w:basedOn w:val="a0"/>
    <w:link w:val="a9"/>
    <w:uiPriority w:val="99"/>
    <w:rsid w:val="004F3A84"/>
    <w:rPr>
      <w:rFonts w:ascii="Calibri" w:eastAsia="Calibri" w:hAnsi="Calibri" w:cs="Times New Roman"/>
    </w:rPr>
  </w:style>
  <w:style w:type="paragraph" w:styleId="ab">
    <w:name w:val="footer"/>
    <w:basedOn w:val="a"/>
    <w:link w:val="ac"/>
    <w:uiPriority w:val="99"/>
    <w:unhideWhenUsed/>
    <w:rsid w:val="004F3A84"/>
    <w:pPr>
      <w:tabs>
        <w:tab w:val="center" w:pos="4680"/>
        <w:tab w:val="right" w:pos="9360"/>
      </w:tabs>
      <w:spacing w:after="0" w:line="240" w:lineRule="auto"/>
    </w:pPr>
  </w:style>
  <w:style w:type="character" w:customStyle="1" w:styleId="ac">
    <w:name w:val="Нижний колонтитул Знак"/>
    <w:basedOn w:val="a0"/>
    <w:link w:val="ab"/>
    <w:uiPriority w:val="99"/>
    <w:rsid w:val="004F3A84"/>
    <w:rPr>
      <w:rFonts w:ascii="Calibri" w:eastAsia="Calibri" w:hAnsi="Calibri" w:cs="Times New Roman"/>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8"/>
    <w:uiPriority w:val="99"/>
    <w:qFormat/>
    <w:rsid w:val="005B4120"/>
    <w:pPr>
      <w:spacing w:line="240" w:lineRule="exact"/>
    </w:pPr>
    <w:rPr>
      <w:rFonts w:asciiTheme="minorHAnsi" w:eastAsiaTheme="minorHAnsi" w:hAnsiTheme="minorHAnsi" w:cstheme="minorBidi"/>
      <w:vertAlign w:val="superscript"/>
    </w:rPr>
  </w:style>
  <w:style w:type="paragraph" w:styleId="ad">
    <w:name w:val="List Paragraph"/>
    <w:aliases w:val="strikethrough,List Paragraph 1,Scriptoria bullet points,standaard met opsomming,Абзац списка1"/>
    <w:basedOn w:val="a"/>
    <w:link w:val="ae"/>
    <w:uiPriority w:val="34"/>
    <w:qFormat/>
    <w:rsid w:val="000B58FD"/>
    <w:pPr>
      <w:spacing w:after="0" w:line="240" w:lineRule="auto"/>
      <w:ind w:left="720"/>
      <w:contextualSpacing/>
    </w:pPr>
    <w:rPr>
      <w:rFonts w:ascii="Times New Roman" w:eastAsiaTheme="minorHAnsi" w:hAnsi="Times New Roman" w:cstheme="minorBidi"/>
      <w:sz w:val="28"/>
      <w:lang w:val="ro-RO"/>
    </w:rPr>
  </w:style>
  <w:style w:type="character" w:customStyle="1" w:styleId="ae">
    <w:name w:val="Абзац списка Знак"/>
    <w:aliases w:val="strikethrough Знак,List Paragraph 1 Знак,Scriptoria bullet points Знак,standaard met opsomming Знак,Абзац списка1 Знак"/>
    <w:link w:val="ad"/>
    <w:uiPriority w:val="34"/>
    <w:locked/>
    <w:rsid w:val="000B58FD"/>
    <w:rPr>
      <w:rFonts w:ascii="Times New Roman" w:hAnsi="Times New Roman"/>
      <w:sz w:val="28"/>
      <w:lang w:val="ro-RO"/>
    </w:rPr>
  </w:style>
  <w:style w:type="paragraph" w:styleId="af">
    <w:name w:val="Balloon Text"/>
    <w:basedOn w:val="a"/>
    <w:link w:val="af0"/>
    <w:uiPriority w:val="99"/>
    <w:semiHidden/>
    <w:unhideWhenUsed/>
    <w:rsid w:val="00355D8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355D82"/>
    <w:rPr>
      <w:rFonts w:ascii="Segoe UI" w:eastAsia="Calibri" w:hAnsi="Segoe UI" w:cs="Segoe UI"/>
      <w:sz w:val="18"/>
      <w:szCs w:val="18"/>
    </w:rPr>
  </w:style>
  <w:style w:type="paragraph" w:styleId="af1">
    <w:name w:val="Revision"/>
    <w:hidden/>
    <w:uiPriority w:val="99"/>
    <w:semiHidden/>
    <w:rsid w:val="00DF717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84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1E56D-4ECD-492E-A24A-B7C712068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1548</Words>
  <Characters>8825</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Frunze</dc:creator>
  <cp:keywords/>
  <dc:description/>
  <cp:lastModifiedBy>Paiu Eugenia</cp:lastModifiedBy>
  <cp:revision>3</cp:revision>
  <cp:lastPrinted>2023-02-10T06:48:00Z</cp:lastPrinted>
  <dcterms:created xsi:type="dcterms:W3CDTF">2023-03-03T12:11:00Z</dcterms:created>
  <dcterms:modified xsi:type="dcterms:W3CDTF">2023-03-03T12:35:00Z</dcterms:modified>
</cp:coreProperties>
</file>